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版本号：SCZD2025-CS-1958-00120250804002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利用公有空闲住房建设实习进修公寓项目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SCZD2025-CS-1958-001</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利用公有空闲住房建设实习进修公寓项目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SCZD2025-CS-1958-001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利用公有空闲住房建设实习进修公寓项目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拟对医院南北家属区公有住房进行基础装修改造，共涉及20套，总面积约2230平方米。 改造与装修内容包含:基础水电、地面铺设木地板、墙面粘贴壁布与顶面粉刷、厨卫墙地面瓷砖修补、门窗安装、灯具配置、燃气热水器安装、卫浴设施、橱柜及灶具与油烟机等。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采购包1（利用公有空闲住房建设实习进修公寓项目）：属于专门面向中小企业采购。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响应文件截止时间前被“信用中国”网站（www.creditchina.gov.cn）和中国政府采购网（www.ccgp.gov.cn）上被列入失信被执行人、重大税收违法失信主体、政府采购严重违法失信行为信息记录名单的，不得参加磋商：供应商在递交响应文件截止时间前被“信用中国”网站（www.creditchina.gov.cn）和中国政府采购网（www.ccgp.gov.cn）上被列入失信被执行人、重大税收违法失信主体、政府采购严重违法失信行为信息记录名单的，不得参加磋商</w:t>
      </w:r>
    </w:p>
    <w:p>
      <w:pPr>
        <w:pStyle w:val="null3"/>
      </w:pPr>
      <w:r>
        <w:rPr>
          <w:rFonts w:ascii="仿宋_GB2312" w:hAnsi="仿宋_GB2312" w:cs="仿宋_GB2312" w:eastAsia="仿宋_GB2312"/>
        </w:rPr>
        <w:t>2、法定代表人/单位负责人身份证明书、授权委托书及授权代表在本单位缴纳养老保险证明：（1）法定代表人或单位负责人参加磋商的，应提供法定代表人或单位负责人身份证明； （2）授权代表参加磋商的，应提供法定代表人或单位负责人身份证明、授权委托书及授权代表在本单位缴纳养老保险证明：法定代表人/单位负责人身份证明书、授权委托书及授权代表在本单位缴纳养老保险证明：（1）法定代表人或单位负责人参加磋商的，应提供法定代表人或单位负责人身份证明； （2）授权代表参加磋商的，应提供法定代表人或单位负责人身份证明、授权委托书及授权代表在本单位缴纳养老保险证明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3、供应商须具备建筑工程施工总承包三级及以上资质或建筑装修装饰工程专业承包二级及以上资质；且具备合法有效的安全生产许可证：供应商须具备建筑工程施工总承包三级及以上资质或建筑装修装饰工程专业承包二级及以上资质；且具备合法有效的安全生产许可证</w:t>
      </w:r>
    </w:p>
    <w:p>
      <w:pPr>
        <w:pStyle w:val="null3"/>
      </w:pPr>
      <w:r>
        <w:rPr>
          <w:rFonts w:ascii="仿宋_GB2312" w:hAnsi="仿宋_GB2312" w:cs="仿宋_GB2312" w:eastAsia="仿宋_GB2312"/>
        </w:rPr>
        <w:t>4、拟派项目经理须具备建筑工程二级及以上注册建造师资格且在本单位注册，具有有效的安全生产考核合格证（建安B证），且无在建工程承诺书：拟派项目经理须具备建筑工程二级及以上注册建造师资格且在本单位注册，具有有效的安全生产考核合格证（建安B证），且无在建工程承诺书</w:t>
      </w:r>
    </w:p>
    <w:p>
      <w:pPr>
        <w:pStyle w:val="null3"/>
      </w:pPr>
      <w:r>
        <w:rPr>
          <w:rFonts w:ascii="仿宋_GB2312" w:hAnsi="仿宋_GB2312" w:cs="仿宋_GB2312" w:eastAsia="仿宋_GB2312"/>
        </w:rPr>
        <w:t>5、需向采购代理机构获取采购文件，未向采购代理机构获取采购文件的供应商均无资格参加磋商：需向采购代理机构获取采购文件，未向采购代理机构获取采购文件的供应商均无资格参加磋商</w:t>
      </w:r>
    </w:p>
    <w:p>
      <w:pPr>
        <w:pStyle w:val="null3"/>
      </w:pPr>
      <w:r>
        <w:rPr>
          <w:rFonts w:ascii="仿宋_GB2312" w:hAnsi="仿宋_GB2312" w:cs="仿宋_GB2312" w:eastAsia="仿宋_GB2312"/>
        </w:rPr>
        <w:t>6、不存在违反法律、行政法规规定的其他条件：不存在违反法律、行政法规规定的其他条件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029-85253261-3458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采购包1保证金金额：26,000.00元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银行账号：102861560005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代理服务费收费标准：按照国家计委颁布的《招标代理服务收费管理暂行办法》（计价格[2002]1980号）规定的招标代理服务收费标准，50万元（不含）以上的项目按照下浮43%进行收取。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踏勘时间：2025-08-13 09:00:00</w:t>
            </w:r>
          </w:p>
          <w:p>
            <w:pPr>
              <w:pStyle w:val="null3"/>
              <w:ind w:firstLine="975"/>
            </w:pPr>
            <w:r>
              <w:rPr>
                <w:rFonts w:ascii="仿宋_GB2312" w:hAnsi="仿宋_GB2312" w:cs="仿宋_GB2312" w:eastAsia="仿宋_GB2312"/>
              </w:rPr>
              <w:t>踏勘地点：朱雀苑小区</w:t>
            </w:r>
          </w:p>
          <w:p>
            <w:pPr>
              <w:pStyle w:val="null3"/>
              <w:ind w:firstLine="975"/>
            </w:pPr>
            <w:r>
              <w:rPr>
                <w:rFonts w:ascii="仿宋_GB2312" w:hAnsi="仿宋_GB2312" w:cs="仿宋_GB2312" w:eastAsia="仿宋_GB2312"/>
              </w:rPr>
              <w:t>联系人：曹鹏飞</w:t>
            </w:r>
          </w:p>
          <w:p>
            <w:pPr>
              <w:pStyle w:val="null3"/>
              <w:ind w:firstLine="975"/>
            </w:pPr>
            <w:r>
              <w:rPr>
                <w:rFonts w:ascii="仿宋_GB2312" w:hAnsi="仿宋_GB2312" w:cs="仿宋_GB2312" w:eastAsia="仿宋_GB2312"/>
              </w:rPr>
              <w:t>联系电话号码：15020085467</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1,299,935.68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利用公有空闲住房建设实习进修公寓</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标的名称：利用公有空闲住房建设实习进修公寓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1.本次招标具体内容详见图纸</w:t>
            </w:r>
            <w:r>
              <w:rPr>
                <w:rFonts w:ascii="仿宋_GB2312" w:hAnsi="仿宋_GB2312" w:cs="仿宋_GB2312" w:eastAsia="仿宋_GB2312"/>
              </w:rPr>
              <w:t>和工程量清单。</w:t>
            </w:r>
          </w:p>
          <w:p>
            <w:pPr>
              <w:pStyle w:val="null3"/>
            </w:pPr>
            <w:r>
              <w:rPr>
                <w:rFonts w:ascii="仿宋_GB2312" w:hAnsi="仿宋_GB2312" w:cs="仿宋_GB2312" w:eastAsia="仿宋_GB2312"/>
              </w:rPr>
              <w:t>2.主要关键设备特殊需求表（在主要设备报价表中，报品牌）</w:t>
            </w:r>
          </w:p>
          <w:tbl>
            <w:tblPr>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关键设备名称</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规格型号</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材质及质量等级</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复合木地板</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单层长条强化复合地板</w:t>
                  </w:r>
                  <w:r>
                    <w:rPr>
                      <w:rFonts w:ascii="仿宋_GB2312" w:hAnsi="仿宋_GB2312" w:cs="仿宋_GB2312" w:eastAsia="仿宋_GB2312"/>
                      <w:sz w:val="21"/>
                    </w:rPr>
                    <w:t>8厚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乳胶漆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净味环保</w:t>
                  </w:r>
                </w:p>
                <w:p>
                  <w:pPr>
                    <w:pStyle w:val="null3"/>
                    <w:jc w:val="center"/>
                  </w:pPr>
                  <w:r>
                    <w:rPr>
                      <w:rFonts w:ascii="仿宋_GB2312" w:hAnsi="仿宋_GB2312" w:cs="仿宋_GB2312" w:eastAsia="仿宋_GB2312"/>
                      <w:sz w:val="21"/>
                    </w:rPr>
                    <w:t>燃烧性能</w:t>
                  </w:r>
                  <w:r>
                    <w:rPr>
                      <w:rFonts w:ascii="仿宋_GB2312" w:hAnsi="仿宋_GB2312" w:cs="仿宋_GB2312" w:eastAsia="仿宋_GB2312"/>
                      <w:sz w:val="21"/>
                    </w:rPr>
                    <w:t>A</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地砖</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600*600*10厚</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防滑地砖</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单扇套装平开门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900X2100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实木</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铝合金门</w:t>
                  </w:r>
                </w:p>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800X2100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6厚安全玻璃</w:t>
                  </w:r>
                </w:p>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樘</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TC106-6-8(10)散热器(690型)11片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不带足</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洗脸盆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LED吸顶灯</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铝合金推拉纱窗扇</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金属网</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洗脸盆</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大便器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成套淋浴器</w:t>
                  </w:r>
                </w:p>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燃气热水器</w:t>
                  </w:r>
                </w:p>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燃气灶具</w:t>
                  </w:r>
                </w:p>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抽油烟机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分体式空调机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1P</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1.施工材料符合招标及环保要求，主材提供检验合格证、生产合格证等。 2.部分施工工艺满足相关施工验收标准。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具体改造套数以甲方实际安排的为准，根据实际发生工程量据实结算。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 业执照”复印件； （6）供应商是自然人的，应提供其有效的自然人身份证明复印件。 2.依法缴纳税收的相关材料 （1）供应商应提供递交响应文件截止时间前近六个月中任何一个月缴税凭证，时间以税款所属时期为准（银行出具的缴税凭证或税务机关出具的证明的复印件，并加盖本单位公章）。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（1）供应商应提供递交响应文件截止时间前近六个月中至少一个月的缴纳社会保险的凭据（专用收据或社会保险缴纳清单），并加盖本单位公章。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（1）提供2023或2024年度经审计的财务报告，应满足以下要求：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 供应商适用《事业单位会计准则》的，财务报告是指上述指定年度整个会计年度财务报表（不要求必须是经审计的），复印件至少须包括资产负债表、收入支出表（或收入费用表）、财政补助收入支出表。 ③ 供应商适用《政府会计准则》的，财务报告是指上述指定年度整个会计年度财务报表（不要求必须是经审计的），复印件至少须包括资产负债表、收入费用表。 ④ 供应商适用《民间非营利组织会计制度》的，财务报告是指上述指定年度整个会计年度财务报表（不要求必须是经审计的），复印件至少须包括资产负债表、业务活动表、现金流量表。 ⑤ 供应商是上述四种情况以外情况的，按照其依法适用的会计制度、财务规则或会计准则提供 财务报表复印件（不要求必须是经审计的）。 （2）提供资信证明原件或复印件，应满足以下要求： ① 资信证明须为递交响应文件截止时间前三个月内由供应商基本账户开户银行出具。 ② 无论开具银行是否标明“复印无效”，供应商提供的复印件在本次投标中予以认可（即不因“复印无效”字样而认定资信证明复印件无效）。 ③ 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磋商</w:t>
            </w:r>
          </w:p>
        </w:tc>
        <w:tc>
          <w:tcPr>
            <w:tcW w:type="dxa" w:w="3322"/>
          </w:tcPr>
          <w:p>
            <w:pPr>
              <w:pStyle w:val="null3"/>
            </w:pPr>
            <w:r>
              <w:rPr>
                <w:rFonts w:ascii="仿宋_GB2312" w:hAnsi="仿宋_GB2312" w:cs="仿宋_GB2312" w:eastAsia="仿宋_GB2312"/>
              </w:rPr>
              <w:t>供应商在递交响应文件截止时间前被“信用中国”网站（www.creditchina.gov.cn）和中国政府采购网（www.ccgp.gov.cn）上被列入失信被执行人、重大税收违法失信主体、政府采购严重违法失信行为信息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法定代表人/单位负责人身份证明书、授权委托书及授权代表在本单位缴纳养老保险证明：（1）法定代表人或单位负责人参加磋商的，应提供法定代表人或单位负责人身份证明； （2）授权代表参加磋商的，应提供法定代表人或单位负责人身份证明、授权委托书及授权代表在本单位缴纳养老保险证明</w:t>
            </w:r>
          </w:p>
        </w:tc>
        <w:tc>
          <w:tcPr>
            <w:tcW w:type="dxa" w:w="3322"/>
          </w:tcPr>
          <w:p>
            <w:pPr>
              <w:pStyle w:val="null3"/>
            </w:pPr>
            <w:r>
              <w:rPr>
                <w:rFonts w:ascii="仿宋_GB2312" w:hAnsi="仿宋_GB2312" w:cs="仿宋_GB2312" w:eastAsia="仿宋_GB2312"/>
              </w:rPr>
              <w:t>法定代表人/单位负责人身份证明书、授权委托书及授权代表在本单位缴纳养老保险证明：（1）法定代表人或单位负责人参加磋商的，应提供法定代表人或单位负责人身份证明； （2）授权代表参加磋商的，应提供法定代表人或单位负责人身份证明、授权委托书及授权代表在本单位缴纳养老保险证明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供应商须具备建筑工程施工总承包三级及以上资质或建筑装修装饰工程专业承包二级及以上资质；且具备合法有效的安全生产许可证</w:t>
            </w:r>
          </w:p>
        </w:tc>
        <w:tc>
          <w:tcPr>
            <w:tcW w:type="dxa" w:w="3322"/>
          </w:tcPr>
          <w:p>
            <w:pPr>
              <w:pStyle w:val="null3"/>
            </w:pPr>
            <w:r>
              <w:rPr>
                <w:rFonts w:ascii="仿宋_GB2312" w:hAnsi="仿宋_GB2312" w:cs="仿宋_GB2312" w:eastAsia="仿宋_GB2312"/>
              </w:rPr>
              <w:t>供应商须具备建筑工程施工总承包三级及以上资质或建筑装修装饰工程专业承包二级及以上资质；且具备合法有效的安全生产许可证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拟派项目经理须具备建筑工程二级及以上注册建造师资格且在本单位注册，具有有效的安全生产考核合格证（建安B证），且无在建工程承诺书</w:t>
            </w:r>
          </w:p>
        </w:tc>
        <w:tc>
          <w:tcPr>
            <w:tcW w:type="dxa" w:w="3322"/>
          </w:tcPr>
          <w:p>
            <w:pPr>
              <w:pStyle w:val="null3"/>
            </w:pPr>
            <w:r>
              <w:rPr>
                <w:rFonts w:ascii="仿宋_GB2312" w:hAnsi="仿宋_GB2312" w:cs="仿宋_GB2312" w:eastAsia="仿宋_GB2312"/>
              </w:rPr>
              <w:t>拟派项目经理须具备建筑工程二级及以上注册建造师资格且在本单位注册，具有有效的安全生产考核合格证（建安B证），且无在建工程承诺书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需向采购代理机构获取采购文件，未向采购代理机构获取采购文件的供应商均无资格参加磋商</w:t>
            </w:r>
          </w:p>
        </w:tc>
        <w:tc>
          <w:tcPr>
            <w:tcW w:type="dxa" w:w="3322"/>
          </w:tcPr>
          <w:p>
            <w:pPr>
              <w:pStyle w:val="null3"/>
            </w:pPr>
            <w:r>
              <w:rPr>
                <w:rFonts w:ascii="仿宋_GB2312" w:hAnsi="仿宋_GB2312" w:cs="仿宋_GB2312" w:eastAsia="仿宋_GB2312"/>
              </w:rPr>
              <w:t>需向采购代理机构获取采购文件，未向采购代理机构获取采购文件的供应商均无资格参加磋商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不存在违反法律、行政法规规定的其他条件</w:t>
            </w:r>
          </w:p>
        </w:tc>
        <w:tc>
          <w:tcPr>
            <w:tcW w:type="dxa" w:w="3322"/>
          </w:tcPr>
          <w:p>
            <w:pPr>
              <w:pStyle w:val="null3"/>
            </w:pPr>
            <w:r>
              <w:rPr>
                <w:rFonts w:ascii="仿宋_GB2312" w:hAnsi="仿宋_GB2312" w:cs="仿宋_GB2312" w:eastAsia="仿宋_GB2312"/>
              </w:rPr>
              <w:t>不存在违反法律、行政法规规定的其他条件</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磋商响应文件按磋商文件要求签署、盖章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施工方案.docx 报价函 标的清单 保证金缴纳凭证.docx 供应商类似项目业绩一览表 主要设备品牌表.docx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磋商保证金已按磋商文件规定提交且金额、形式符合磋商文件要求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采购内容</w:t>
            </w:r>
          </w:p>
        </w:tc>
        <w:tc>
          <w:tcPr>
            <w:tcW w:type="dxa" w:w="3322"/>
          </w:tcPr>
          <w:p>
            <w:pPr>
              <w:pStyle w:val="null3"/>
            </w:pPr>
            <w:r>
              <w:rPr>
                <w:rFonts w:ascii="仿宋_GB2312" w:hAnsi="仿宋_GB2312" w:cs="仿宋_GB2312" w:eastAsia="仿宋_GB2312"/>
              </w:rPr>
              <w:t>采购内容满足磋商文件的要求、不存在漏项或数量不符合磋商文件规定情形</w:t>
            </w:r>
          </w:p>
        </w:tc>
        <w:tc>
          <w:tcPr>
            <w:tcW w:type="dxa" w:w="1661"/>
          </w:tcPr>
          <w:p>
            <w:pPr>
              <w:pStyle w:val="null3"/>
            </w:pPr>
            <w:r>
              <w:rPr>
                <w:rFonts w:ascii="仿宋_GB2312" w:hAnsi="仿宋_GB2312" w:cs="仿宋_GB2312" w:eastAsia="仿宋_GB2312"/>
              </w:rPr>
              <w:t>已标价工程量清单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施工方案.docx 报价函 标的清单 保证金缴纳凭证.docx 供应商类似项目业绩一览表 主要设备品牌表.docx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不存在其它不符合法律法规或磋商文件规定的投标无效条款的情形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资格证明文件.docx 强制优先采购产品承诺函 响应文件封面 项目管理机构组成表 残疾人福利性单位声明函 施工方案.docx 报价函 标的清单 保证金缴纳凭证.docx 供应商类似项目业绩一览表 主要设备品牌表.docx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施工方案总体说明</w:t>
            </w:r>
          </w:p>
        </w:tc>
        <w:tc>
          <w:tcPr>
            <w:tcW w:type="dxa" w:w="2492"/>
          </w:tcPr>
          <w:p>
            <w:pPr>
              <w:pStyle w:val="null3"/>
            </w:pPr>
            <w:r>
              <w:rPr>
                <w:rFonts w:ascii="仿宋_GB2312" w:hAnsi="仿宋_GB2312" w:cs="仿宋_GB2312" w:eastAsia="仿宋_GB2312"/>
              </w:rPr>
              <w:t>由磋商小组进行赋分，施工方案总体说明全面合理得 5分，基本合理得3分，无不得分。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由磋商小组进行赋分，工程质量的技术组织措施全面合理得5分，基本合理得3分，无不得分。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由磋商小组进行赋分，安全生产的技术组织措施全面合理得5分，基本合理得3分，无不得分。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由磋商小组进行赋分，施工进度表或施工网络图全面合理得5分，基本合理得3分，不够合理得1分，无不得分。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由磋商小组进行赋分，文明施工的技术组织措施及环境保护措施全面合理得5分，基本合理得3分，无不得分。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项目经理业绩</w:t>
            </w:r>
          </w:p>
        </w:tc>
        <w:tc>
          <w:tcPr>
            <w:tcW w:type="dxa" w:w="2492"/>
          </w:tcPr>
          <w:p>
            <w:pPr>
              <w:pStyle w:val="null3"/>
            </w:pPr>
            <w:r>
              <w:rPr>
                <w:rFonts w:ascii="仿宋_GB2312" w:hAnsi="仿宋_GB2312" w:cs="仿宋_GB2312" w:eastAsia="仿宋_GB2312"/>
              </w:rPr>
              <w:t>自2022年1月1日起至本项目响应文件递交截止时间止，每提供1项类似业绩证明材料的计1分，最多计5分。 评审依据:以供应商所提供的合同扫描件(或复印件)并加盖供应商公章为准，合同上应体现供应商拟派项目负责人的相关信息(包括但不限于姓名等相关内容)，时间以合同签订时间为依据。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项目组成员构成</w:t>
            </w:r>
          </w:p>
        </w:tc>
        <w:tc>
          <w:tcPr>
            <w:tcW w:type="dxa" w:w="2492"/>
          </w:tcPr>
          <w:p>
            <w:pPr>
              <w:pStyle w:val="null3"/>
            </w:pPr>
            <w:r>
              <w:rPr>
                <w:rFonts w:ascii="仿宋_GB2312" w:hAnsi="仿宋_GB2312" w:cs="仿宋_GB2312" w:eastAsia="仿宋_GB2312"/>
              </w:rPr>
              <w:t>由磋商小组进行赋分，项目经理部组成人员全面合理得5分，基本合理得3分，无不得分。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由磋商小组进行赋分，施工机械配备和材料投入计划全面合理得5分，基本合理得3分，无不得分。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由磋商小组进行赋分，劳动力安排计划及劳务分包情况表全面合理得 5分，基本合理得3分，不够合理得1分，无不得分。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提供供应商2022年1月1日至响应截止时间（以合同签订时间为准）类似项目业绩，每提供一个业绩得2分，满分10分。 评审依据：以加盖公章的业绩合同复印件为准，合同至少需包含合同首页、中间页、签章页。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提供复合木地板、地砖、单扇套装平开门、散热器的样品，每个提供尺寸为600mm*600mm且展示横截面的样品一份。未提供或提供不全的不得分。 根据样品质量、材质等方面赋分。质量材料好的得15分，一般的得7分，较差的得3分。 样品在磋商响应文件开启当天递交到我公司指定地点，详见磋商公告，递交时需将样品密封并标注公司名称、项目名称。编号，否则不予接收。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满足采购文件要求且有效响应文件的最后报价的最低报价为评审基准价，其价格分为满分。其他供应商的价格分统一按照下列公式计算：投标报价得分=（评标基准价/最后报价）×30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详见附件：主要设备品牌表.docx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