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版本号：SXZCZ-2025-ZHF6015.1.2B120250728001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养老服务“千人培训”项目(二次)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SXZCZ-2025-ZHF6015.1.2B1</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陕西中采招项目管理有限公司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养老服务“千人培训”项目(二次)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SXZCZ-2025-ZHF6015.1.2B1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养老服务“千人培训”项目(二次)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养老服务人才“千人培训"计划采取线上培训和线下授课实操相给的方式进行。同时开展面向家庭照护者的基本技能培训，继续编写养老服务系列丛书，拍摄示范性视频，免费发放培训教材和实用手册,线下计划全年培训1000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须提供2023年度或2024年度经审计的财务报告（至少包括三表一注，成立时间至提交响应文件截止时间不足一年的可提供成立后任意时段的资产负债表），或投标前三个月内开户银行出具的资信证明（附开户许可证或开户银行证明）；</w:t>
      </w:r>
    </w:p>
    <w:p>
      <w:pPr>
        <w:pStyle w:val="null3"/>
      </w:pPr>
      <w:r>
        <w:rPr>
          <w:rFonts w:ascii="仿宋_GB2312" w:hAnsi="仿宋_GB2312" w:cs="仿宋_GB2312" w:eastAsia="仿宋_GB2312"/>
        </w:rPr>
        <w:t>3、税收缴纳证明：提供响应文件递交时间前一年内至少一个月已缴纳的纳税证明或完税证明凭据；其他组织和自然人提供响应文件递交时间前一年内至少一个月缴纳税收的凭据；依法免税的供应商应提供相关文件证明；</w:t>
      </w:r>
    </w:p>
    <w:p>
      <w:pPr>
        <w:pStyle w:val="null3"/>
      </w:pPr>
      <w:r>
        <w:rPr>
          <w:rFonts w:ascii="仿宋_GB2312" w:hAnsi="仿宋_GB2312" w:cs="仿宋_GB2312" w:eastAsia="仿宋_GB2312"/>
        </w:rPr>
        <w:t>4、社会保障资金缴纳证明：提供响应文件递交时间前一年内至少一个月已缴纳的社会保障资金的凭据（专用收据或社会保险缴纳清单）；依法不需要缴纳社会保障资金的供应商应提供相关文件证明；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5、书面声明：出具参加本次政府采购活动前三年内在经营活动中没有重大违法记录的书面声明；</w:t>
      </w:r>
    </w:p>
    <w:p>
      <w:pPr>
        <w:pStyle w:val="null3"/>
      </w:pPr>
      <w:r>
        <w:rPr>
          <w:rFonts w:ascii="仿宋_GB2312" w:hAnsi="仿宋_GB2312" w:cs="仿宋_GB2312" w:eastAsia="仿宋_GB2312"/>
        </w:rPr>
        <w:t>6、承诺书：具备履行合同所必需的设备和专业技术能力的证明材料(由投标人根据项目需求提供说明材料或者承诺)；</w:t>
      </w:r>
    </w:p>
    <w:p>
      <w:pPr>
        <w:pStyle w:val="null3"/>
      </w:pPr>
      <w:r>
        <w:rPr>
          <w:rFonts w:ascii="仿宋_GB2312" w:hAnsi="仿宋_GB2312" w:cs="仿宋_GB2312" w:eastAsia="仿宋_GB2312"/>
        </w:rPr>
        <w:t>7、身份证明：法定代表人直接参与投标须提交法定代表人身份证明书及其身份证原件，法定代表人授权代表参加投标的，须出具授权书及被授权人身份证；</w:t>
      </w:r>
    </w:p>
    <w:p>
      <w:pPr>
        <w:pStyle w:val="null3"/>
      </w:pPr>
      <w:r>
        <w:rPr>
          <w:rFonts w:ascii="仿宋_GB2312" w:hAnsi="仿宋_GB2312" w:cs="仿宋_GB2312" w:eastAsia="仿宋_GB2312"/>
        </w:rPr>
        <w:t>8、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p>
      <w:pPr>
        <w:pStyle w:val="null3"/>
      </w:pPr>
      <w:r>
        <w:rPr>
          <w:rFonts w:ascii="仿宋_GB2312" w:hAnsi="仿宋_GB2312" w:cs="仿宋_GB2312" w:eastAsia="仿宋_GB2312"/>
        </w:rPr>
        <w:t>9、联合体投标：本项目不允许联合体投标，须提供非联合体声明；</w:t>
      </w:r>
    </w:p>
    <w:p>
      <w:pPr>
        <w:pStyle w:val="null3"/>
      </w:pPr>
      <w:r>
        <w:rPr>
          <w:rFonts w:ascii="仿宋_GB2312" w:hAnsi="仿宋_GB2312" w:cs="仿宋_GB2312" w:eastAsia="仿宋_GB2312"/>
        </w:rPr>
        <w:t>10、控股关系：单位负责人为同一人或者存在控股、管理关系的不同单位，不得同时参加本招标项目投标。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须提供2023年度或2024年度经审计的财务报告（至少包括三表一注，成立时间至提交响应文件截止时间不足一年的可提供成立后任意时段的资产负债表），或投标前三个月内开户银行出具的资信证明（附开户许可证或开户银行证明）；</w:t>
      </w:r>
    </w:p>
    <w:p>
      <w:pPr>
        <w:pStyle w:val="null3"/>
      </w:pPr>
      <w:r>
        <w:rPr>
          <w:rFonts w:ascii="仿宋_GB2312" w:hAnsi="仿宋_GB2312" w:cs="仿宋_GB2312" w:eastAsia="仿宋_GB2312"/>
        </w:rPr>
        <w:t>3、税收缴纳证明：提供响应文件递交时间前一年内至少一个月已缴纳的纳税证明或完税证明凭据；其他组织和自然人提供响应文件递交时间前一年内至少一个月缴纳税收的凭据；依法免税的供应商应提供相关文件证明；</w:t>
      </w:r>
    </w:p>
    <w:p>
      <w:pPr>
        <w:pStyle w:val="null3"/>
      </w:pPr>
      <w:r>
        <w:rPr>
          <w:rFonts w:ascii="仿宋_GB2312" w:hAnsi="仿宋_GB2312" w:cs="仿宋_GB2312" w:eastAsia="仿宋_GB2312"/>
        </w:rPr>
        <w:t>4、社会保障资金缴纳证明：提供响应文件递交时间前一年内至少一个月已缴纳的社会保障资金的凭据（专用收据或社会保险缴纳清单）；依法不需要缴纳社会保障资金的供应商应提供相关文件证明；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5、书面声明：出具参加本次政府采购活动前三年内在经营活动中没有重大违法记录的书面声明；</w:t>
      </w:r>
    </w:p>
    <w:p>
      <w:pPr>
        <w:pStyle w:val="null3"/>
      </w:pPr>
      <w:r>
        <w:rPr>
          <w:rFonts w:ascii="仿宋_GB2312" w:hAnsi="仿宋_GB2312" w:cs="仿宋_GB2312" w:eastAsia="仿宋_GB2312"/>
        </w:rPr>
        <w:t>6、承诺书：具备履行合同所必需的设备和专业技术能力的证明材料(由投标人根据项目需求提供说明材料或者承诺)；</w:t>
      </w:r>
    </w:p>
    <w:p>
      <w:pPr>
        <w:pStyle w:val="null3"/>
      </w:pPr>
      <w:r>
        <w:rPr>
          <w:rFonts w:ascii="仿宋_GB2312" w:hAnsi="仿宋_GB2312" w:cs="仿宋_GB2312" w:eastAsia="仿宋_GB2312"/>
        </w:rPr>
        <w:t>7、资质证明：具有民政部门和人社部门认可的养老护理员职业技能等级评价认定资质；</w:t>
      </w:r>
    </w:p>
    <w:p>
      <w:pPr>
        <w:pStyle w:val="null3"/>
      </w:pPr>
      <w:r>
        <w:rPr>
          <w:rFonts w:ascii="仿宋_GB2312" w:hAnsi="仿宋_GB2312" w:cs="仿宋_GB2312" w:eastAsia="仿宋_GB2312"/>
        </w:rPr>
        <w:t>8、身份证明：法定代表人直接参与投标须提交法定代表人身份证明书及其身份证原件，法定代表人授权代表参加投标的，须出具授权书及被授权人身份证；</w:t>
      </w:r>
    </w:p>
    <w:p>
      <w:pPr>
        <w:pStyle w:val="null3"/>
      </w:pPr>
      <w:r>
        <w:rPr>
          <w:rFonts w:ascii="仿宋_GB2312" w:hAnsi="仿宋_GB2312" w:cs="仿宋_GB2312" w:eastAsia="仿宋_GB2312"/>
        </w:rPr>
        <w:t>9、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p>
      <w:pPr>
        <w:pStyle w:val="null3"/>
      </w:pPr>
      <w:r>
        <w:rPr>
          <w:rFonts w:ascii="仿宋_GB2312" w:hAnsi="仿宋_GB2312" w:cs="仿宋_GB2312" w:eastAsia="仿宋_GB2312"/>
        </w:rPr>
        <w:t>10、联合体投标：本项目不允许联合体投标，须提供非联合体声明；</w:t>
      </w:r>
    </w:p>
    <w:p>
      <w:pPr>
        <w:pStyle w:val="null3"/>
      </w:pPr>
      <w:r>
        <w:rPr>
          <w:rFonts w:ascii="仿宋_GB2312" w:hAnsi="仿宋_GB2312" w:cs="仿宋_GB2312" w:eastAsia="仿宋_GB2312"/>
        </w:rPr>
        <w:t>11、控股关系：单位负责人为同一人或者存在控股、管理关系的不同单位，不得同时参加本招标项目投标。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029-63917522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陕西省西安市未央区中登广场B座706室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029-86254684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开户名称：陕西中采招项目管理有限公司</w:t>
            </w:r>
          </w:p>
          <w:p>
            <w:pPr>
              <w:pStyle w:val="null3"/>
            </w:pPr>
            <w:r>
              <w:rPr>
                <w:rFonts w:ascii="仿宋_GB2312" w:hAnsi="仿宋_GB2312" w:cs="仿宋_GB2312" w:eastAsia="仿宋_GB2312"/>
              </w:rPr>
              <w:t>开户银行：中信银行股份有限公司陕西自贸试验区西安科技路支行</w:t>
            </w:r>
          </w:p>
          <w:p>
            <w:pPr>
              <w:pStyle w:val="null3"/>
            </w:pPr>
            <w:r>
              <w:rPr>
                <w:rFonts w:ascii="仿宋_GB2312" w:hAnsi="仿宋_GB2312" w:cs="仿宋_GB2312" w:eastAsia="仿宋_GB2312"/>
              </w:rPr>
              <w:t>银行账号：8111701012400643572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符合国家现行质里验收合格标准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联系人：周工</w:t>
      </w:r>
    </w:p>
    <w:p>
      <w:pPr>
        <w:pStyle w:val="null3"/>
      </w:pPr>
      <w:r>
        <w:rPr>
          <w:rFonts w:ascii="仿宋_GB2312" w:hAnsi="仿宋_GB2312" w:cs="仿宋_GB2312" w:eastAsia="仿宋_GB2312"/>
        </w:rPr>
        <w:t>联系电话：029-86254684</w:t>
      </w:r>
    </w:p>
    <w:p>
      <w:pPr>
        <w:pStyle w:val="null3"/>
      </w:pPr>
      <w:r>
        <w:rPr>
          <w:rFonts w:ascii="仿宋_GB2312" w:hAnsi="仿宋_GB2312" w:cs="仿宋_GB2312" w:eastAsia="仿宋_GB2312"/>
        </w:rPr>
        <w:t>地址：陕西省西安市未央区中登广场B座706室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养老服务人才“千人培训”计划采取线上培训和线下授课实操相给的方式进行。同时开展面向家庭照护者的基本技能培训，继续编写养老服务系列丛书，拍摄示范性视频，免费发放培训教材和实用手册,线下计划全年培训4000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养老服务管理人才培训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养老护理员及养老家庭照护者培训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标的名称：养老服务管理人才培训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一、招标内容：</w:t>
            </w:r>
          </w:p>
          <w:p>
            <w:pPr>
              <w:pStyle w:val="null3"/>
            </w:pPr>
            <w:r>
              <w:rPr>
                <w:rFonts w:ascii="仿宋_GB2312" w:hAnsi="仿宋_GB2312" w:cs="仿宋_GB2312" w:eastAsia="仿宋_GB2312"/>
              </w:rPr>
              <w:t>1.采购金额：900000.00元</w:t>
            </w:r>
          </w:p>
          <w:p>
            <w:pPr>
              <w:pStyle w:val="null3"/>
            </w:pPr>
            <w:r>
              <w:rPr>
                <w:rFonts w:ascii="仿宋_GB2312" w:hAnsi="仿宋_GB2312" w:cs="仿宋_GB2312" w:eastAsia="仿宋_GB2312"/>
              </w:rPr>
              <w:t>2.采购需求：面向养老服务管理人才培训，人数400人。包括养老院长培训教材编写、视频制作、发放，以班为单位组织线下培训，每班约150人，管理人员培训不少60课时。</w:t>
            </w:r>
          </w:p>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rPr>
              <w:t>1.</w:t>
            </w:r>
            <w:r>
              <w:rPr>
                <w:rFonts w:ascii="仿宋_GB2312" w:hAnsi="仿宋_GB2312" w:cs="仿宋_GB2312" w:eastAsia="仿宋_GB2312"/>
              </w:rPr>
              <w:t>应具备编写培训资料、拍摄视频和课程设置能力，能够组织省内养老专家采取网络方式进行理论授课和实操讲解，具备采用信息化手段收集汇总参培人员信息的能力。</w:t>
            </w:r>
          </w:p>
          <w:p>
            <w:pPr>
              <w:pStyle w:val="null3"/>
              <w:jc w:val="both"/>
            </w:pPr>
            <w:r>
              <w:rPr>
                <w:rFonts w:ascii="仿宋_GB2312" w:hAnsi="仿宋_GB2312" w:cs="仿宋_GB2312" w:eastAsia="仿宋_GB2312"/>
              </w:rPr>
              <w:t>2.</w:t>
            </w:r>
            <w:r>
              <w:rPr>
                <w:rFonts w:ascii="仿宋_GB2312" w:hAnsi="仿宋_GB2312" w:cs="仿宋_GB2312" w:eastAsia="仿宋_GB2312"/>
              </w:rPr>
              <w:t>应开设有养老或医学护理专业，有能同时容纳150-250人的承载力，符合国家标准的实操实训室以及满足培训需求的器材。具有民政部门和人社部门认可的养老护理员职业技能等级评价认定资质。</w:t>
            </w:r>
          </w:p>
          <w:p>
            <w:pPr>
              <w:pStyle w:val="null3"/>
              <w:jc w:val="both"/>
            </w:pPr>
            <w:r>
              <w:rPr>
                <w:rFonts w:ascii="仿宋_GB2312" w:hAnsi="仿宋_GB2312" w:cs="仿宋_GB2312" w:eastAsia="仿宋_GB2312"/>
              </w:rPr>
              <w:t>3.</w:t>
            </w:r>
            <w:r>
              <w:rPr>
                <w:rFonts w:ascii="仿宋_GB2312" w:hAnsi="仿宋_GB2312" w:cs="仿宋_GB2312" w:eastAsia="仿宋_GB2312"/>
              </w:rPr>
              <w:t>要具备能够在一线组织培训的能力，师资力量在省内有一定影响力，</w:t>
            </w:r>
            <w:r>
              <w:rPr>
                <w:rFonts w:ascii="仿宋_GB2312" w:hAnsi="仿宋_GB2312" w:cs="仿宋_GB2312" w:eastAsia="仿宋_GB2312"/>
              </w:rPr>
              <w:t>需具有网络直播和拍摄视频片能力。</w:t>
            </w:r>
          </w:p>
          <w:p>
            <w:pPr>
              <w:pStyle w:val="null3"/>
              <w:jc w:val="both"/>
            </w:pPr>
            <w:r>
              <w:rPr>
                <w:rFonts w:ascii="仿宋_GB2312" w:hAnsi="仿宋_GB2312" w:cs="仿宋_GB2312" w:eastAsia="仿宋_GB2312"/>
              </w:rPr>
              <w:t>4.</w:t>
            </w:r>
            <w:r>
              <w:rPr>
                <w:rFonts w:ascii="仿宋_GB2312" w:hAnsi="仿宋_GB2312" w:cs="仿宋_GB2312" w:eastAsia="仿宋_GB2312"/>
              </w:rPr>
              <w:t>环境优越，能够保障好线下培训人员的学习、食宿和教学保障。</w:t>
            </w:r>
          </w:p>
          <w:p>
            <w:pPr>
              <w:pStyle w:val="null3"/>
              <w:jc w:val="both"/>
            </w:pPr>
            <w:r>
              <w:rPr>
                <w:rFonts w:ascii="仿宋_GB2312" w:hAnsi="仿宋_GB2312" w:cs="仿宋_GB2312" w:eastAsia="仿宋_GB2312"/>
              </w:rPr>
              <w:t>三、商务要求：</w:t>
            </w:r>
          </w:p>
          <w:p>
            <w:pPr>
              <w:pStyle w:val="null3"/>
              <w:jc w:val="both"/>
            </w:pPr>
            <w:r>
              <w:rPr>
                <w:rFonts w:ascii="仿宋_GB2312" w:hAnsi="仿宋_GB2312" w:cs="仿宋_GB2312" w:eastAsia="仿宋_GB2312"/>
              </w:rPr>
              <w:t>1.服务期限：</w:t>
            </w:r>
            <w:r>
              <w:rPr>
                <w:rFonts w:ascii="仿宋_GB2312" w:hAnsi="仿宋_GB2312" w:cs="仿宋_GB2312" w:eastAsia="仿宋_GB2312"/>
              </w:rPr>
              <w:t>合同签订后，60日内完成所有培训任务。</w:t>
            </w:r>
          </w:p>
          <w:p>
            <w:pPr>
              <w:pStyle w:val="null3"/>
              <w:jc w:val="both"/>
            </w:pPr>
            <w:r>
              <w:rPr>
                <w:rFonts w:ascii="仿宋_GB2312" w:hAnsi="仿宋_GB2312" w:cs="仿宋_GB2312" w:eastAsia="仿宋_GB2312"/>
              </w:rPr>
              <w:t>2.服务地点：西安市。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标的名称：养老护理员及养老家庭照护者培训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一、招标内容：</w:t>
            </w:r>
          </w:p>
          <w:p>
            <w:pPr>
              <w:pStyle w:val="null3"/>
            </w:pPr>
            <w:r>
              <w:rPr>
                <w:rFonts w:ascii="仿宋_GB2312" w:hAnsi="仿宋_GB2312" w:cs="仿宋_GB2312" w:eastAsia="仿宋_GB2312"/>
              </w:rPr>
              <w:t>1.采购金额：900000.00元</w:t>
            </w:r>
          </w:p>
          <w:p>
            <w:pPr>
              <w:pStyle w:val="null3"/>
            </w:pPr>
            <w:r>
              <w:rPr>
                <w:rFonts w:ascii="仿宋_GB2312" w:hAnsi="仿宋_GB2312" w:cs="仿宋_GB2312" w:eastAsia="仿宋_GB2312"/>
              </w:rPr>
              <w:t>2.采购需求：</w:t>
            </w:r>
            <w:r>
              <w:rPr>
                <w:rFonts w:ascii="仿宋_GB2312" w:hAnsi="仿宋_GB2312" w:cs="仿宋_GB2312" w:eastAsia="仿宋_GB2312"/>
              </w:rPr>
              <w:t>面向养老护理员线下培训600人，养老家庭照护者的线上培训。包括在岗养老护理员线下职业技能培训和养老家庭照护者的护理技能线上培训。采取线上和线下培训相结合的方式，线上培训不限数量。线上培训需采用国有企业开发且运行稳定的视频直播系统，需提供相关证明材料。线下培训以班为单位组织培训，每班约150人，养老服务管理人才培训不少30课时。</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1.应具备编写培训</w:t>
            </w:r>
            <w:r>
              <w:rPr>
                <w:rFonts w:ascii="仿宋_GB2312" w:hAnsi="仿宋_GB2312" w:cs="仿宋_GB2312" w:eastAsia="仿宋_GB2312"/>
              </w:rPr>
              <w:t>资料、拍摄视频和课程设置能力，能够组织省内养老专家采取网络方式进行理论授课和实操讲解，具备采用信息化手段收集汇总参培人员信息的能力。</w:t>
            </w:r>
          </w:p>
          <w:p>
            <w:pPr>
              <w:pStyle w:val="null3"/>
              <w:jc w:val="both"/>
            </w:pPr>
            <w:r>
              <w:rPr>
                <w:rFonts w:ascii="仿宋_GB2312" w:hAnsi="仿宋_GB2312" w:cs="仿宋_GB2312" w:eastAsia="仿宋_GB2312"/>
              </w:rPr>
              <w:t>2.</w:t>
            </w:r>
            <w:r>
              <w:rPr>
                <w:rFonts w:ascii="仿宋_GB2312" w:hAnsi="仿宋_GB2312" w:cs="仿宋_GB2312" w:eastAsia="仿宋_GB2312"/>
              </w:rPr>
              <w:t>应开设有养老或医学护理专业，有能同时容纳150-250人的承载力，符合国家标准的实操实训室以及满足培训需求的器材。具有民政部门和人社部门认可的养老护理员职业技能等级评价认定资质。</w:t>
            </w:r>
          </w:p>
          <w:p>
            <w:pPr>
              <w:pStyle w:val="null3"/>
              <w:jc w:val="both"/>
            </w:pPr>
            <w:r>
              <w:rPr>
                <w:rFonts w:ascii="仿宋_GB2312" w:hAnsi="仿宋_GB2312" w:cs="仿宋_GB2312" w:eastAsia="仿宋_GB2312"/>
              </w:rPr>
              <w:t>3.</w:t>
            </w:r>
            <w:r>
              <w:rPr>
                <w:rFonts w:ascii="仿宋_GB2312" w:hAnsi="仿宋_GB2312" w:cs="仿宋_GB2312" w:eastAsia="仿宋_GB2312"/>
              </w:rPr>
              <w:t>要具备能够在一线组织培训的能力，师资力量在省内有一定影响力，</w:t>
            </w:r>
            <w:r>
              <w:rPr>
                <w:rFonts w:ascii="仿宋_GB2312" w:hAnsi="仿宋_GB2312" w:cs="仿宋_GB2312" w:eastAsia="仿宋_GB2312"/>
              </w:rPr>
              <w:t>需具有网络直播和拍摄视频片能力。</w:t>
            </w:r>
          </w:p>
          <w:p>
            <w:pPr>
              <w:pStyle w:val="null3"/>
              <w:jc w:val="both"/>
            </w:pPr>
            <w:r>
              <w:rPr>
                <w:rFonts w:ascii="仿宋_GB2312" w:hAnsi="仿宋_GB2312" w:cs="仿宋_GB2312" w:eastAsia="仿宋_GB2312"/>
              </w:rPr>
              <w:t>4.</w:t>
            </w:r>
            <w:r>
              <w:rPr>
                <w:rFonts w:ascii="仿宋_GB2312" w:hAnsi="仿宋_GB2312" w:cs="仿宋_GB2312" w:eastAsia="仿宋_GB2312"/>
              </w:rPr>
              <w:t>环境优越，能够保障好线下培训人员的学习、食宿和教学保障。</w:t>
            </w:r>
          </w:p>
          <w:p>
            <w:pPr>
              <w:pStyle w:val="null3"/>
              <w:jc w:val="both"/>
            </w:pPr>
            <w:r>
              <w:rPr>
                <w:rFonts w:ascii="仿宋_GB2312" w:hAnsi="仿宋_GB2312" w:cs="仿宋_GB2312" w:eastAsia="仿宋_GB2312"/>
              </w:rPr>
              <w:t>三、商务要求：</w:t>
            </w:r>
          </w:p>
          <w:p>
            <w:pPr>
              <w:pStyle w:val="null3"/>
              <w:jc w:val="both"/>
            </w:pPr>
            <w:r>
              <w:rPr>
                <w:rFonts w:ascii="仿宋_GB2312" w:hAnsi="仿宋_GB2312" w:cs="仿宋_GB2312" w:eastAsia="仿宋_GB2312"/>
              </w:rPr>
              <w:t>1.服务期限：</w:t>
            </w:r>
            <w:r>
              <w:rPr>
                <w:rFonts w:ascii="仿宋_GB2312" w:hAnsi="仿宋_GB2312" w:cs="仿宋_GB2312" w:eastAsia="仿宋_GB2312"/>
              </w:rPr>
              <w:t>合同签订后，60日内完成所有培训任务。</w:t>
            </w:r>
          </w:p>
          <w:p>
            <w:pPr>
              <w:pStyle w:val="null3"/>
              <w:jc w:val="both"/>
            </w:pPr>
            <w:r>
              <w:rPr>
                <w:rFonts w:ascii="仿宋_GB2312" w:hAnsi="仿宋_GB2312" w:cs="仿宋_GB2312" w:eastAsia="仿宋_GB2312"/>
              </w:rPr>
              <w:t>2.服务地点：西安市。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满足采购需求及评标办法内相关要求。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满足采购需求及评标办法内相关要求。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满足采购需求及评标办法内相关要求。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满足采购需求及评标办法内相关要求。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自合同签订之日起60日内完成所有培训。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自合同签订之日起60日内完成所有培训。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完成所有培训内容且验收合格后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完成所有培训内容且验收合格后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在规定的时间内由于乙方的原因不能完成服务的,乙方应承担由此给甲方造成的损失。如果乙方在2个月内不能履行合同义务的，甲方可单方解除合同，并且不承担违约责任。按《中华人民共和国政府采购法》、《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如在规定的时间内由于乙方的原因不能完成服务的,乙方应承担由此给甲方造成的损失。如果乙方在2个月内不能履行合同义务的，甲方可单方解除合同，并且不承担违约责任。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同一投标人只能参与1个采购包投标。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年度或2024年度经审计的财务报告（至少包括三表一注，成立时间至提交响应文件截止时间不足一年的可提供成立后任意时段的资产负债表），或投标前三个月内开户银行出具的资信证明（附开户许可证或开户银行证明）；</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提供响应文件递交时间前一年内至少一个月已缴纳的纳税证明或完税证明凭据；其他组织和自然人提供响应文件递交时间前一年内至少一个月缴纳税收的凭据；依法免税的供应商应提供相关文件证明；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提供响应文件递交时间前一年内至少一个月已缴纳的社会保障资金的凭据（专用收据或社会保险缴纳清单）；依法不需要缴纳社会保障资金的供应商应提供相关文件证明；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法定代表人直接参与投标须提交法定代表人身份证明书及其身份证原件，法定代表人授权代表参加投标的，须出具授权书及被授权人身份证；</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本项目不允许联合体投标，须提供非联合体声明；</w:t>
            </w:r>
          </w:p>
        </w:tc>
        <w:tc>
          <w:tcPr>
            <w:tcW w:type="dxa" w:w="1661"/>
          </w:tcPr>
          <w:p>
            <w:pPr>
              <w:pStyle w:val="null3"/>
            </w:pPr>
            <w:r>
              <w:rPr>
                <w:rFonts w:ascii="仿宋_GB2312" w:hAnsi="仿宋_GB2312" w:cs="仿宋_GB2312" w:eastAsia="仿宋_GB2312"/>
              </w:rPr>
              <w:t>资格证明文件（包1）.docx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单位负责人为同一人或者存在控股、管理关系的不同单位，不得同时参加本招标项目投标。</w:t>
            </w:r>
          </w:p>
        </w:tc>
        <w:tc>
          <w:tcPr>
            <w:tcW w:type="dxa" w:w="1661"/>
          </w:tcPr>
          <w:p>
            <w:pPr>
              <w:pStyle w:val="null3"/>
            </w:pPr>
            <w:r>
              <w:rPr>
                <w:rFonts w:ascii="仿宋_GB2312" w:hAnsi="仿宋_GB2312" w:cs="仿宋_GB2312" w:eastAsia="仿宋_GB2312"/>
              </w:rPr>
              <w:t>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年度或2024年度经审计的财务报告（至少包括三表一注，成立时间至提交响应文件截止时间不足一年的可提供成立后任意时段的资产负债表），或投标前三个月内开户银行出具的资信证明（附开户许可证或开户银行证明）；</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提供响应文件递交时间前一年内至少一个月已缴纳的纳税证明或完税证明凭据；其他组织和自然人提供响应文件递交时间前一年内至少一个月缴纳税收的凭据；依法免税的供应商应提供相关文件证明；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提供响应文件递交时间前一年内至少一个月已缴纳的社会保障资金的凭据（专用收据或社会保险缴纳清单）；依法不需要缴纳社会保障资金的供应商应提供相关文件证明；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具有民政部门和人社部门认可的养老护理员职业技能等级评价认定资质；</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法定代表人直接参与投标须提交法定代表人身份证明书及其身份证原件，法定代表人授权代表参加投标的，须出具授权书及被授权人身份证；</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本项目不允许联合体投标，须提供非联合体声明；</w:t>
            </w:r>
          </w:p>
        </w:tc>
        <w:tc>
          <w:tcPr>
            <w:tcW w:type="dxa" w:w="1661"/>
          </w:tcPr>
          <w:p>
            <w:pPr>
              <w:pStyle w:val="null3"/>
            </w:pPr>
            <w:r>
              <w:rPr>
                <w:rFonts w:ascii="仿宋_GB2312" w:hAnsi="仿宋_GB2312" w:cs="仿宋_GB2312" w:eastAsia="仿宋_GB2312"/>
              </w:rPr>
              <w:t>资格证明文件（包2）.docx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单位负责人为同一人或者存在控股、管理关系的不同单位，不得同时参加本招标项目投标。</w:t>
            </w:r>
          </w:p>
        </w:tc>
        <w:tc>
          <w:tcPr>
            <w:tcW w:type="dxa" w:w="1661"/>
          </w:tcPr>
          <w:p>
            <w:pPr>
              <w:pStyle w:val="null3"/>
            </w:pPr>
            <w:r>
              <w:rPr>
                <w:rFonts w:ascii="仿宋_GB2312" w:hAnsi="仿宋_GB2312" w:cs="仿宋_GB2312" w:eastAsia="仿宋_GB2312"/>
              </w:rPr>
              <w:t>资格证明文件（包2）.docx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服务内容及服务邀请应答表 商务应答表 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投标人的报价没有出现明显低于其他通过符合性审查投标人的报价，没有影响服务质量且能诚信履约，投标人能证明其报价合理性</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w:t>
            </w:r>
          </w:p>
        </w:tc>
        <w:tc>
          <w:tcPr>
            <w:tcW w:type="dxa" w:w="1661"/>
          </w:tcPr>
          <w:p>
            <w:pPr>
              <w:pStyle w:val="null3"/>
            </w:pPr>
            <w:r>
              <w:rPr>
                <w:rFonts w:ascii="仿宋_GB2312" w:hAnsi="仿宋_GB2312" w:cs="仿宋_GB2312" w:eastAsia="仿宋_GB2312"/>
              </w:rPr>
              <w:t>服务内容及服务邀请应答表 商务应答表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商务应答表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服务内容及服务邀请应答表 商务应答表 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投标人的报价没有出现明显低于其他通过符合性审查投标人的报价，没有影响服务质量且能诚信履约，投标人能证明其报价合理性</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w:t>
            </w:r>
          </w:p>
        </w:tc>
        <w:tc>
          <w:tcPr>
            <w:tcW w:type="dxa" w:w="1661"/>
          </w:tcPr>
          <w:p>
            <w:pPr>
              <w:pStyle w:val="null3"/>
            </w:pPr>
            <w:r>
              <w:rPr>
                <w:rFonts w:ascii="仿宋_GB2312" w:hAnsi="仿宋_GB2312" w:cs="仿宋_GB2312" w:eastAsia="仿宋_GB2312"/>
              </w:rPr>
              <w:t>服务内容及服务邀请应答表 商务应答表 承诺函.docx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商务应答表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投标保证金包2.docx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投标人对本项目背景和现状、政策、相关标准及规范、需求进行充分了解，总体目标与项目需求吻合。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针对本项目服务的重点和难点的认识及分析，具有完善、合理的对策措施。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投标人针对本项目提供具体可行的培训服务方案；①培训内容②培训教材编写或选用③培训模式。 二、评审标准 1、完整性：方案须全面，对评审内容中的各项要求有详细描述； 2、可实施性：切合本项目实际情况，实施步骤清晰、合理； 3、针对性：方案能够紧扣项目实际情况，内容科学合理。 三、赋分依据①培训内容： 每完全满足一个评审标准得1分，基本满足一个评审标准得0.5分，满分3分，未提供不得分。②培训教材编写或选用：每完全满足一个评审标准得1分，基本满足一个评审标准得0.5分，满分3分，未提供不得分。③培训模式：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一、评审内容 投标人针对本项目制订详细的培训计划及流程。①培训计划②讲师资源介绍③课程制定。 二、评审标准 1、完整性：方案须全面，对评审内容中的各项要求有详细描述； 2、可实施性：切合本项目实际情况，实施步骤清晰、合理； 3、针对性：方案能够紧扣项目实际情况，内容科学合理。 三、赋分依据①培训计划： 每完全满足一个评审标准得2分，基本满足一个评审标准得1分，满分6分，未提供不得分。②讲师资源介绍：每完全满足一个评审标准得2分，基本满足一个评审标准得1分，满分6分，未提供不得分。③课程制定：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投标人针对本项目的管理制度①教学管理制度②日常管理制度③人员岗位职责制度④纪律和奖惩办法规章制度。 二、评审标准 1、完整性：方案须全面，对评审内容中的各项要求有详细描述； 2、可实施性：切合本项目实际情况，实施步骤清晰、合理； 3、针对性：方案能够紧扣项目实际情况，内容科学合理。 赋分依据①教学管理制度： 每完全满足一个评审标准得1分，基本满足一个评审标准得0.5分，满分3分，未提供不得分。②日常管理制度：每完全满足一个评审标准得1分，基本满足一个评审标准得0.5分，满分3分，未提供不得分。③人员岗位职责制度：每完全满足一个评审标准得1分，基本满足一个评审标准得0.5分，满分3分，未提供不得分。④纪律和奖惩办法规章制度：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根据本项目特点，提供完备的应急预案及应对措施。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师资力量</w:t>
            </w:r>
          </w:p>
        </w:tc>
        <w:tc>
          <w:tcPr>
            <w:tcW w:type="dxa" w:w="2492"/>
          </w:tcPr>
          <w:p>
            <w:pPr>
              <w:pStyle w:val="null3"/>
            </w:pPr>
            <w:r>
              <w:rPr>
                <w:rFonts w:ascii="仿宋_GB2312" w:hAnsi="仿宋_GB2312" w:cs="仿宋_GB2312" w:eastAsia="仿宋_GB2312"/>
              </w:rPr>
              <w:t>具有教学培训、编写或选用教材和拍摄视频的师资队伍，本单位自有1名养老或医学专业的专家同时具有高级职称的计2分，本单位自有1名养老或医学专业的专家同时具有中级职称的计1分，同一人员只计一次分，满分8分。 评审依据：需提供专家聘书和职称证等证明资料。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硬件设施</w:t>
            </w:r>
          </w:p>
        </w:tc>
        <w:tc>
          <w:tcPr>
            <w:tcW w:type="dxa" w:w="2492"/>
          </w:tcPr>
          <w:p>
            <w:pPr>
              <w:pStyle w:val="null3"/>
            </w:pPr>
            <w:r>
              <w:rPr>
                <w:rFonts w:ascii="仿宋_GB2312" w:hAnsi="仿宋_GB2312" w:cs="仿宋_GB2312" w:eastAsia="仿宋_GB2312"/>
              </w:rPr>
              <w:t>针对本项目拟配备的硬件设施（包含但不限于培训场所、多媒体设施、住宿环境、餐厅环境、取暖及降温设施等），按其响应程度自主赋分： 设备配备齐全，环境优良，完全满足本项目需求，计8分； 设备配备基本齐全，环境一般，基本满足本项目需求，计6分； 设备配备不齐全，环境较差，不够满足本项目需求，计3分。 评审依据：提供图片等相关证明材料，仅文字说明的不得分。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1.投标人具有信息化管理能力，能够实现网络报名、管理的计3分；2.投标人具有网络课程直播（录播）、拍摄制作教学视频的能力计4分。（提供设备、音视频制作软件、直播系统、背景墙、场地等证明材料） 评审依据：以上评审项均需提供相关证明材料，未提供或提供的材料经评标委员会认定不能证明符合要求的不得分。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投标人近三年（2022年7月至今）具有类似项目业绩，每提供一份计2分，满分10分。 评审依据：提供投标人加盖公章的合同协议书复印件，以合同签订时间为准。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本项目非专门面向中小企业采购，投标人如果为小微企业、或监狱企业、或残疾人福利企业，则投标人的投标总报价扣除10%后参与评审，投标人须提供《中小企业声明函》。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投标人对本项目背景和现状、政策、相关标准及规范、需求进行充分了解，总体目标与项目需求吻合。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针对本项目服务的重点和难点的认识及分析，具有完善、合理的对策措施。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投标人针对本项目提供具体可行的培训服务方案；①培训内容②培训教材编写或选用③培训模式。 二、评审标准 1、完整性：方案须全面，对评审内容中的各项要求有详细描述； 2、可实施性：切合本项目实际情况，实施步骤清晰、合理； 3、针对性：方案能够紧扣项目实际情况，内容科学合理。 三、赋分依据①培训内容： 每完全满足一个评审标准得1分，基本满足一个评审标准得0.5分，满分3分，未提供不得分。②培训教材编写或选用：每完全满足一个评审标准得1分，基本满足一个评审标准得0.5分，满分3分，未提供不得分。③培训模式：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一、评审内容 投标人针对本项目制订详细的培训计划及流程。①培训计划②讲师资源介绍③课程制定。 二、评审标准 1、完整性：方案须全面，对评审内容中的各项要求有详细描述； 2、可实施性：切合本项目实际情况，实施步骤清晰、合理； 3、针对性：方案能够紧扣项目实际情况，内容科学合理。 三、赋分依据①培训计划： 每完全满足一个评审标准得2分，基本满足一个评审标准得1分，满分6分，未提供不得分。②讲师资源介绍：每完全满足一个评审标准得2分，基本满足一个评审标准得1分，满分6分，未提供不得分。③课程制定：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投标人针对本项目的管理制度①教学管理制度②日常管理制度③人员岗位职责制度④纪律和奖惩办法规章制度。 二、评审标准 1、完整性：方案须全面，对评审内容中的各项要求有详细描述； 2、可实施性：切合本项目实际情况，实施步骤清晰、合理； 3、针对性：方案能够紧扣项目实际情况，内容科学合理。 赋分依据①教学管理制度： 每完全满足一个评审标准得1分，基本满足一个评审标准得0.5分，满分3分，未提供不得分。②日常管理制度：每完全满足一个评审标准得1分，基本满足一个评审标准得0.5分，满分3分，未提供不得分。③人员岗位职责制度：每完全满足一个评审标准得1分，基本满足一个评审标准得0.5分，满分3分，未提供不得分。④纪律和奖惩办法规章制度：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根据本项目特点，提供完备的应急预案及应对措施。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师资力量</w:t>
            </w:r>
          </w:p>
        </w:tc>
        <w:tc>
          <w:tcPr>
            <w:tcW w:type="dxa" w:w="2492"/>
          </w:tcPr>
          <w:p>
            <w:pPr>
              <w:pStyle w:val="null3"/>
            </w:pPr>
            <w:r>
              <w:rPr>
                <w:rFonts w:ascii="仿宋_GB2312" w:hAnsi="仿宋_GB2312" w:cs="仿宋_GB2312" w:eastAsia="仿宋_GB2312"/>
              </w:rPr>
              <w:t>具有教学培训、编写或选用教材和拍摄视频的师资队伍，本单位自有1名养老或医学专业的专家同时具有高级职称的计2分，本单位自有1名养老或医学专业的专家同时具有中级职称的计1分，同一人员只计一次分，满分8分。 评审依据：需提供专家聘书和职称证等证明资料。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硬件设施</w:t>
            </w:r>
          </w:p>
        </w:tc>
        <w:tc>
          <w:tcPr>
            <w:tcW w:type="dxa" w:w="2492"/>
          </w:tcPr>
          <w:p>
            <w:pPr>
              <w:pStyle w:val="null3"/>
            </w:pPr>
            <w:r>
              <w:rPr>
                <w:rFonts w:ascii="仿宋_GB2312" w:hAnsi="仿宋_GB2312" w:cs="仿宋_GB2312" w:eastAsia="仿宋_GB2312"/>
              </w:rPr>
              <w:t>针对本项目拟配备的硬件设施（包含但不限于培训场所、多媒体设施、住宿环境、餐厅环境、取暖及降温设施等），按其响应程度自主赋分： 设备配备齐全，环境优良，完全满足本项目需求，计8分； 设备配备基本齐全，环境一般，基本满足本项目需求，计6分； 设备配备不齐全，环境较差，不够满足本项目需求，计3分。 评审依据：提供图片等相关证明材料，仅文字说明的不得分。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1.投标人具有信息化管理能力，能够实现网络报名、管理的计3分； 2.投标人具有网络课程直播（录播）、拍摄制作教学视频的能力计4分。（提供设备、音视频制作软件、直播系统、背景墙、场地等证明材料） 评审依据：以上评审项均需提供相关证明材料，未提供或提供的材料经评标委员会认定不能证明符合要求的不得分。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投标人近三年（2022年7月至今）具有类似项目业绩，每提供一份计2分，满分10分。 评审依据：提供投标人加盖公章的合同协议书复印件，以合同签订时间为准。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本项目非专门面向中小企业采购，投标人如果为小微企业、或监狱企业、或残疾人福利企业，则投标人的投标总报价扣除10%后参与评审，投标人须提供《中小企业声明函》。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详见附件：资格证明文件（包1）.docx</w:t>
      </w:r>
    </w:p>
    <w:p>
      <w:pPr>
        <w:pStyle w:val="null3"/>
        <w:ind w:firstLine="960"/>
      </w:pPr>
      <w:r>
        <w:rPr>
          <w:rFonts w:ascii="仿宋_GB2312" w:hAnsi="仿宋_GB2312" w:cs="仿宋_GB2312" w:eastAsia="仿宋_GB2312"/>
        </w:rPr>
        <w:t>详见附件：投标保证金包1.docx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详见附件：资格证明文件（包2）.docx</w:t>
      </w:r>
    </w:p>
    <w:p>
      <w:pPr>
        <w:pStyle w:val="null3"/>
        <w:ind w:firstLine="960"/>
      </w:pPr>
      <w:r>
        <w:rPr>
          <w:rFonts w:ascii="仿宋_GB2312" w:hAnsi="仿宋_GB2312" w:cs="仿宋_GB2312" w:eastAsia="仿宋_GB2312"/>
        </w:rPr>
        <w:t>详见附件：投标保证金包2.docx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