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版本号：HHGJZC2025-CS30220250729001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陕西省内直接接触食品的材料等相关产品生产许可证全覆盖例行检查工作项目(二次)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HHGJZC2025-CS302</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陕西省内直接接触食品的材料等相关产品生产许可证全覆盖例行检查工作项目(二次)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HHGJZC2025-CS302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陕西省内直接接触食品的材料等相关产品生产许可证全覆盖例行检查工作项目(二次)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1.按委托方（采购人）的要求，完成本年度陕西省内直接接触食品的材料等相关产品生产许可证委托技术检查相关工作。 2.合同有效期内安排的与省内直接接触食品的材料等相关产品生产许可证技术检查有关的工作，全覆盖例行检查100家左右。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代理服务费收费标准：定额收取人民币陆仟元整（¥6,000.00） 成交供应商在领取成交通知书前，须向采购代理机构一次性支付招标代理服务费。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1.按委托方（采购人）的要求，完成本年度陕西省内直接接触食品的材料等相关产品生产许可证委托技术检查相关工作。 2.合同有效期内安排的与省内直接接触食品的材料等相关产品生产许可证技术检查有关的工作，全覆盖例行检查100家左右。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188,000.00</w:t>
      </w:r>
    </w:p>
    <w:p>
      <w:pPr>
        <w:pStyle w:val="null3"/>
      </w:pPr>
      <w:r>
        <w:rPr>
          <w:rFonts w:ascii="仿宋_GB2312" w:hAnsi="仿宋_GB2312" w:cs="仿宋_GB2312" w:eastAsia="仿宋_GB2312"/>
        </w:rPr>
        <w:t>采购包最高限价（元）: 188,000.00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陕西省内直接接触食品的材料等相关产品生产许可证全覆盖例行检查工作项目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标的名称：陕西省内直接接触食品的材料等相关产品生产许可证全覆盖例行检查工作项目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 xml:space="preserve">  一、服务内容</w:t>
            </w:r>
          </w:p>
          <w:p>
            <w:pPr>
              <w:pStyle w:val="null3"/>
              <w:ind w:firstLine="400"/>
              <w:jc w:val="both"/>
            </w:pPr>
            <w:r>
              <w:rPr>
                <w:rFonts w:ascii="仿宋_GB2312" w:hAnsi="仿宋_GB2312" w:cs="仿宋_GB2312" w:eastAsia="仿宋_GB2312"/>
                <w:sz w:val="20"/>
              </w:rPr>
              <w:t>接受委托后，应依据《中华人民共和国产品质量法》、《中华人民共和国行政许可法》、《中华人民共和国工业产品生产许可证管理条例》、《中华人民共和国工业产品生产许可证管理条例实施办法》、《质量监督检验检疫行政许可实施办法》、《关于公布工业产品生产许可证规范性文件的公告》、《工业产品生产许可证实施细则通则》、《食品相关产品生产许可实施细则》（一）（食品用塑料包装容器工具等制品部分）、《食品相关产品生产许可实施细则》（二）（食品用纸包装、容器等制品部分）、《食品相关产品生产许可实施细则》（三）（食品用洗涤剂部分）、《食品相关产品生产许可实施细则》（四）（压力锅产品部分）、《食品相关产品生产许可实施细则》（五）（电热食品加工设备部分）、《陕西省市场监督管理局关于进一步做好食品相关产品全覆盖例行检查工作的通知》（陕市监发〔</w:t>
            </w:r>
            <w:r>
              <w:rPr>
                <w:rFonts w:ascii="仿宋_GB2312" w:hAnsi="仿宋_GB2312" w:cs="仿宋_GB2312" w:eastAsia="仿宋_GB2312"/>
                <w:sz w:val="20"/>
              </w:rPr>
              <w:t>2024〕109号）、《陕西省工业产品生产许可证审批程序工作细则》（见附件）、《陕西省工业产品生产许可证技术机构管理规定》等法规和文件的要求开展如下工作：</w:t>
            </w:r>
          </w:p>
          <w:p>
            <w:pPr>
              <w:pStyle w:val="null3"/>
              <w:ind w:firstLine="400"/>
              <w:jc w:val="both"/>
            </w:pPr>
            <w:r>
              <w:rPr>
                <w:rFonts w:ascii="仿宋_GB2312" w:hAnsi="仿宋_GB2312" w:cs="仿宋_GB2312" w:eastAsia="仿宋_GB2312"/>
                <w:sz w:val="20"/>
              </w:rPr>
              <w:t>①组织完成省内直接接触食品的材料等相关产品生产许可证申请企业的资料复审、全覆盖例行检查、汇总审核工作以及提出许可与否建议；</w:t>
            </w:r>
          </w:p>
          <w:p>
            <w:pPr>
              <w:pStyle w:val="null3"/>
              <w:ind w:firstLine="400"/>
              <w:jc w:val="both"/>
            </w:pPr>
            <w:r>
              <w:rPr>
                <w:rFonts w:ascii="仿宋_GB2312" w:hAnsi="仿宋_GB2312" w:cs="仿宋_GB2312" w:eastAsia="仿宋_GB2312"/>
                <w:sz w:val="20"/>
              </w:rPr>
              <w:t>②负责省内直接接触食品的材料等相关产品生产许可证技术专家培训、考核、聘用、换证等资格审查、派遣使用、队伍建设的管理工作；</w:t>
            </w:r>
          </w:p>
          <w:p>
            <w:pPr>
              <w:pStyle w:val="null3"/>
              <w:ind w:firstLine="400"/>
              <w:jc w:val="both"/>
            </w:pPr>
            <w:r>
              <w:rPr>
                <w:rFonts w:ascii="仿宋_GB2312" w:hAnsi="仿宋_GB2312" w:cs="仿宋_GB2312" w:eastAsia="仿宋_GB2312"/>
                <w:sz w:val="20"/>
              </w:rPr>
              <w:t>③负责省内直接接触食品的材料等相关产品已获证企业的政策宣贯和技术支撑。</w:t>
            </w:r>
          </w:p>
          <w:p>
            <w:pPr>
              <w:pStyle w:val="null3"/>
              <w:ind w:firstLine="400"/>
              <w:jc w:val="both"/>
            </w:pPr>
            <w:r>
              <w:rPr>
                <w:rFonts w:ascii="仿宋_GB2312" w:hAnsi="仿宋_GB2312" w:cs="仿宋_GB2312" w:eastAsia="仿宋_GB2312"/>
                <w:sz w:val="20"/>
              </w:rPr>
              <w:t>二、服务要求</w:t>
            </w:r>
          </w:p>
          <w:p>
            <w:pPr>
              <w:pStyle w:val="null3"/>
              <w:ind w:firstLine="400"/>
              <w:jc w:val="both"/>
            </w:pPr>
            <w:r>
              <w:rPr>
                <w:rFonts w:ascii="仿宋_GB2312" w:hAnsi="仿宋_GB2312" w:cs="仿宋_GB2312" w:eastAsia="仿宋_GB2312"/>
                <w:sz w:val="20"/>
              </w:rPr>
              <w:t>1.承担项目任务的人员和设施条件及应尽责任。</w:t>
            </w:r>
          </w:p>
          <w:p>
            <w:pPr>
              <w:pStyle w:val="null3"/>
              <w:ind w:firstLine="400"/>
              <w:jc w:val="both"/>
            </w:pPr>
            <w:r>
              <w:rPr>
                <w:rFonts w:ascii="仿宋_GB2312" w:hAnsi="仿宋_GB2312" w:cs="仿宋_GB2312" w:eastAsia="仿宋_GB2312"/>
                <w:sz w:val="20"/>
              </w:rPr>
              <w:t>① 应配备完成合同内容所需的工作人员及适宜的办公环境；</w:t>
            </w:r>
          </w:p>
          <w:p>
            <w:pPr>
              <w:pStyle w:val="null3"/>
              <w:ind w:firstLine="400"/>
              <w:jc w:val="both"/>
            </w:pPr>
            <w:r>
              <w:rPr>
                <w:rFonts w:ascii="仿宋_GB2312" w:hAnsi="仿宋_GB2312" w:cs="仿宋_GB2312" w:eastAsia="仿宋_GB2312"/>
                <w:sz w:val="20"/>
              </w:rPr>
              <w:t>② 具有完成合同内容所需的组织管理机制和协调能力；</w:t>
            </w:r>
          </w:p>
          <w:p>
            <w:pPr>
              <w:pStyle w:val="null3"/>
              <w:ind w:firstLine="400"/>
              <w:jc w:val="both"/>
            </w:pPr>
            <w:r>
              <w:rPr>
                <w:rFonts w:ascii="仿宋_GB2312" w:hAnsi="仿宋_GB2312" w:cs="仿宋_GB2312" w:eastAsia="仿宋_GB2312"/>
                <w:sz w:val="20"/>
              </w:rPr>
              <w:t>③ 能够跟踪相关产品行业发展动态，熟悉相关产品生产过程及技术；</w:t>
            </w:r>
          </w:p>
          <w:p>
            <w:pPr>
              <w:pStyle w:val="null3"/>
              <w:ind w:firstLine="400"/>
              <w:jc w:val="both"/>
            </w:pPr>
            <w:r>
              <w:rPr>
                <w:rFonts w:ascii="仿宋_GB2312" w:hAnsi="仿宋_GB2312" w:cs="仿宋_GB2312" w:eastAsia="仿宋_GB2312"/>
                <w:sz w:val="20"/>
              </w:rPr>
              <w:t>④ 满足法律法规规定的其他条件。</w:t>
            </w:r>
          </w:p>
          <w:p>
            <w:pPr>
              <w:pStyle w:val="null3"/>
              <w:ind w:firstLine="400"/>
              <w:jc w:val="both"/>
            </w:pPr>
            <w:r>
              <w:rPr>
                <w:rFonts w:ascii="仿宋_GB2312" w:hAnsi="仿宋_GB2312" w:cs="仿宋_GB2312" w:eastAsia="仿宋_GB2312"/>
                <w:sz w:val="20"/>
              </w:rPr>
              <w:t>2.根据法律法规及相关文件掌握项目执行所需的政策文件和具体要求。</w:t>
            </w:r>
          </w:p>
          <w:p>
            <w:pPr>
              <w:pStyle w:val="null3"/>
              <w:ind w:firstLine="400"/>
              <w:jc w:val="both"/>
            </w:pPr>
            <w:r>
              <w:rPr>
                <w:rFonts w:ascii="仿宋_GB2312" w:hAnsi="仿宋_GB2312" w:cs="仿宋_GB2312" w:eastAsia="仿宋_GB2312"/>
                <w:sz w:val="20"/>
              </w:rPr>
              <w:t>3.应当严格按照服务内容承担相关工作。保证所承担的技术检查工作的科学、公正、准确，及时上报审查结果，不得隐瞒、毁损和伪造检查结果。</w:t>
            </w:r>
          </w:p>
          <w:p>
            <w:pPr>
              <w:pStyle w:val="null3"/>
              <w:ind w:firstLine="400"/>
              <w:jc w:val="both"/>
            </w:pPr>
            <w:r>
              <w:rPr>
                <w:rFonts w:ascii="仿宋_GB2312" w:hAnsi="仿宋_GB2312" w:cs="仿宋_GB2312" w:eastAsia="仿宋_GB2312"/>
                <w:sz w:val="20"/>
              </w:rPr>
              <w:t>4.应当在服务时限内，保质保量完成技术检查工作，确保无违法违规行为发生。</w:t>
            </w:r>
          </w:p>
          <w:p>
            <w:pPr>
              <w:pStyle w:val="null3"/>
              <w:ind w:firstLine="400"/>
              <w:jc w:val="both"/>
            </w:pPr>
            <w:r>
              <w:rPr>
                <w:rFonts w:ascii="仿宋_GB2312" w:hAnsi="仿宋_GB2312" w:cs="仿宋_GB2312" w:eastAsia="仿宋_GB2312"/>
                <w:sz w:val="20"/>
              </w:rPr>
              <w:t>5.禁止合同分包。</w:t>
            </w:r>
          </w:p>
          <w:p>
            <w:pPr>
              <w:pStyle w:val="null3"/>
              <w:ind w:firstLine="400"/>
              <w:jc w:val="both"/>
            </w:pPr>
            <w:r>
              <w:rPr>
                <w:rFonts w:ascii="仿宋_GB2312" w:hAnsi="仿宋_GB2312" w:cs="仿宋_GB2312" w:eastAsia="仿宋_GB2312"/>
                <w:sz w:val="20"/>
              </w:rPr>
              <w:t>6.对所承担的许可工作负保密责任。</w:t>
            </w:r>
          </w:p>
          <w:p>
            <w:pPr>
              <w:pStyle w:val="null3"/>
              <w:ind w:firstLine="400"/>
              <w:jc w:val="both"/>
            </w:pPr>
            <w:r>
              <w:rPr>
                <w:rFonts w:ascii="仿宋_GB2312" w:hAnsi="仿宋_GB2312" w:cs="仿宋_GB2312" w:eastAsia="仿宋_GB2312"/>
                <w:sz w:val="20"/>
              </w:rPr>
              <w:t>7.提供技术服务过程中的人员安全、劳动纠纷、民事侵权、违反廉政规定等法律后果，均由乙方负责。</w:t>
            </w:r>
          </w:p>
          <w:p>
            <w:pPr>
              <w:pStyle w:val="null3"/>
              <w:ind w:firstLine="400"/>
              <w:jc w:val="both"/>
            </w:pPr>
            <w:r>
              <w:rPr>
                <w:rFonts w:ascii="仿宋_GB2312" w:hAnsi="仿宋_GB2312" w:cs="仿宋_GB2312" w:eastAsia="仿宋_GB2312"/>
                <w:sz w:val="20"/>
              </w:rPr>
              <w:t>8.积极配合甲方提出的任何形式的工作过程监督、工作考核和经费审计等工作。</w:t>
            </w:r>
          </w:p>
          <w:p>
            <w:pPr>
              <w:pStyle w:val="null3"/>
              <w:ind w:firstLine="400"/>
              <w:jc w:val="both"/>
            </w:pPr>
            <w:r>
              <w:rPr>
                <w:rFonts w:ascii="仿宋_GB2312" w:hAnsi="仿宋_GB2312" w:cs="仿宋_GB2312" w:eastAsia="仿宋_GB2312"/>
                <w:sz w:val="20"/>
              </w:rPr>
              <w:t>9.保证检查结果的客观公正，对检查结果的真实性、有效性、合法性负责。</w:t>
            </w:r>
          </w:p>
          <w:p>
            <w:pPr>
              <w:pStyle w:val="null3"/>
              <w:ind w:firstLine="400"/>
              <w:jc w:val="both"/>
            </w:pPr>
            <w:r>
              <w:rPr>
                <w:rFonts w:ascii="仿宋_GB2312" w:hAnsi="仿宋_GB2312" w:cs="仿宋_GB2312" w:eastAsia="仿宋_GB2312"/>
                <w:sz w:val="20"/>
              </w:rPr>
              <w:t>10.实施承担任务过程中如有重大事项，应及时向采购人报告；如因遭遇不可抗力或其他因素影响项目任务的正常执行进度，致使承担任务需要调整时，应当及时告知采购人，与采购人共同协商，确定处理意见后执行。</w:t>
            </w:r>
          </w:p>
          <w:p>
            <w:pPr>
              <w:pStyle w:val="null3"/>
              <w:jc w:val="both"/>
            </w:pPr>
            <w:r>
              <w:rPr>
                <w:rFonts w:ascii="仿宋_GB2312" w:hAnsi="仿宋_GB2312" w:cs="仿宋_GB2312" w:eastAsia="仿宋_GB2312"/>
                <w:sz w:val="20"/>
              </w:rPr>
              <w:t>11.在开展技术检查过程中存在违法、违规和违反合同行为或采购人对服务质量不满意的，采购人可以随时解除合同并要求返还相应费用。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自合同签订之日起1年，具体服务起止日期按照合同约定执行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服务要求中的指定地点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服务内容全部完成，经采购人确认合格，确定项目完成。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服务内容全部完成，经采购人确认合格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合同条款响应表 报价表 服务要求和商务要求偏离表 响应文件封面 政府采购领域商业贿赂承诺书 资格证明文件 业绩证明材料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合同条款响应表 报价表 服务要求和商务要求偏离表 响应文件封面 政府采购领域商业贿赂承诺书 资格证明文件 业绩证明材料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 服务要求和商务要求偏离表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响应磋商文件合同条款且未附有采购人不能接受的附加条件</w:t>
            </w:r>
          </w:p>
        </w:tc>
        <w:tc>
          <w:tcPr>
            <w:tcW w:type="dxa" w:w="1661"/>
          </w:tcPr>
          <w:p>
            <w:pPr>
              <w:pStyle w:val="null3"/>
            </w:pPr>
            <w:r>
              <w:rPr>
                <w:rFonts w:ascii="仿宋_GB2312" w:hAnsi="仿宋_GB2312" w:cs="仿宋_GB2312" w:eastAsia="仿宋_GB2312"/>
              </w:rPr>
              <w:t>合同条款响应表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合同条款响应表 报价表 服务要求和商务要求偏离表 响应文件封面 政府采购领域商业贿赂承诺书 资格证明文件 业绩证明材料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评审内容：①服务内容的理解；②服务标准的规范；③满足服务要求的相关措施；④服务目标达成方案。 评审标准：以上内容专门针对本项目且阐述明确、详细、全面、合理得10分，评审内容每缺一项扣2.5分,评审内容每出现一处缺陷（缺陷指内容明显错误，或内容表述前后矛盾、内容不完整、表达简单笼统、缺少关键点，或不适用本项目特性等）的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工作流程方案</w:t>
            </w:r>
          </w:p>
        </w:tc>
        <w:tc>
          <w:tcPr>
            <w:tcW w:type="dxa" w:w="2492"/>
          </w:tcPr>
          <w:p>
            <w:pPr>
              <w:pStyle w:val="null3"/>
            </w:pPr>
            <w:r>
              <w:rPr>
                <w:rFonts w:ascii="仿宋_GB2312" w:hAnsi="仿宋_GB2312" w:cs="仿宋_GB2312" w:eastAsia="仿宋_GB2312"/>
              </w:rPr>
              <w:t>评审内容：①资料复审方案；②全覆盖例行检查方案；③汇总审核工作方案；④提出许可与否建议方案。 评审标准：以上内容专门针对本项目且阐述明确、详细、全面、合理得20分，评审内容每出现一处缺陷（缺陷指内容明显错误，或内容表述前后矛盾、内容不完整、表达简单笼统、缺少关键点，或不适用本项目特性等）的扣0.5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工作开展方案</w:t>
            </w:r>
          </w:p>
        </w:tc>
        <w:tc>
          <w:tcPr>
            <w:tcW w:type="dxa" w:w="2492"/>
          </w:tcPr>
          <w:p>
            <w:pPr>
              <w:pStyle w:val="null3"/>
            </w:pPr>
            <w:r>
              <w:rPr>
                <w:rFonts w:ascii="仿宋_GB2312" w:hAnsi="仿宋_GB2312" w:cs="仿宋_GB2312" w:eastAsia="仿宋_GB2312"/>
              </w:rPr>
              <w:t>评审内容：①技术专家培训、考核方案；②技术专家聘用、换证等资格审查方案；③技术专家派遣使用方案；④技术专家队伍建设的管理工作方案；⑤政策宣贯和技术支撑方案。 评审标准：以上内容专门针对本项目且阐述明确、详细、全面、合理得20分，评审内容每出现一处缺陷（缺陷指内容明显错误，或内容表述前后矛盾、内容不完整、表达简单笼统、缺少关键点，或不适用本项目特性等）的扣0.5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项目团队配置①组织机构设置方案②团队的职能分工及职责划分方案；③配置人员经验；④团队管理制度建设方案。 评审标准：机构设置合理、团队人员职责划分明确、分工合理、团队配置满足项目需要，人员经验丰富，专业能力能有效保障项目服务质量，内容描述详细，架构清晰的得10分。评审内容每缺一项扣2.5分；评审内容每出现一处缺陷（缺陷是指：内容粗略、组织结构设置不合理、人员配置不合理、职责划分不明确、人员经验不足、与项目特点不匹配、或只有标题没有实质性内容等）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评审内容：①完成服务要求中的各项内容质量保障方案；②检查结果质量保障方案；③重大事项处理保障方案。 评审标准：以上内容专门针对本项目且阐述明确、详细、全面、合理得15分，评审内容每缺一项扣5分,评审内容每出现一处缺陷（缺陷指内容明显错误，或内容表述前后矛盾、内容不完整、表达简单笼统、缺少关键点，或不适用本项目特性等）的扣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进度计划安排及时效保证措施</w:t>
            </w:r>
          </w:p>
        </w:tc>
        <w:tc>
          <w:tcPr>
            <w:tcW w:type="dxa" w:w="2492"/>
          </w:tcPr>
          <w:p>
            <w:pPr>
              <w:pStyle w:val="null3"/>
            </w:pPr>
            <w:r>
              <w:rPr>
                <w:rFonts w:ascii="仿宋_GB2312" w:hAnsi="仿宋_GB2312" w:cs="仿宋_GB2312" w:eastAsia="仿宋_GB2312"/>
              </w:rPr>
              <w:t>评审内容①进度计划安排②时效保证措施。 评审标准：以上内容专门针对本项目且阐述明细、全面、合理得6分，评审内容每缺一项扣3分,评审内容每出现一处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供应商2022年5月至响应文件提交截止日类似项目业绩（以合同复印件为准），每提供一份业绩得3分，最高得9分。若提供虚假业绩，一经发现，按无效磋商处理。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详见附件：合同条款响应表</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详见附件：政府采购领域商业贿赂承诺书</w:t>
      </w:r>
    </w:p>
    <w:p>
      <w:pPr>
        <w:pStyle w:val="null3"/>
        <w:ind w:firstLine="960"/>
      </w:pPr>
      <w:r>
        <w:rPr>
          <w:rFonts w:ascii="仿宋_GB2312" w:hAnsi="仿宋_GB2312" w:cs="仿宋_GB2312" w:eastAsia="仿宋_GB2312"/>
        </w:rPr>
        <w:t>详见附件：服务要求和商务要求偏离表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