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版本号：SZCTC-G25071420250730001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陕西省泾惠渠灌区2025年省级水利发展资金灌区防护工程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SZCTC-G250714</w:t>
      </w:r>
      <w:r>
        <w:br/>
      </w:r>
      <w:r>
        <w:br/>
      </w:r>
      <w:r>
        <w:br/>
      </w:r>
    </w:p>
    <w:p>
      <w:pPr>
        <w:pStyle w:val="null3"/>
        <w:jc w:val="center"/>
        <w:outlineLvl w:val="2"/>
      </w:pPr>
      <w:r>
        <w:rPr>
          <w:rFonts w:ascii="仿宋_GB2312" w:hAnsi="仿宋_GB2312" w:cs="仿宋_GB2312" w:eastAsia="仿宋_GB2312"/>
          <w:sz w:val="28"/>
          <w:b/>
        </w:rPr>
        <w:t>陕西省泾惠渠灌溉中心</w:t>
      </w:r>
    </w:p>
    <w:p>
      <w:pPr>
        <w:pStyle w:val="null3"/>
        <w:jc w:val="center"/>
        <w:outlineLvl w:val="2"/>
      </w:pPr>
      <w:r>
        <w:rPr>
          <w:rFonts w:ascii="仿宋_GB2312" w:hAnsi="仿宋_GB2312" w:cs="仿宋_GB2312" w:eastAsia="仿宋_GB2312"/>
          <w:sz w:val="28"/>
          <w:b/>
        </w:rPr>
        <w:t>陕西中海建招标有限责任公司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陕西中海建招标有限责任公司</w:t>
      </w:r>
      <w:r>
        <w:rPr>
          <w:rFonts w:ascii="仿宋_GB2312" w:hAnsi="仿宋_GB2312" w:cs="仿宋_GB2312" w:eastAsia="仿宋_GB2312"/>
        </w:rPr>
        <w:t>（以下简称“代理机构”）受</w:t>
      </w:r>
      <w:r>
        <w:rPr>
          <w:rFonts w:ascii="仿宋_GB2312" w:hAnsi="仿宋_GB2312" w:cs="仿宋_GB2312" w:eastAsia="仿宋_GB2312"/>
        </w:rPr>
        <w:t>陕西省泾惠渠灌溉中心</w:t>
      </w:r>
      <w:r>
        <w:rPr>
          <w:rFonts w:ascii="仿宋_GB2312" w:hAnsi="仿宋_GB2312" w:cs="仿宋_GB2312" w:eastAsia="仿宋_GB2312"/>
        </w:rPr>
        <w:t>委托，拟对</w:t>
      </w:r>
      <w:r>
        <w:rPr>
          <w:rFonts w:ascii="仿宋_GB2312" w:hAnsi="仿宋_GB2312" w:cs="仿宋_GB2312" w:eastAsia="仿宋_GB2312"/>
        </w:rPr>
        <w:t>陕西省泾惠渠灌区2025年省级水利发展资金灌区防护工程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SZCTC-G250714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陕西省泾惠渠灌区2025年省级水利发展资金灌区防护工程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泾惠渠灌区干支渠道安全防护工程涉及新建干支渠浸塑钢丝网安全防护工程共计8627m，其中：预埋立柱安装 8337m、法兰底座安装 290m。</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采购包1（陕西省泾惠渠灌区2025年省级水利发展资金灌区防护工程）：属于专门面向中小企业采购。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1、企业资质：具备水利水电工程施工总承包三级（含三级）以上资质，并具有建设行政主管部门颁发的安全生产许可证。</w:t>
      </w:r>
    </w:p>
    <w:p>
      <w:pPr>
        <w:pStyle w:val="null3"/>
      </w:pPr>
      <w:r>
        <w:rPr>
          <w:rFonts w:ascii="仿宋_GB2312" w:hAnsi="仿宋_GB2312" w:cs="仿宋_GB2312" w:eastAsia="仿宋_GB2312"/>
        </w:rPr>
        <w:t>2、拟派项目经理（项目负责人）：具备水利水电工程二级（含二级）以上建造师注册证书，同时具有水利行政主管部门颁发的《安全生产考核合格证》且无不良信用记录、无在建工程（提供无不良记录、无在建工程承诺书）。</w:t>
      </w:r>
    </w:p>
    <w:p>
      <w:pPr>
        <w:pStyle w:val="null3"/>
      </w:pPr>
      <w:r>
        <w:rPr>
          <w:rFonts w:ascii="仿宋_GB2312" w:hAnsi="仿宋_GB2312" w:cs="仿宋_GB2312" w:eastAsia="仿宋_GB2312"/>
        </w:rPr>
        <w:t>3、技术负责人：为本单位在册，具备水利相关专业中级及以上职称，且无不良信用记录、无在建工程（提供无不良记录、无在建工程承诺书）。</w:t>
      </w:r>
    </w:p>
    <w:p>
      <w:pPr>
        <w:pStyle w:val="null3"/>
      </w:pPr>
      <w:r>
        <w:rPr>
          <w:rFonts w:ascii="仿宋_GB2312" w:hAnsi="仿宋_GB2312" w:cs="仿宋_GB2312" w:eastAsia="仿宋_GB2312"/>
        </w:rPr>
        <w:t>4、企业负责人及专职安全员：具有水利行政主管部门颁发的《安全生产考核合格证》。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陕西省泾惠渠灌溉中心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陕西省咸阳市三原县宴友思大街1号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白 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029-32250209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陕西中海建招标有限责任公司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陕西省西安市二环南路西段154号易和蓝钻23层西侧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郭骐玮 王雅薇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029-88892252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承包人在本签订合同前向发包人缴纳中标金额10%的履约担保，根据国务院办公厅《关于清理规范工程建设领域保证金的通知》（国办发【2016】49号）规定，在工程项目完工前，已经缴纳履约保证金的，施工过程结算时不再扣留质量保证金。工程完工证书颁发后14天内，承包人按实际结算投资的3%向发包人缴纳工程质量保证金。完工验收合格后一年为缺陷责任期，缺陷责任期满经发包人、承包人、监理三方联合检查，无质量缺陷，质量保证金在第1.1.4.5目约定的缺陷责任期（工程质量保修期）满后30个工作日内，发包人将质量保证金退还给承包人。</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代理服务费收费标准：本项目采购代理服务费以成交价作为收费基数，按照国家计委 (计价格【2002】1980号)《招标代理服务收费管理暂行办法》规定的收费标准，参考市场行情，确定代理费用为1.5万元整。</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陕西省泾惠渠灌溉中心</w:t>
      </w:r>
      <w:r>
        <w:rPr>
          <w:rFonts w:ascii="仿宋_GB2312" w:hAnsi="仿宋_GB2312" w:cs="仿宋_GB2312" w:eastAsia="仿宋_GB2312"/>
        </w:rPr>
        <w:t>和</w:t>
      </w:r>
      <w:r>
        <w:rPr>
          <w:rFonts w:ascii="仿宋_GB2312" w:hAnsi="仿宋_GB2312" w:cs="仿宋_GB2312" w:eastAsia="仿宋_GB2312"/>
        </w:rPr>
        <w:t>陕西中海建招标有限责任公司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陕西省泾惠渠灌溉中心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陕西中海建招标有限责任公司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陕西省泾惠渠灌溉中心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陕西中海建招标有限责任公司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参照水利工程的验收规范标准进行。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陕西中海建招标有限责任公司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陕西中海建招标有限责任公司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陕西中海建招标有限责任公司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联系人：郭骐玮 王雅薇</w:t>
      </w:r>
    </w:p>
    <w:p>
      <w:pPr>
        <w:pStyle w:val="null3"/>
      </w:pPr>
      <w:r>
        <w:rPr>
          <w:rFonts w:ascii="仿宋_GB2312" w:hAnsi="仿宋_GB2312" w:cs="仿宋_GB2312" w:eastAsia="仿宋_GB2312"/>
        </w:rPr>
        <w:t>联系电话：029-88892252</w:t>
      </w:r>
    </w:p>
    <w:p>
      <w:pPr>
        <w:pStyle w:val="null3"/>
      </w:pPr>
      <w:r>
        <w:rPr>
          <w:rFonts w:ascii="仿宋_GB2312" w:hAnsi="仿宋_GB2312" w:cs="仿宋_GB2312" w:eastAsia="仿宋_GB2312"/>
        </w:rPr>
        <w:t>地址：陕西省西安市二环南路西段154号易和蓝钻23层西侧</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1,900,000.00</w:t>
      </w:r>
    </w:p>
    <w:p>
      <w:pPr>
        <w:pStyle w:val="null3"/>
      </w:pPr>
      <w:r>
        <w:rPr>
          <w:rFonts w:ascii="仿宋_GB2312" w:hAnsi="仿宋_GB2312" w:cs="仿宋_GB2312" w:eastAsia="仿宋_GB2312"/>
        </w:rPr>
        <w:t>采购包最高限价（元）: 1,899,965.00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施工标</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1,900,000.00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标的名称：施工标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一、建设内容</w:t>
            </w:r>
          </w:p>
          <w:p>
            <w:pPr>
              <w:pStyle w:val="null3"/>
            </w:pPr>
            <w:r>
              <w:rPr>
                <w:rFonts w:ascii="仿宋_GB2312" w:hAnsi="仿宋_GB2312" w:cs="仿宋_GB2312" w:eastAsia="仿宋_GB2312"/>
                <w:sz w:val="20"/>
              </w:rPr>
              <w:t>泾惠渠灌区干支渠道安全防护工程涉及新建干支渠浸塑钢丝网安全防护工程共计8627m，其中：预埋立柱安装 8337m、法兰底座安装 290m。</w:t>
            </w:r>
          </w:p>
          <w:p>
            <w:pPr>
              <w:pStyle w:val="null3"/>
              <w:jc w:val="both"/>
            </w:pPr>
            <w:r>
              <w:rPr>
                <w:rFonts w:ascii="仿宋_GB2312" w:hAnsi="仿宋_GB2312" w:cs="仿宋_GB2312" w:eastAsia="仿宋_GB2312"/>
                <w:sz w:val="20"/>
                <w:b/>
              </w:rPr>
              <w:t>二、工程技术标准及要求</w:t>
            </w:r>
          </w:p>
          <w:p>
            <w:pPr>
              <w:pStyle w:val="null3"/>
              <w:jc w:val="both"/>
            </w:pPr>
            <w:r>
              <w:rPr>
                <w:rFonts w:ascii="仿宋_GB2312" w:hAnsi="仿宋_GB2312" w:cs="仿宋_GB2312" w:eastAsia="仿宋_GB2312"/>
                <w:sz w:val="20"/>
              </w:rPr>
              <w:t>1.本工程的施工过程和成果必须符合设计的图纸并符合国家有关工程建设标准强制性条文和国家或有关部门关于工程施工方面现行的标准、规范、规程、定额、办法、示例，以及陕西省关于工程施工方面的文件、规定，同时满足中华人民共和国住建部发布的《工程建设标准强制性条文》的规定。</w:t>
            </w:r>
          </w:p>
          <w:p>
            <w:pPr>
              <w:pStyle w:val="null3"/>
              <w:jc w:val="both"/>
            </w:pPr>
            <w:r>
              <w:rPr>
                <w:rFonts w:ascii="仿宋_GB2312" w:hAnsi="仿宋_GB2312" w:cs="仿宋_GB2312" w:eastAsia="仿宋_GB2312"/>
                <w:sz w:val="20"/>
              </w:rPr>
              <w:t>2.本工程其他技术标准及要求执行现行规范和采购人实际需求。</w:t>
            </w:r>
          </w:p>
          <w:p>
            <w:pPr>
              <w:pStyle w:val="null3"/>
              <w:jc w:val="both"/>
            </w:pPr>
            <w:r>
              <w:rPr>
                <w:rFonts w:ascii="仿宋_GB2312" w:hAnsi="仿宋_GB2312" w:cs="仿宋_GB2312" w:eastAsia="仿宋_GB2312"/>
                <w:sz w:val="20"/>
              </w:rPr>
              <w:t>3.在施工过程中，如果国家或有关部门颁布了新的技术部分标准或规范，则承包人应采用新的标准或规范进行施工。</w:t>
            </w:r>
          </w:p>
          <w:p>
            <w:pPr>
              <w:pStyle w:val="null3"/>
              <w:jc w:val="both"/>
            </w:pPr>
            <w:r>
              <w:rPr>
                <w:rFonts w:ascii="仿宋_GB2312" w:hAnsi="仿宋_GB2312" w:cs="仿宋_GB2312" w:eastAsia="仿宋_GB2312"/>
                <w:sz w:val="20"/>
              </w:rPr>
              <w:t>4.采购人提供工程的施工方案和相关技术文件，是采购人现有的能被供应商利用的资料，采购人对供应商做出的任何推论、理解均不负责任。</w:t>
            </w:r>
          </w:p>
          <w:p>
            <w:pPr>
              <w:pStyle w:val="null3"/>
              <w:jc w:val="both"/>
            </w:pPr>
            <w:r>
              <w:rPr>
                <w:rFonts w:ascii="仿宋_GB2312" w:hAnsi="仿宋_GB2312" w:cs="仿宋_GB2312" w:eastAsia="仿宋_GB2312"/>
                <w:sz w:val="20"/>
              </w:rPr>
              <w:t>5.供应商应先自行到工地踏勘以充分了解工地位置、地质情况、进出场道路、储存空间、运输能力、装卸限制、行车干扰及任何其它足以影响承包价格的情况，了解施工规范、标准以及施工现场实际等情况，并应考虑现有人、材、机市场水平和供应、投标风险、不利的施工因素等，任何因忽视或误解工地情况而导致的索赔或工期延长申请将不获批准。</w:t>
            </w:r>
          </w:p>
          <w:p>
            <w:pPr>
              <w:pStyle w:val="null3"/>
              <w:jc w:val="both"/>
            </w:pPr>
            <w:r>
              <w:rPr>
                <w:rFonts w:ascii="仿宋_GB2312" w:hAnsi="仿宋_GB2312" w:cs="仿宋_GB2312" w:eastAsia="仿宋_GB2312"/>
                <w:sz w:val="20"/>
                <w:b/>
              </w:rPr>
              <w:t>三、工</w:t>
            </w:r>
            <w:r>
              <w:rPr>
                <w:rFonts w:ascii="仿宋_GB2312" w:hAnsi="仿宋_GB2312" w:cs="仿宋_GB2312" w:eastAsia="仿宋_GB2312"/>
                <w:sz w:val="20"/>
                <w:b/>
                <w:shd w:fill="FFFFFF" w:val="clear"/>
              </w:rPr>
              <w:t>期：</w:t>
            </w:r>
            <w:r>
              <w:rPr>
                <w:rFonts w:ascii="仿宋_GB2312" w:hAnsi="仿宋_GB2312" w:cs="仿宋_GB2312" w:eastAsia="仿宋_GB2312"/>
                <w:sz w:val="20"/>
                <w:b/>
                <w:u w:val="single"/>
                <w:shd w:fill="FFFFFF" w:val="clear"/>
              </w:rPr>
              <w:t>9</w:t>
            </w:r>
            <w:r>
              <w:rPr>
                <w:rFonts w:ascii="仿宋_GB2312" w:hAnsi="仿宋_GB2312" w:cs="仿宋_GB2312" w:eastAsia="仿宋_GB2312"/>
                <w:sz w:val="20"/>
                <w:b/>
                <w:u w:val="single"/>
              </w:rPr>
              <w:t>0</w:t>
            </w:r>
            <w:r>
              <w:rPr>
                <w:rFonts w:ascii="仿宋_GB2312" w:hAnsi="仿宋_GB2312" w:cs="仿宋_GB2312" w:eastAsia="仿宋_GB2312"/>
                <w:sz w:val="20"/>
                <w:b/>
              </w:rPr>
              <w:t>日历天。</w:t>
            </w:r>
          </w:p>
          <w:p>
            <w:pPr>
              <w:pStyle w:val="null3"/>
              <w:jc w:val="both"/>
            </w:pPr>
            <w:r>
              <w:rPr>
                <w:rFonts w:ascii="仿宋_GB2312" w:hAnsi="仿宋_GB2312" w:cs="仿宋_GB2312" w:eastAsia="仿宋_GB2312"/>
                <w:sz w:val="20"/>
                <w:b/>
              </w:rPr>
              <w:t>四、验收：</w:t>
            </w:r>
          </w:p>
          <w:p>
            <w:pPr>
              <w:pStyle w:val="null3"/>
              <w:jc w:val="both"/>
            </w:pPr>
            <w:r>
              <w:rPr>
                <w:rFonts w:ascii="仿宋_GB2312" w:hAnsi="仿宋_GB2312" w:cs="仿宋_GB2312" w:eastAsia="仿宋_GB2312"/>
                <w:sz w:val="20"/>
              </w:rPr>
              <w:t>(1)参照水利工程的验收规范标准进行。</w:t>
            </w:r>
          </w:p>
          <w:p>
            <w:pPr>
              <w:pStyle w:val="null3"/>
              <w:jc w:val="both"/>
            </w:pPr>
            <w:r>
              <w:rPr>
                <w:rFonts w:ascii="仿宋_GB2312" w:hAnsi="仿宋_GB2312" w:cs="仿宋_GB2312" w:eastAsia="仿宋_GB2312"/>
                <w:sz w:val="20"/>
              </w:rPr>
              <w:t>在施工过程中，采购人同有关人员将对施工过程中的隐蔽工程、材料进行全过程监督验收。</w:t>
            </w:r>
          </w:p>
          <w:p>
            <w:pPr>
              <w:pStyle w:val="null3"/>
              <w:jc w:val="both"/>
            </w:pPr>
            <w:r>
              <w:rPr>
                <w:rFonts w:ascii="仿宋_GB2312" w:hAnsi="仿宋_GB2312" w:cs="仿宋_GB2312" w:eastAsia="仿宋_GB2312"/>
                <w:sz w:val="20"/>
              </w:rPr>
              <w:t>(2) 竣工验收：中标单位按国家工程竣工验收有关规定，向采购人提供完整竣工资料及竣工验收报告； 采购人收到竣工验收报告后组织有关单位验收，验收合格后予以认可或提出修改意见；中标单位按要求修改， 并承担由自身原因造成的修改费用；工程竣工验收通过后，中标单位送交竣工验收报告日期为实际竣工日期；采购人要求修改后通过竣工验收的，实际竣工日期为中标单位修改后提请验收的日期。</w:t>
            </w:r>
          </w:p>
          <w:p>
            <w:pPr>
              <w:pStyle w:val="null3"/>
              <w:jc w:val="both"/>
            </w:pPr>
            <w:r>
              <w:rPr>
                <w:rFonts w:ascii="仿宋_GB2312" w:hAnsi="仿宋_GB2312" w:cs="仿宋_GB2312" w:eastAsia="仿宋_GB2312"/>
                <w:sz w:val="20"/>
              </w:rPr>
              <w:t>(3)验收不合格的中标单位，必须在接到通知后按要求进行修改与完善，不执行者须赔偿采购人的损失。</w:t>
            </w:r>
          </w:p>
          <w:p>
            <w:pPr>
              <w:pStyle w:val="null3"/>
              <w:jc w:val="both"/>
            </w:pPr>
            <w:r>
              <w:rPr>
                <w:rFonts w:ascii="仿宋_GB2312" w:hAnsi="仿宋_GB2312" w:cs="仿宋_GB2312" w:eastAsia="仿宋_GB2312"/>
                <w:sz w:val="20"/>
                <w:b/>
              </w:rPr>
              <w:t>五、报价要求</w:t>
            </w:r>
          </w:p>
          <w:p>
            <w:pPr>
              <w:pStyle w:val="null3"/>
              <w:jc w:val="both"/>
            </w:pPr>
            <w:r>
              <w:rPr>
                <w:rFonts w:ascii="仿宋_GB2312" w:hAnsi="仿宋_GB2312" w:cs="仿宋_GB2312" w:eastAsia="仿宋_GB2312"/>
                <w:sz w:val="20"/>
              </w:rPr>
              <w:t>1.供应商应充分考虑磋商文件的各项条款和所掌握的市场情况及本工程的实际情况，且应根据企业自身情况自主做出填报总价及单价。</w:t>
            </w:r>
          </w:p>
          <w:p>
            <w:pPr>
              <w:pStyle w:val="null3"/>
              <w:jc w:val="both"/>
            </w:pPr>
            <w:r>
              <w:rPr>
                <w:rFonts w:ascii="仿宋_GB2312" w:hAnsi="仿宋_GB2312" w:cs="仿宋_GB2312" w:eastAsia="仿宋_GB2312"/>
                <w:sz w:val="20"/>
              </w:rPr>
              <w:t>2.所有材料必须使用合格产品，磋商文件如对材料的材质、品牌等有明确要求的，不得变更相关要求，使用前应当由采购人认质确认后方可投入使用。工程施工完毕后需对施工场地进行保洁，保洁标准达到采购人要求。</w:t>
            </w:r>
          </w:p>
          <w:p>
            <w:pPr>
              <w:pStyle w:val="null3"/>
              <w:jc w:val="both"/>
            </w:pPr>
            <w:r>
              <w:rPr>
                <w:rFonts w:ascii="仿宋_GB2312" w:hAnsi="仿宋_GB2312" w:cs="仿宋_GB2312" w:eastAsia="仿宋_GB2312"/>
                <w:sz w:val="20"/>
              </w:rPr>
              <w:t>3.最终报价只报总价，供应商最终报价较首次报价降价的，成交后，签订合同时应按照成交价较首次报价的下浮比率修改分项报价表中的相应报价。</w:t>
            </w:r>
          </w:p>
          <w:p>
            <w:pPr>
              <w:pStyle w:val="null3"/>
              <w:jc w:val="both"/>
            </w:pPr>
            <w:r>
              <w:rPr>
                <w:rFonts w:ascii="仿宋_GB2312" w:hAnsi="仿宋_GB2312" w:cs="仿宋_GB2312" w:eastAsia="仿宋_GB2312"/>
                <w:sz w:val="20"/>
              </w:rPr>
              <w:t>4.要求的其他相关费用以本磋商文件的内容和要求作为磋商响应依据。</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工程质量符合国家现行有关施工质量验收规范要求“合格”标准，缺陷责任期（工程质量保修期）：工程完工验收合格后 1 年。</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满足磋商文件、项目技术服务要求、工程量清单、图纸要求（详见附件）</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1、采购标的对应的中小企业划分标准所属行业为建筑业。建筑业的划型标准为：营业收入80000万元以下或资产总额 80000万元以下的为中小微型企业。其中，营业收入6000万元及以上，且资产总额5000万元及以上的为中型企业；营业收 入300万元及以上，且资产总额300万元及以上的为小型企业；营业收入300万元以下或资产总额300万元以下的为微型企业。 2、需要落实的政府采购政策：（1）、《国务院办公厅关于建立政府强制采购节能产品制度的通知》（国办发 〔2007〕51号）；（2）、《财政部 司法部关于政府采购支持监狱企业发展有关问题的通知》（财库〔2014〕68号）；（3）、《三部门联合发布关于促进残疾人就业政府采购政策的通知》（财库〔2017〕141号）；（4）、《财政部 发展改革 委 生态环境部 市场监管总局关于调整优化节能产品、环境标志产品政府采购执行机制的通知》（财库〔2019〕9号）；（5）、《关于运用政府采购政策支持乡村产业振兴的通知》（财库〔2021〕19号）；（6）、《政府采购促进中小企业发展 管理办法》（财库〔2020〕46号）；（7）、陕西省财政厅关于印发《陕西省中小企业政府采购信用融资办法》（陕财办采 〔2018〕23号）；（8）、《关于进一步加大政府采购支持中小企业力度的通知》（财库〔2022〕19号）；（9）、《关于扩大政府采购支持绿色建材促进建筑品质提升政策实施范围的通知》（财库〔2022〕35号）。 2、投标人需要在线提交所有通过电子化交易平台实施的政府采购项目的投标文件，同时，线下提交投标文件正本壹份、副本肆份、电子版壹套（U盘一套标明投标人名称，随正本密封，电子版内容：投标文件签字盖章的扫描PDF版及Word版））。若电子投标文件与纸质投标文件不一致的，以线上提交的电子投标文件为准。线下提交投标文件截止时间：同线上递交截止时间（北京时间）线下提交投标文件地点：西安市二环南路西段154号易和蓝钻23层西侧；联系电话：029-88892252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1、供应商必须是具有独立承担民事责任能力的法人、其他组织或自然人，并出具合法有效的营业执照或事业单位法人证书等国家规定的相关证明，自然人参与的提供其身份证明； 2、法定代表人委托授权书（法定代表人参加不需提供，但需要提供法定代表人身份证）及被授权人身份证； 3、提供参加政府采购活动前三年内，在经营活动中没有重大违法记录书面声明（需单独承诺）； 4、提供具有履行合同所必需的设备和专业技术能力的承诺书（需单独承诺）； 供应商需在项目电子化交易系统中按要求填写《响应函》完成承诺并进行电子签章。 5、投标人不得为“信用中国(www.creditchina.gov.cn)”中列入失信被执行人和重大税收违法案件当事人名单的投标人，不得为“ 中国政府采购网(www.ccgp.gov.cn)” 政府采购严重违法失信行为记录名单中被财政部门禁止参加政府采购活动的投标人（采购代理机构查询，采购代理机构查询时限为投标文件递交截止之日）。 6.非联合体投标,提供非联合体投标声明。</w:t>
            </w:r>
          </w:p>
        </w:tc>
        <w:tc>
          <w:tcPr>
            <w:tcW w:type="dxa" w:w="1661"/>
          </w:tcPr>
          <w:p>
            <w:pPr>
              <w:pStyle w:val="null3"/>
            </w:pPr>
            <w:r>
              <w:rPr>
                <w:rFonts w:ascii="仿宋_GB2312" w:hAnsi="仿宋_GB2312" w:cs="仿宋_GB2312" w:eastAsia="仿宋_GB2312"/>
              </w:rPr>
              <w:t>响应文件封面 供应商应提供的资格证明文件.docx 报价函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1、提供2024年度的财务审计报告（成立时间至提交投标文件截止时间不足一年的可提供成立后任意时段的资产负债表）或其基本存款账户开户银行出具的资信证明及基本存款账户开户许可证或基本账户存款信息。 2、提供投标截止日前一年内已缴纳的至少三个月的纳税证明或完税证明（任意税种），依法免税的单位应提供相关证明材料； 3、提供投标截止日前一年内已缴存的至少三个月的社会保障资金缴存单据或社保机构开具的社会保险参保缴费情况证明，依法不需要缴纳社会保障资金的单位应提供相关证明材料。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供应商应提供的资格证明文件.docx 报价函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报价函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具备水利水电工程施工总承包三级（含三级）以上资质，并具有建设行政主管部门颁发的安全生产许可证。</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拟派项目经理（项目负责人）</w:t>
            </w:r>
          </w:p>
        </w:tc>
        <w:tc>
          <w:tcPr>
            <w:tcW w:type="dxa" w:w="3322"/>
          </w:tcPr>
          <w:p>
            <w:pPr>
              <w:pStyle w:val="null3"/>
            </w:pPr>
            <w:r>
              <w:rPr>
                <w:rFonts w:ascii="仿宋_GB2312" w:hAnsi="仿宋_GB2312" w:cs="仿宋_GB2312" w:eastAsia="仿宋_GB2312"/>
              </w:rPr>
              <w:t>具备水利水电工程二级（含二级）以上建造师注册证书，同时具有水利行政主管部门颁发的《安全生产考核合格证》且无不良信用记录、无在建工程（提供无不良记录、无在建工程承诺书）。</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技术负责人</w:t>
            </w:r>
          </w:p>
        </w:tc>
        <w:tc>
          <w:tcPr>
            <w:tcW w:type="dxa" w:w="3322"/>
          </w:tcPr>
          <w:p>
            <w:pPr>
              <w:pStyle w:val="null3"/>
            </w:pPr>
            <w:r>
              <w:rPr>
                <w:rFonts w:ascii="仿宋_GB2312" w:hAnsi="仿宋_GB2312" w:cs="仿宋_GB2312" w:eastAsia="仿宋_GB2312"/>
              </w:rPr>
              <w:t>为本单位在册，具备水利相关专业中级及以上职称，且无不良信用记录、无在建工程（提供无不良记录、无在建工程承诺书）。</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企业负责人及专职安全员</w:t>
            </w:r>
          </w:p>
        </w:tc>
        <w:tc>
          <w:tcPr>
            <w:tcW w:type="dxa" w:w="3322"/>
          </w:tcPr>
          <w:p>
            <w:pPr>
              <w:pStyle w:val="null3"/>
            </w:pPr>
            <w:r>
              <w:rPr>
                <w:rFonts w:ascii="仿宋_GB2312" w:hAnsi="仿宋_GB2312" w:cs="仿宋_GB2312" w:eastAsia="仿宋_GB2312"/>
              </w:rPr>
              <w:t>具有水利行政主管部门颁发的《安全生产考核合格证》。</w:t>
            </w:r>
          </w:p>
        </w:tc>
        <w:tc>
          <w:tcPr>
            <w:tcW w:type="dxa" w:w="1661"/>
          </w:tcPr>
          <w:p>
            <w:pPr>
              <w:pStyle w:val="null3"/>
            </w:pPr>
            <w:r>
              <w:rPr>
                <w:rFonts w:ascii="仿宋_GB2312" w:hAnsi="仿宋_GB2312" w:cs="仿宋_GB2312" w:eastAsia="仿宋_GB2312"/>
              </w:rPr>
              <w:t>供应商应提供的资格证明文件.docx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内容完整性和编制水平</w:t>
            </w:r>
          </w:p>
        </w:tc>
        <w:tc>
          <w:tcPr>
            <w:tcW w:type="dxa" w:w="2492"/>
          </w:tcPr>
          <w:p>
            <w:pPr>
              <w:pStyle w:val="null3"/>
            </w:pPr>
            <w:r>
              <w:rPr>
                <w:rFonts w:ascii="仿宋_GB2312" w:hAnsi="仿宋_GB2312" w:cs="仿宋_GB2312" w:eastAsia="仿宋_GB2312"/>
              </w:rPr>
              <w:t>内容完整、有一定深度得4分；一般得2分；差得0分。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项目组织机构.docx</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施工方案与技术措施</w:t>
            </w:r>
          </w:p>
        </w:tc>
        <w:tc>
          <w:tcPr>
            <w:tcW w:type="dxa" w:w="2492"/>
          </w:tcPr>
          <w:p>
            <w:pPr>
              <w:pStyle w:val="null3"/>
            </w:pPr>
            <w:r>
              <w:rPr>
                <w:rFonts w:ascii="仿宋_GB2312" w:hAnsi="仿宋_GB2312" w:cs="仿宋_GB2312" w:eastAsia="仿宋_GB2312"/>
              </w:rPr>
              <w:t>方案技术先进，措施全面，具有针对性且无盲点区域得15分；方案基本可行得8~15分（不含）；方案可行性及措施较差得0~8分（不含）。</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项目组织机构.docx</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质量目标明确，管理体系健全，职责明确，预控和动态控制措施完整，实施手段先进可靠，组织措施功能完善、管理幅度适宜，得5分；目标基本明确，控制措施基本全面得2~5分（不含）；质量管理体系与控制措施较差得0~2分（不含）。</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项目组织机构.docx</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安全管理体系健全，事故预防和动态控制措施及制度完整到位，组织措施功能完善可靠，得5分；安全管理、事故防控体系与控制措施基本全面得2~5分（不含）；安全管理、事故防控体系与控制措施较差得0~2分（不含）。</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项目组织机构.docx</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环境保护、水土保持保证体系及保证措施</w:t>
            </w:r>
          </w:p>
        </w:tc>
        <w:tc>
          <w:tcPr>
            <w:tcW w:type="dxa" w:w="2492"/>
          </w:tcPr>
          <w:p>
            <w:pPr>
              <w:pStyle w:val="null3"/>
            </w:pPr>
            <w:r>
              <w:rPr>
                <w:rFonts w:ascii="仿宋_GB2312" w:hAnsi="仿宋_GB2312" w:cs="仿宋_GB2312" w:eastAsia="仿宋_GB2312"/>
              </w:rPr>
              <w:t>环境保护、水土保持管理体系健全，预防和动态控制措施及制度完整到位，组织措施功能完善可靠，得5分；环境保护管理体系与控制措施基本全面得2~5分（不含）；环境保护管理体系与控制措施较差得0~2分（不含）。</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项目组织机构.docx</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工程进度计划与措施</w:t>
            </w:r>
          </w:p>
        </w:tc>
        <w:tc>
          <w:tcPr>
            <w:tcW w:type="dxa" w:w="2492"/>
          </w:tcPr>
          <w:p>
            <w:pPr>
              <w:pStyle w:val="null3"/>
            </w:pPr>
            <w:r>
              <w:rPr>
                <w:rFonts w:ascii="仿宋_GB2312" w:hAnsi="仿宋_GB2312" w:cs="仿宋_GB2312" w:eastAsia="仿宋_GB2312"/>
              </w:rPr>
              <w:t>总工期满足要求，施工进度、节点工期安排合理，进度计划网络图或横道图完善者得5分；施工进度、节点工期安排基本合理，进度计划网络图或横道图较完善者得2~5分（不含）；安排合理性较差、进度计划网络图或横道图有严重问题者得0~2分（不含）。</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项目组织机构.docx</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施工设备、试验检测仪器设备、劳动力、资金等配备计划科学合理，资源充足，满足施工要求得5分；配备计划基本合理，资源基本充足，基本满足施工要求得2~5分（不含）；资源配置较差得0~2分（不含）。</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项目组织机构.docx</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文明施工计划与措施</w:t>
            </w:r>
          </w:p>
        </w:tc>
        <w:tc>
          <w:tcPr>
            <w:tcW w:type="dxa" w:w="2492"/>
          </w:tcPr>
          <w:p>
            <w:pPr>
              <w:pStyle w:val="null3"/>
            </w:pPr>
            <w:r>
              <w:rPr>
                <w:rFonts w:ascii="仿宋_GB2312" w:hAnsi="仿宋_GB2312" w:cs="仿宋_GB2312" w:eastAsia="仿宋_GB2312"/>
              </w:rPr>
              <w:t>文明施工计划安排合理，组织措施功能完善可靠，得5分；文明施工计划与措施基本合理，得2~5分（不含）；文明施工计划与措施较差，得0~2分（不含）。</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项目组织机构.docx</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近5年内具有类似水利工程施工经历且担任过一项项目经理得1分，每多一项加0.5分，满分1.5分。 项目经理业绩的认定：提供的相关证明材料复印件（中标通知书或合同协议书或中标结果公示截图或陕西省水利建设市场主体信用信息管理平台网页截图等）应体现其担任项目经理，否则不予认定。</w:t>
            </w:r>
          </w:p>
        </w:tc>
        <w:tc>
          <w:tcPr>
            <w:tcW w:type="dxa" w:w="831"/>
          </w:tcPr>
          <w:p>
            <w:pPr>
              <w:pStyle w:val="null3"/>
              <w:jc w:val="right"/>
            </w:pPr>
            <w:r>
              <w:rPr>
                <w:rFonts w:ascii="仿宋_GB2312" w:hAnsi="仿宋_GB2312" w:cs="仿宋_GB2312" w:eastAsia="仿宋_GB2312"/>
              </w:rPr>
              <w:t>1.5000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项目组织机构.docx</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技术负责人</w:t>
            </w:r>
          </w:p>
        </w:tc>
        <w:tc>
          <w:tcPr>
            <w:tcW w:type="dxa" w:w="2492"/>
          </w:tcPr>
          <w:p>
            <w:pPr>
              <w:pStyle w:val="null3"/>
            </w:pPr>
            <w:r>
              <w:rPr>
                <w:rFonts w:ascii="仿宋_GB2312" w:hAnsi="仿宋_GB2312" w:cs="仿宋_GB2312" w:eastAsia="仿宋_GB2312"/>
              </w:rPr>
              <w:t>1、具有水利类高级职称得1分； 2、近5年内具有类似水利工程施工管理经历得0.5分； 两项合计最高得1.5分。 技术负责人业绩的认定：提供的相关证明材料复印件（中标通知书或合同协议书或中标结果公示截图或陕西省水利建设市场主体信用信息管理平台网页截图等），否则不予认定。</w:t>
            </w:r>
          </w:p>
        </w:tc>
        <w:tc>
          <w:tcPr>
            <w:tcW w:type="dxa" w:w="831"/>
          </w:tcPr>
          <w:p>
            <w:pPr>
              <w:pStyle w:val="null3"/>
              <w:jc w:val="right"/>
            </w:pPr>
            <w:r>
              <w:rPr>
                <w:rFonts w:ascii="仿宋_GB2312" w:hAnsi="仿宋_GB2312" w:cs="仿宋_GB2312" w:eastAsia="仿宋_GB2312"/>
              </w:rPr>
              <w:t>1.5000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项目组织机构.docx</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配备有施工员、质检员、材料员等管理人员</w:t>
            </w:r>
          </w:p>
        </w:tc>
        <w:tc>
          <w:tcPr>
            <w:tcW w:type="dxa" w:w="2492"/>
          </w:tcPr>
          <w:p>
            <w:pPr>
              <w:pStyle w:val="null3"/>
            </w:pPr>
            <w:r>
              <w:rPr>
                <w:rFonts w:ascii="仿宋_GB2312" w:hAnsi="仿宋_GB2312" w:cs="仿宋_GB2312" w:eastAsia="仿宋_GB2312"/>
              </w:rPr>
              <w:t>施工员、质检员、材料员、资料员、造价人员、安全员配备齐全且具备相应证件齐全得5分，缺一人扣1分。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项目组织机构.docx</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投标人业绩</w:t>
            </w:r>
          </w:p>
        </w:tc>
        <w:tc>
          <w:tcPr>
            <w:tcW w:type="dxa" w:w="2492"/>
          </w:tcPr>
          <w:p>
            <w:pPr>
              <w:pStyle w:val="null3"/>
            </w:pPr>
            <w:r>
              <w:rPr>
                <w:rFonts w:ascii="仿宋_GB2312" w:hAnsi="仿宋_GB2312" w:cs="仿宋_GB2312" w:eastAsia="仿宋_GB2312"/>
              </w:rPr>
              <w:t>投标人近五年承建过类似水利工程每1项得1分，最高得6分； 提供的相关证明材料复印件（中标通知书或合同协议书或中标结果公示截图或陕西省水利建设市场主体信用信息管理平台网页截图等）注：提供合同复印件，至少包括封面、关键页、盖章页。</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项目组织机构.docx</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财务状况</w:t>
            </w:r>
          </w:p>
        </w:tc>
        <w:tc>
          <w:tcPr>
            <w:tcW w:type="dxa" w:w="2492"/>
          </w:tcPr>
          <w:p>
            <w:pPr>
              <w:pStyle w:val="null3"/>
            </w:pPr>
            <w:r>
              <w:rPr>
                <w:rFonts w:ascii="仿宋_GB2312" w:hAnsi="仿宋_GB2312" w:cs="仿宋_GB2312" w:eastAsia="仿宋_GB2312"/>
              </w:rPr>
              <w:t>近三年（2022~2024年）财务状况均良好，不提供不得分，此项最高2分。提供近3年审计报告，成立时间不足3年的可提供成立以来的审计报告或财务报告。</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项目组织机构.docx</w:t>
            </w:r>
          </w:p>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评标基准价计算方法：有效投标报价中报价最低的为评标基准价； 在评标基准价确定之前，应按有关规定对所有投标文件的工程量清单进行核对，对算术错误进行修正得到评标报价。 总报价得分的计算：投标总价为评标基准价时得35分，其他投标报价=评标基准价/投标报价×35。 因本项目专门面向中小企业，不再进行小微企业价格扣除。</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详见附件：项目组织机构.docx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详见附件：供应商应提供的资格证明文件.docx</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详见附件：陕西省泾惠渠灌区 2025 年省级水利发展资金灌区防护工程施工合同.docx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