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43D9E">
      <w:pPr>
        <w:pStyle w:val="18"/>
        <w:widowControl/>
        <w:kinsoku w:val="0"/>
        <w:autoSpaceDE w:val="0"/>
        <w:autoSpaceDN w:val="0"/>
        <w:adjustRightInd w:val="0"/>
        <w:snapToGrid w:val="0"/>
        <w:spacing w:line="360" w:lineRule="auto"/>
        <w:jc w:val="center"/>
        <w:textAlignment w:val="baseline"/>
        <w:rPr>
          <w:rFonts w:ascii="宋体" w:cs="宋体"/>
          <w:snapToGrid w:val="0"/>
          <w:spacing w:val="6"/>
          <w:kern w:val="0"/>
          <w:sz w:val="36"/>
          <w:szCs w:val="36"/>
          <w14:textOutline w14:w="2794" w14:cap="flat" w14:cmpd="sng" w14:algn="ctr">
            <w14:solidFill>
              <w14:srgbClr w14:val="000000"/>
            </w14:solidFill>
            <w14:prstDash w14:val="solid"/>
            <w14:miter w14:val="0"/>
          </w14:textOutline>
        </w:rPr>
      </w:pPr>
      <w:r>
        <w:rPr>
          <w:rFonts w:hint="eastAsia" w:ascii="宋体" w:cs="宋体"/>
          <w:snapToGrid w:val="0"/>
          <w:spacing w:val="6"/>
          <w:kern w:val="0"/>
          <w:sz w:val="36"/>
          <w:szCs w:val="36"/>
          <w14:textOutline w14:w="2794" w14:cap="flat" w14:cmpd="sng" w14:algn="ctr">
            <w14:solidFill>
              <w14:srgbClr w14:val="000000"/>
            </w14:solidFill>
            <w14:prstDash w14:val="solid"/>
            <w14:miter w14:val="0"/>
          </w14:textOutline>
        </w:rPr>
        <w:t>技术服务要求</w:t>
      </w:r>
    </w:p>
    <w:p w14:paraId="6F248C19">
      <w:pPr>
        <w:pStyle w:val="3"/>
        <w:keepNext w:val="0"/>
        <w:keepLines w:val="0"/>
        <w:spacing w:before="0" w:after="0" w:line="480" w:lineRule="auto"/>
        <w:jc w:val="center"/>
        <w:rPr>
          <w:rFonts w:ascii="宋体" w:hAnsi="宋体" w:eastAsia="宋体" w:cs="宋体"/>
          <w:sz w:val="28"/>
          <w:szCs w:val="28"/>
        </w:rPr>
      </w:pPr>
      <w:bookmarkStart w:id="0" w:name="_Toc381872037"/>
      <w:bookmarkStart w:id="1" w:name="_Toc2437"/>
      <w:r>
        <w:rPr>
          <w:rFonts w:hint="eastAsia" w:ascii="宋体" w:hAnsi="宋体" w:eastAsia="宋体" w:cs="宋体"/>
          <w:sz w:val="28"/>
          <w:szCs w:val="28"/>
        </w:rPr>
        <w:t>第1节 一般规定</w:t>
      </w:r>
      <w:bookmarkEnd w:id="0"/>
      <w:bookmarkEnd w:id="1"/>
    </w:p>
    <w:p w14:paraId="7B7E4817">
      <w:pPr>
        <w:adjustRightInd w:val="0"/>
        <w:snapToGrid w:val="0"/>
        <w:spacing w:before="134" w:beforeLines="25" w:line="300" w:lineRule="auto"/>
        <w:outlineLvl w:val="1"/>
        <w:rPr>
          <w:rFonts w:ascii="宋体" w:hAnsi="宋体" w:eastAsia="宋体"/>
          <w:b/>
          <w:bCs/>
          <w:sz w:val="24"/>
          <w:szCs w:val="24"/>
        </w:rPr>
      </w:pPr>
      <w:bookmarkStart w:id="2" w:name="_Toc381775634"/>
      <w:bookmarkStart w:id="3" w:name="_Toc381819877"/>
      <w:bookmarkStart w:id="4" w:name="_Toc381775768"/>
      <w:r>
        <w:rPr>
          <w:rFonts w:hint="eastAsia" w:ascii="宋体" w:hAnsi="宋体" w:eastAsia="宋体"/>
          <w:b/>
          <w:bCs/>
          <w:sz w:val="24"/>
          <w:szCs w:val="24"/>
        </w:rPr>
        <w:t>1</w:t>
      </w:r>
      <w:r>
        <w:rPr>
          <w:rFonts w:ascii="宋体" w:hAnsi="宋体" w:eastAsia="宋体"/>
          <w:b/>
          <w:bCs/>
          <w:sz w:val="24"/>
          <w:szCs w:val="24"/>
        </w:rPr>
        <w:t>.1</w:t>
      </w:r>
      <w:r>
        <w:rPr>
          <w:rFonts w:hint="eastAsia" w:ascii="宋体" w:hAnsi="宋体" w:eastAsia="宋体"/>
          <w:b/>
          <w:bCs/>
          <w:sz w:val="24"/>
          <w:szCs w:val="24"/>
        </w:rPr>
        <w:t xml:space="preserve"> </w:t>
      </w:r>
      <w:r>
        <w:rPr>
          <w:rFonts w:ascii="宋体" w:hAnsi="宋体" w:eastAsia="宋体"/>
          <w:b/>
          <w:bCs/>
          <w:sz w:val="24"/>
          <w:szCs w:val="24"/>
        </w:rPr>
        <w:t>工程说明</w:t>
      </w:r>
      <w:bookmarkEnd w:id="2"/>
      <w:bookmarkEnd w:id="3"/>
      <w:bookmarkEnd w:id="4"/>
    </w:p>
    <w:p w14:paraId="45D167A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1.1.1工程概况</w:t>
      </w:r>
    </w:p>
    <w:p w14:paraId="59CAD384">
      <w:pPr>
        <w:snapToGrid w:val="0"/>
        <w:spacing w:line="300" w:lineRule="auto"/>
        <w:ind w:firstLine="420" w:firstLineChars="200"/>
        <w:rPr>
          <w:rFonts w:ascii="宋体" w:hAnsi="宋体" w:eastAsia="宋体"/>
          <w:szCs w:val="21"/>
        </w:rPr>
      </w:pPr>
      <w:r>
        <w:rPr>
          <w:rFonts w:hint="eastAsia" w:ascii="宋体" w:hAnsi="宋体" w:eastAsia="宋体"/>
          <w:szCs w:val="21"/>
        </w:rPr>
        <w:t>1、项目名称：陕西省泾惠渠灌区2025年省级水利发展资金灌区防护工程</w:t>
      </w:r>
    </w:p>
    <w:p w14:paraId="2CE06632">
      <w:pPr>
        <w:snapToGrid w:val="0"/>
        <w:spacing w:line="300" w:lineRule="auto"/>
        <w:ind w:firstLine="420" w:firstLineChars="200"/>
        <w:rPr>
          <w:rFonts w:ascii="宋体" w:hAnsi="宋体" w:eastAsia="宋体"/>
          <w:szCs w:val="21"/>
        </w:rPr>
      </w:pPr>
      <w:r>
        <w:rPr>
          <w:rFonts w:hint="eastAsia" w:ascii="宋体" w:hAnsi="宋体" w:eastAsia="宋体"/>
          <w:szCs w:val="21"/>
        </w:rPr>
        <w:t>2、项目建设地点：泾惠渠灌区境内</w:t>
      </w:r>
    </w:p>
    <w:p w14:paraId="2C1C9E4C">
      <w:pPr>
        <w:snapToGrid w:val="0"/>
        <w:spacing w:line="300" w:lineRule="auto"/>
        <w:ind w:firstLine="420" w:firstLineChars="200"/>
        <w:rPr>
          <w:rFonts w:ascii="宋体" w:hAnsi="宋体" w:eastAsia="宋体"/>
          <w:szCs w:val="21"/>
        </w:rPr>
      </w:pPr>
      <w:r>
        <w:rPr>
          <w:rFonts w:hint="eastAsia" w:ascii="宋体" w:hAnsi="宋体" w:eastAsia="宋体"/>
          <w:szCs w:val="21"/>
        </w:rPr>
        <w:t>3、项目建设的范围和规模：图纸及工程量清单标明的内容。</w:t>
      </w:r>
    </w:p>
    <w:p w14:paraId="525600A4">
      <w:pPr>
        <w:snapToGrid w:val="0"/>
        <w:spacing w:line="300" w:lineRule="auto"/>
        <w:ind w:firstLine="420" w:firstLineChars="200"/>
        <w:rPr>
          <w:rFonts w:ascii="宋体" w:hAnsi="宋体" w:eastAsia="宋体"/>
          <w:szCs w:val="21"/>
        </w:rPr>
      </w:pPr>
      <w:r>
        <w:rPr>
          <w:rFonts w:hint="eastAsia" w:ascii="宋体" w:hAnsi="宋体" w:eastAsia="宋体"/>
          <w:szCs w:val="21"/>
        </w:rPr>
        <w:t>4、工程布置及主要建筑物</w:t>
      </w:r>
    </w:p>
    <w:p w14:paraId="3A1C45F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1.1.2工程等级及建设标准</w:t>
      </w:r>
    </w:p>
    <w:p w14:paraId="4B2270F3">
      <w:pPr>
        <w:snapToGrid w:val="0"/>
        <w:spacing w:line="300" w:lineRule="auto"/>
        <w:ind w:firstLine="420" w:firstLineChars="200"/>
        <w:rPr>
          <w:rFonts w:ascii="宋体" w:hAnsi="宋体" w:eastAsia="宋体"/>
          <w:b/>
          <w:bCs/>
          <w:color w:val="FF0000"/>
          <w:szCs w:val="21"/>
        </w:rPr>
      </w:pPr>
      <w:r>
        <w:rPr>
          <w:rFonts w:hint="eastAsia" w:ascii="宋体" w:hAnsi="宋体" w:eastAsia="宋体"/>
          <w:szCs w:val="21"/>
        </w:rPr>
        <w:t>本次设计渠堤隔离栅高度按不小于1.8m。渠堤隔离栅设计使用寿命不小于10年。参照《公路交通安全设施设计规范》（JTG D81-2017）及《小交通量农村公路工程技术标准》JTG2111-2019进行设计，桥梁护栏设计防护等级不应低于二（B）级。</w:t>
      </w:r>
    </w:p>
    <w:p w14:paraId="73DB85F2">
      <w:pPr>
        <w:adjustRightInd w:val="0"/>
        <w:snapToGrid w:val="0"/>
        <w:spacing w:before="134" w:beforeLines="25" w:line="300" w:lineRule="auto"/>
        <w:outlineLvl w:val="1"/>
        <w:rPr>
          <w:rFonts w:ascii="宋体" w:hAnsi="宋体" w:eastAsia="宋体"/>
          <w:b/>
          <w:bCs/>
          <w:sz w:val="24"/>
          <w:szCs w:val="24"/>
        </w:rPr>
      </w:pPr>
      <w:r>
        <w:rPr>
          <w:rFonts w:hint="eastAsia" w:ascii="宋体" w:hAnsi="宋体" w:eastAsia="宋体"/>
          <w:b/>
          <w:bCs/>
          <w:sz w:val="24"/>
          <w:szCs w:val="24"/>
        </w:rPr>
        <w:t>1.2 主体工程项目及其工作内容</w:t>
      </w:r>
    </w:p>
    <w:p w14:paraId="4C288ED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1.2.1项目主要建设内容</w:t>
      </w:r>
    </w:p>
    <w:p w14:paraId="49E6AA52">
      <w:pPr>
        <w:snapToGrid w:val="0"/>
        <w:spacing w:line="300" w:lineRule="auto"/>
        <w:ind w:firstLine="420" w:firstLineChars="200"/>
        <w:rPr>
          <w:rFonts w:ascii="宋体" w:hAnsi="宋体" w:eastAsia="宋体"/>
          <w:szCs w:val="21"/>
        </w:rPr>
      </w:pPr>
      <w:r>
        <w:rPr>
          <w:rFonts w:hint="eastAsia" w:ascii="宋体" w:hAnsi="宋体" w:eastAsia="宋体"/>
          <w:szCs w:val="21"/>
        </w:rPr>
        <w:t>泾惠渠灌区干支渠道安全防护工程涉及新建干支渠浸塑钢丝网安全防护工程共计8627m，其中：预埋立柱安装 8337m、法兰底座安装 290m。</w:t>
      </w:r>
    </w:p>
    <w:p w14:paraId="174826E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1.2.2发包人（包括其它承包人）承担的相关工程项目及其工作内容</w:t>
      </w:r>
    </w:p>
    <w:p w14:paraId="5D656660">
      <w:pPr>
        <w:snapToGrid w:val="0"/>
        <w:spacing w:line="300" w:lineRule="auto"/>
        <w:ind w:firstLine="420" w:firstLineChars="200"/>
        <w:rPr>
          <w:rFonts w:ascii="宋体" w:hAnsi="宋体" w:eastAsia="宋体"/>
          <w:szCs w:val="21"/>
        </w:rPr>
      </w:pPr>
      <w:bookmarkStart w:id="5" w:name="_Toc381798871"/>
      <w:bookmarkStart w:id="6" w:name="_Toc381819881"/>
      <w:r>
        <w:rPr>
          <w:rFonts w:hint="eastAsia" w:ascii="宋体" w:hAnsi="宋体" w:eastAsia="宋体"/>
          <w:szCs w:val="21"/>
        </w:rPr>
        <w:t>无</w:t>
      </w:r>
      <w:bookmarkEnd w:id="5"/>
      <w:bookmarkEnd w:id="6"/>
      <w:r>
        <w:rPr>
          <w:rFonts w:hint="eastAsia" w:ascii="宋体" w:hAnsi="宋体" w:eastAsia="宋体"/>
          <w:szCs w:val="21"/>
        </w:rPr>
        <w:t>。</w:t>
      </w:r>
    </w:p>
    <w:p w14:paraId="7C10A864">
      <w:pPr>
        <w:adjustRightInd w:val="0"/>
        <w:snapToGrid w:val="0"/>
        <w:spacing w:before="134" w:beforeLines="25" w:line="300" w:lineRule="auto"/>
        <w:outlineLvl w:val="1"/>
        <w:rPr>
          <w:rFonts w:ascii="宋体" w:hAnsi="宋体" w:eastAsia="宋体"/>
          <w:b/>
          <w:bCs/>
          <w:sz w:val="24"/>
          <w:szCs w:val="24"/>
        </w:rPr>
      </w:pPr>
      <w:bookmarkStart w:id="7" w:name="_Toc325020342"/>
      <w:bookmarkStart w:id="8" w:name="_Toc332616511"/>
      <w:bookmarkStart w:id="9" w:name="_Toc332353172"/>
      <w:bookmarkStart w:id="10" w:name="_Toc347385953"/>
      <w:bookmarkStart w:id="11" w:name="_Toc277693661"/>
      <w:bookmarkStart w:id="12" w:name="_Toc278555630"/>
      <w:bookmarkStart w:id="13" w:name="_Toc2326243"/>
      <w:bookmarkStart w:id="14" w:name="_Toc332293379"/>
      <w:bookmarkStart w:id="15" w:name="_Toc278554285"/>
      <w:bookmarkStart w:id="16" w:name="_Toc3015974"/>
      <w:bookmarkStart w:id="17" w:name="_Toc5101162"/>
      <w:bookmarkStart w:id="18" w:name="_Toc49166611"/>
      <w:bookmarkStart w:id="19" w:name="_Toc267484945"/>
      <w:bookmarkStart w:id="20" w:name="_Toc3602899"/>
      <w:bookmarkStart w:id="21" w:name="_Toc347385698"/>
      <w:bookmarkStart w:id="22" w:name="_Toc26175677"/>
      <w:bookmarkStart w:id="23" w:name="_Toc4502188"/>
      <w:bookmarkStart w:id="24" w:name="_Toc347386202"/>
      <w:bookmarkStart w:id="25" w:name="_Toc325020874"/>
      <w:bookmarkStart w:id="26" w:name="_Toc325040148"/>
      <w:bookmarkStart w:id="27" w:name="_Toc381819882"/>
      <w:bookmarkStart w:id="28" w:name="_Toc370238490"/>
      <w:bookmarkStart w:id="29" w:name="_Toc381798872"/>
      <w:r>
        <w:rPr>
          <w:rFonts w:hint="eastAsia" w:ascii="宋体" w:hAnsi="宋体" w:eastAsia="宋体"/>
          <w:b/>
          <w:bCs/>
          <w:sz w:val="24"/>
          <w:szCs w:val="24"/>
        </w:rPr>
        <w:t>1.3 发包人</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Pr>
          <w:rFonts w:hint="eastAsia" w:ascii="宋体" w:hAnsi="宋体" w:eastAsia="宋体"/>
          <w:b/>
          <w:bCs/>
          <w:sz w:val="24"/>
          <w:szCs w:val="24"/>
        </w:rPr>
        <w:t>提供的施工图纸和文件</w:t>
      </w:r>
      <w:bookmarkEnd w:id="27"/>
      <w:bookmarkEnd w:id="28"/>
      <w:bookmarkEnd w:id="29"/>
    </w:p>
    <w:p w14:paraId="39DCA082">
      <w:pPr>
        <w:snapToGrid w:val="0"/>
        <w:spacing w:before="134" w:beforeLines="25" w:line="300" w:lineRule="auto"/>
        <w:ind w:firstLine="210" w:firstLineChars="100"/>
        <w:outlineLvl w:val="2"/>
        <w:rPr>
          <w:rFonts w:ascii="宋体" w:hAnsi="宋体" w:eastAsia="宋体"/>
          <w:b/>
          <w:bCs/>
          <w:szCs w:val="21"/>
        </w:rPr>
      </w:pPr>
      <w:bookmarkStart w:id="30" w:name="_Toc307415798"/>
      <w:bookmarkStart w:id="31" w:name="_Toc300071366"/>
      <w:bookmarkStart w:id="32" w:name="_Toc381798873"/>
      <w:bookmarkStart w:id="33" w:name="_Toc285029051"/>
      <w:bookmarkStart w:id="34" w:name="_Toc381819883"/>
      <w:bookmarkStart w:id="35" w:name="_Toc300084208"/>
      <w:bookmarkStart w:id="36" w:name="_Toc5101190"/>
      <w:bookmarkStart w:id="37" w:name="_Toc4502216"/>
      <w:bookmarkStart w:id="38" w:name="_Toc3602905"/>
      <w:bookmarkStart w:id="39" w:name="_Toc3015980"/>
      <w:bookmarkStart w:id="40" w:name="_Toc49166617"/>
      <w:bookmarkStart w:id="41" w:name="_Toc2326249"/>
      <w:bookmarkStart w:id="42" w:name="_Toc26175683"/>
      <w:r>
        <w:rPr>
          <w:rFonts w:hint="eastAsia" w:ascii="宋体" w:hAnsi="宋体" w:eastAsia="宋体"/>
          <w:b/>
          <w:bCs/>
          <w:szCs w:val="21"/>
        </w:rPr>
        <w:t>1.3.1发包人负责提供的施工图纸和文件</w:t>
      </w:r>
      <w:bookmarkEnd w:id="30"/>
      <w:bookmarkEnd w:id="31"/>
      <w:bookmarkEnd w:id="32"/>
      <w:bookmarkEnd w:id="33"/>
      <w:bookmarkEnd w:id="34"/>
      <w:bookmarkEnd w:id="35"/>
    </w:p>
    <w:p w14:paraId="166476DD">
      <w:pPr>
        <w:snapToGrid w:val="0"/>
        <w:spacing w:line="300" w:lineRule="auto"/>
        <w:ind w:firstLine="420" w:firstLineChars="200"/>
        <w:rPr>
          <w:rFonts w:ascii="宋体" w:hAnsi="宋体" w:eastAsia="宋体"/>
          <w:szCs w:val="21"/>
        </w:rPr>
      </w:pPr>
      <w:r>
        <w:rPr>
          <w:rFonts w:hint="eastAsia" w:ascii="宋体" w:hAnsi="宋体" w:eastAsia="宋体"/>
          <w:szCs w:val="21"/>
        </w:rPr>
        <w:t>(1)由发包人负责设计的工程项目，应由监理人按本章第1.3.2条签订的供图计划提供施工图纸给承包人。</w:t>
      </w:r>
    </w:p>
    <w:p w14:paraId="00E34105">
      <w:pPr>
        <w:snapToGrid w:val="0"/>
        <w:spacing w:line="300" w:lineRule="auto"/>
        <w:ind w:firstLine="420" w:firstLineChars="200"/>
        <w:rPr>
          <w:rFonts w:ascii="宋体" w:hAnsi="宋体" w:eastAsia="宋体"/>
          <w:szCs w:val="21"/>
        </w:rPr>
      </w:pPr>
      <w:r>
        <w:rPr>
          <w:rFonts w:hint="eastAsia" w:ascii="宋体" w:hAnsi="宋体" w:eastAsia="宋体"/>
          <w:szCs w:val="21"/>
        </w:rPr>
        <w:t>(2)发包人按合同约定向承包人提供的设计基本资料、材料样品、试验成果，以及根据合同要求提供的录像、照片、会议纪要等所有图纸、文件（包括软件、移动硬盘）和影像资料等，发包人不再另行收取费用。</w:t>
      </w:r>
    </w:p>
    <w:p w14:paraId="525C0D8B">
      <w:pPr>
        <w:snapToGrid w:val="0"/>
        <w:spacing w:before="134" w:beforeLines="25" w:line="300" w:lineRule="auto"/>
        <w:ind w:firstLine="210" w:firstLineChars="100"/>
        <w:outlineLvl w:val="2"/>
        <w:rPr>
          <w:rFonts w:ascii="宋体" w:hAnsi="宋体" w:eastAsia="宋体"/>
          <w:b/>
          <w:bCs/>
          <w:szCs w:val="21"/>
        </w:rPr>
      </w:pPr>
      <w:bookmarkStart w:id="43" w:name="_Toc381819884"/>
      <w:bookmarkStart w:id="44" w:name="_Toc381798874"/>
      <w:bookmarkStart w:id="45" w:name="_Toc307415799"/>
      <w:bookmarkStart w:id="46" w:name="_Toc285029052"/>
      <w:bookmarkStart w:id="47" w:name="_Toc300084209"/>
      <w:bookmarkStart w:id="48" w:name="_Toc300071367"/>
      <w:r>
        <w:rPr>
          <w:rFonts w:hint="eastAsia" w:ascii="宋体" w:hAnsi="宋体" w:eastAsia="宋体"/>
          <w:b/>
          <w:bCs/>
          <w:szCs w:val="21"/>
        </w:rPr>
        <w:t>1.3.2发包人供图计划</w:t>
      </w:r>
      <w:bookmarkEnd w:id="43"/>
      <w:bookmarkEnd w:id="44"/>
    </w:p>
    <w:p w14:paraId="6B81E42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(1)发包人应在发出开工通知后5天内，与承包人共同商签发包人供图计划，经合同双方签订的供图计划作为合同的补充文件。</w:t>
      </w:r>
    </w:p>
    <w:p w14:paraId="6CEB44F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(2)每年第四季度末，监理人应根据上述供图计划，提供详细的下年度供图计划给承包人。</w:t>
      </w:r>
    </w:p>
    <w:p w14:paraId="31B44BA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(3)不论何种原因调整和修订了合同进度计划，监理人应及时与承包人共同修订供图计划，并作为执行合同进度计划的补充文件。</w:t>
      </w:r>
    </w:p>
    <w:p w14:paraId="05508009">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(4)发包人应向承包人提供4份各类施工图纸（包括设计修改图）。承包人可根据施工需要，要求增加提供图纸份数，并为增供的图纸支付费用。</w:t>
      </w:r>
    </w:p>
    <w:p w14:paraId="2DC19BC5">
      <w:pPr>
        <w:snapToGrid w:val="0"/>
        <w:spacing w:before="134" w:beforeLines="25" w:line="300" w:lineRule="auto"/>
        <w:ind w:firstLine="210" w:firstLineChars="100"/>
        <w:outlineLvl w:val="2"/>
        <w:rPr>
          <w:rFonts w:ascii="宋体" w:hAnsi="宋体" w:eastAsia="宋体"/>
          <w:b/>
          <w:bCs/>
          <w:szCs w:val="21"/>
        </w:rPr>
      </w:pPr>
      <w:bookmarkStart w:id="49" w:name="_Toc381798875"/>
      <w:bookmarkStart w:id="50" w:name="_Toc381819885"/>
      <w:r>
        <w:rPr>
          <w:rFonts w:hint="eastAsia" w:ascii="宋体" w:hAnsi="宋体" w:eastAsia="宋体"/>
          <w:b/>
          <w:bCs/>
          <w:szCs w:val="21"/>
        </w:rPr>
        <w:t>1.3.3发包人提供施工图纸的期限</w:t>
      </w:r>
      <w:bookmarkEnd w:id="49"/>
      <w:bookmarkEnd w:id="50"/>
    </w:p>
    <w:p w14:paraId="5B02F4C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(1)用于承包人编制施工进度计划和施工总布置所需的工程枢纽总布置图和主要工程建筑物布置图应在签署合同协议书后7天内提供给承包人。</w:t>
      </w:r>
    </w:p>
    <w:p w14:paraId="43A2D763">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(2)用于各工程项目施工的工程建筑物结构布置图、体形图等施工图纸，应在该项目工程施工前14天提供给承包人。</w:t>
      </w:r>
    </w:p>
    <w:p w14:paraId="7A76B65F">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(3)用于工程施工的开挖支护图、配筋图、细部设计图和浇筑图等施工图纸，应在该部位施工前14天提供给承包人。</w:t>
      </w:r>
    </w:p>
    <w:p w14:paraId="1A8AAEA6">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用于机电设备安装的安装总图及其有关的图纸和技术文件（包括由设备供货商提交的图纸和技术文件）应在机电设备安装开始前28天提供给承包人。用于机电设备安装的埋设件图纸应在安装埋设前28天提供给承包人。</w:t>
      </w:r>
    </w:p>
    <w:p w14:paraId="1B6C274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(5)用于金属结构的制作和安装（如压力钢管、钢结构的制作和安装以及闸门和启闭机的安装等）的安装总图、分件图、安装说明书等图纸和文件，应在开始制作安装前28天提供给承包人。</w:t>
      </w:r>
    </w:p>
    <w:p w14:paraId="0D39E75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(6)用于安装监测仪器安装和埋设的施工图纸和技术文件应在开始安装埋设前 28 天提供给承包人。</w:t>
      </w:r>
    </w:p>
    <w:p w14:paraId="12D256CB">
      <w:pPr>
        <w:snapToGrid w:val="0"/>
        <w:spacing w:before="134" w:beforeLines="25" w:line="300" w:lineRule="auto"/>
        <w:ind w:firstLine="210" w:firstLineChars="100"/>
        <w:outlineLvl w:val="2"/>
        <w:rPr>
          <w:rFonts w:ascii="宋体" w:hAnsi="宋体" w:eastAsia="宋体"/>
          <w:b/>
          <w:bCs/>
          <w:szCs w:val="21"/>
        </w:rPr>
      </w:pPr>
      <w:bookmarkStart w:id="51" w:name="_Toc381798876"/>
      <w:bookmarkStart w:id="52" w:name="_Toc381819886"/>
      <w:r>
        <w:rPr>
          <w:rFonts w:hint="eastAsia" w:ascii="宋体" w:hAnsi="宋体" w:eastAsia="宋体"/>
          <w:b/>
          <w:bCs/>
          <w:szCs w:val="21"/>
        </w:rPr>
        <w:t>1.3.4施工图纸的修改</w:t>
      </w:r>
      <w:bookmarkEnd w:id="51"/>
      <w:bookmarkEnd w:id="52"/>
    </w:p>
    <w:p w14:paraId="71DC483B">
      <w:pPr>
        <w:snapToGrid w:val="0"/>
        <w:spacing w:line="300" w:lineRule="auto"/>
        <w:ind w:firstLine="420" w:firstLineChars="200"/>
        <w:rPr>
          <w:rFonts w:ascii="宋体" w:hAnsi="宋体" w:eastAsia="宋体"/>
          <w:szCs w:val="21"/>
        </w:rPr>
      </w:pPr>
      <w:r>
        <w:rPr>
          <w:rFonts w:hint="eastAsia" w:ascii="宋体" w:hAnsi="宋体" w:eastAsia="宋体"/>
          <w:szCs w:val="21"/>
        </w:rPr>
        <w:t>(1)承包人收到发包人按上述第1.3.3条的规定提交施工图纸后，应进行详细检查，若发现错误或表达不清楚时，应在收到图纸后的7天内书面通知监理人。若监理人确认需要作出修改或补充时，应在接件后5天内将修改和补充后的施工图纸重新提交给承包人。</w:t>
      </w:r>
    </w:p>
    <w:p w14:paraId="6BDE4A50">
      <w:pPr>
        <w:snapToGrid w:val="0"/>
        <w:spacing w:line="300" w:lineRule="auto"/>
        <w:ind w:firstLine="420" w:firstLineChars="200"/>
        <w:rPr>
          <w:rFonts w:ascii="宋体" w:hAnsi="宋体" w:eastAsia="宋体"/>
          <w:szCs w:val="21"/>
        </w:rPr>
      </w:pPr>
      <w:r>
        <w:rPr>
          <w:rFonts w:hint="eastAsia" w:ascii="宋体" w:hAnsi="宋体" w:eastAsia="宋体"/>
          <w:szCs w:val="21"/>
        </w:rPr>
        <w:t>(2)监理人发出施工图纸后，需要对某些工程设计进行修改和补充时，应在该部位开始施工14天前及时签发设汁修改图。</w:t>
      </w:r>
    </w:p>
    <w:p w14:paraId="21A4FD3A">
      <w:pPr>
        <w:snapToGrid w:val="0"/>
        <w:spacing w:line="300" w:lineRule="auto"/>
        <w:ind w:firstLine="420" w:firstLineChars="200"/>
        <w:rPr>
          <w:rFonts w:ascii="宋体" w:hAnsi="宋体" w:eastAsia="宋体"/>
          <w:szCs w:val="21"/>
        </w:rPr>
      </w:pPr>
      <w:r>
        <w:rPr>
          <w:rFonts w:hint="eastAsia" w:ascii="宋体" w:hAnsi="宋体" w:eastAsia="宋体"/>
          <w:szCs w:val="21"/>
        </w:rPr>
        <w:t>(3)若因施工情况紧急，监理人无法在上述规定的时间内签发修改施工图纸，可以临时发出施工图修改通知单，但应在此后的合理时限内补发正式施工图纸。</w:t>
      </w:r>
    </w:p>
    <w:bookmarkEnd w:id="45"/>
    <w:bookmarkEnd w:id="46"/>
    <w:bookmarkEnd w:id="47"/>
    <w:bookmarkEnd w:id="48"/>
    <w:p w14:paraId="6DEF24B2">
      <w:pPr>
        <w:adjustRightInd w:val="0"/>
        <w:snapToGrid w:val="0"/>
        <w:spacing w:before="134" w:beforeLines="25" w:line="300" w:lineRule="auto"/>
        <w:outlineLvl w:val="1"/>
        <w:rPr>
          <w:rFonts w:ascii="宋体" w:hAnsi="宋体" w:eastAsia="宋体"/>
          <w:b/>
          <w:bCs/>
          <w:sz w:val="24"/>
          <w:szCs w:val="24"/>
        </w:rPr>
      </w:pPr>
      <w:bookmarkStart w:id="53" w:name="_Toc26175678"/>
      <w:bookmarkStart w:id="54" w:name="_Toc332616512"/>
      <w:bookmarkStart w:id="55" w:name="_Toc3602900"/>
      <w:bookmarkStart w:id="56" w:name="_Toc347386203"/>
      <w:bookmarkStart w:id="57" w:name="_Toc370238491"/>
      <w:bookmarkStart w:id="58" w:name="_Toc332293380"/>
      <w:bookmarkStart w:id="59" w:name="_Toc278554289"/>
      <w:bookmarkStart w:id="60" w:name="_Toc332353173"/>
      <w:bookmarkStart w:id="61" w:name="_Toc277693662"/>
      <w:bookmarkStart w:id="62" w:name="_Toc381798877"/>
      <w:bookmarkStart w:id="63" w:name="_Toc4502192"/>
      <w:bookmarkStart w:id="64" w:name="_Toc325020343"/>
      <w:bookmarkStart w:id="65" w:name="_Toc267484946"/>
      <w:bookmarkStart w:id="66" w:name="_Toc278555631"/>
      <w:bookmarkStart w:id="67" w:name="_Toc3015975"/>
      <w:bookmarkStart w:id="68" w:name="_Toc49166612"/>
      <w:bookmarkStart w:id="69" w:name="_Toc2326244"/>
      <w:bookmarkStart w:id="70" w:name="_Toc381819887"/>
      <w:bookmarkStart w:id="71" w:name="_Toc347385699"/>
      <w:bookmarkStart w:id="72" w:name="_Toc325040149"/>
      <w:bookmarkStart w:id="73" w:name="_Toc5101166"/>
      <w:bookmarkStart w:id="74" w:name="_Toc325020875"/>
      <w:bookmarkStart w:id="75" w:name="_Toc347385954"/>
      <w:r>
        <w:rPr>
          <w:rFonts w:hint="eastAsia" w:ascii="宋体" w:hAnsi="宋体" w:eastAsia="宋体"/>
          <w:b/>
          <w:bCs/>
          <w:sz w:val="24"/>
          <w:szCs w:val="24"/>
        </w:rPr>
        <w:t>1.4 承包人提交的文件</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7A7A87F8">
      <w:pPr>
        <w:snapToGrid w:val="0"/>
        <w:spacing w:before="134" w:beforeLines="25" w:line="300" w:lineRule="auto"/>
        <w:ind w:firstLine="210" w:firstLineChars="100"/>
        <w:outlineLvl w:val="2"/>
        <w:rPr>
          <w:rFonts w:ascii="宋体" w:hAnsi="宋体" w:eastAsia="宋体"/>
          <w:b/>
          <w:bCs/>
          <w:szCs w:val="21"/>
        </w:rPr>
      </w:pPr>
      <w:bookmarkStart w:id="76" w:name="_Toc278554290"/>
      <w:bookmarkStart w:id="77" w:name="_Toc4502193"/>
      <w:bookmarkStart w:id="78" w:name="_Toc381798878"/>
      <w:bookmarkStart w:id="79" w:name="_Toc5101167"/>
      <w:bookmarkStart w:id="80" w:name="_Toc381819888"/>
      <w:r>
        <w:rPr>
          <w:rFonts w:hint="eastAsia" w:ascii="宋体" w:hAnsi="宋体" w:eastAsia="宋体"/>
          <w:b/>
          <w:bCs/>
          <w:szCs w:val="21"/>
        </w:rPr>
        <w:t>1.4.1图纸和文件的提交计划</w:t>
      </w:r>
      <w:bookmarkEnd w:id="76"/>
      <w:bookmarkEnd w:id="77"/>
      <w:bookmarkEnd w:id="78"/>
      <w:bookmarkEnd w:id="79"/>
      <w:bookmarkEnd w:id="80"/>
    </w:p>
    <w:p w14:paraId="3332C2CB">
      <w:pPr>
        <w:snapToGrid w:val="0"/>
        <w:spacing w:line="300" w:lineRule="auto"/>
        <w:ind w:firstLine="420" w:firstLineChars="200"/>
        <w:rPr>
          <w:rFonts w:ascii="宋体" w:hAnsi="宋体" w:eastAsia="宋体"/>
          <w:szCs w:val="21"/>
        </w:rPr>
      </w:pPr>
      <w:r>
        <w:rPr>
          <w:rFonts w:hint="eastAsia" w:ascii="宋体" w:hAnsi="宋体" w:eastAsia="宋体"/>
          <w:szCs w:val="21"/>
        </w:rPr>
        <w:t>承包人应在签署协议书后14天内，根据监理人批准的合同进度计划，编制一份由项目经理签署的承包人文件提交计划，提交监理人审批，监理人应在收到该提交计划后的28天内批复承包人。承包人文件的内容应包括本章第1.4.2～1.4.5条规定的各项提交件，以及按合同约定应由承包人提交的其它图纸和文件。</w:t>
      </w:r>
    </w:p>
    <w:p w14:paraId="3ED5506F">
      <w:pPr>
        <w:snapToGrid w:val="0"/>
        <w:spacing w:before="134" w:beforeLines="25" w:line="300" w:lineRule="auto"/>
        <w:ind w:firstLine="210" w:firstLineChars="100"/>
        <w:outlineLvl w:val="2"/>
        <w:rPr>
          <w:rFonts w:ascii="宋体" w:hAnsi="宋体" w:eastAsia="宋体"/>
          <w:b/>
          <w:bCs/>
          <w:szCs w:val="21"/>
        </w:rPr>
      </w:pPr>
      <w:bookmarkStart w:id="81" w:name="_Toc278554291"/>
      <w:bookmarkStart w:id="82" w:name="_Toc5101168"/>
      <w:bookmarkStart w:id="83" w:name="_Toc4502194"/>
      <w:bookmarkStart w:id="84" w:name="_Toc381819889"/>
      <w:bookmarkStart w:id="85" w:name="_Toc381798879"/>
      <w:r>
        <w:rPr>
          <w:rFonts w:hint="eastAsia" w:ascii="宋体" w:hAnsi="宋体" w:eastAsia="宋体"/>
          <w:b/>
          <w:bCs/>
          <w:szCs w:val="21"/>
        </w:rPr>
        <w:t>1.4.2</w:t>
      </w:r>
      <w:bookmarkEnd w:id="81"/>
      <w:bookmarkEnd w:id="82"/>
      <w:bookmarkEnd w:id="83"/>
      <w:r>
        <w:rPr>
          <w:rFonts w:hint="eastAsia" w:ascii="宋体" w:hAnsi="宋体" w:eastAsia="宋体"/>
          <w:b/>
          <w:bCs/>
          <w:szCs w:val="21"/>
        </w:rPr>
        <w:t>承包人负责设计的临时工程图纸和文件</w:t>
      </w:r>
      <w:bookmarkEnd w:id="84"/>
      <w:bookmarkEnd w:id="85"/>
    </w:p>
    <w:p w14:paraId="5338E16D">
      <w:pPr>
        <w:snapToGrid w:val="0"/>
        <w:spacing w:line="300" w:lineRule="auto"/>
        <w:ind w:firstLine="420" w:firstLineChars="200"/>
        <w:rPr>
          <w:rFonts w:ascii="宋体" w:hAnsi="宋体" w:eastAsia="宋体"/>
          <w:szCs w:val="21"/>
        </w:rPr>
      </w:pPr>
      <w:r>
        <w:rPr>
          <w:rFonts w:hint="eastAsia" w:ascii="宋体" w:hAnsi="宋体" w:eastAsia="宋体"/>
          <w:szCs w:val="21"/>
        </w:rPr>
        <w:t>(1)由承包人负责设计的临时工程项目，应在该项目开工前14天，提交该项目的总布置图、结构详图及其设计依据，以及监理人认为需要提交的其它图纸和文件，提交监理人批准。</w:t>
      </w:r>
    </w:p>
    <w:p w14:paraId="2D50A7EE">
      <w:pPr>
        <w:snapToGrid w:val="0"/>
        <w:spacing w:line="300" w:lineRule="auto"/>
        <w:ind w:firstLine="420" w:firstLineChars="200"/>
        <w:rPr>
          <w:rFonts w:ascii="宋体" w:hAnsi="宋体" w:eastAsia="宋体"/>
          <w:szCs w:val="21"/>
        </w:rPr>
      </w:pPr>
      <w:r>
        <w:rPr>
          <w:rFonts w:hint="eastAsia" w:ascii="宋体" w:hAnsi="宋体" w:eastAsia="宋体"/>
          <w:szCs w:val="21"/>
        </w:rPr>
        <w:t>(2)承包人提交的上述临时工程项目的基本资料、试验成果、施工样品，以及所有图纸、文件和影像资料等，其所需的费用均包括在相关项目的报价中，发包人不另行支付。</w:t>
      </w:r>
    </w:p>
    <w:p w14:paraId="593693D4">
      <w:pPr>
        <w:snapToGrid w:val="0"/>
        <w:spacing w:before="134" w:beforeLines="25" w:line="300" w:lineRule="auto"/>
        <w:ind w:firstLine="210" w:firstLineChars="100"/>
        <w:outlineLvl w:val="2"/>
        <w:rPr>
          <w:rFonts w:ascii="宋体" w:hAnsi="宋体" w:eastAsia="宋体"/>
          <w:b/>
          <w:bCs/>
          <w:szCs w:val="21"/>
        </w:rPr>
      </w:pPr>
      <w:bookmarkStart w:id="86" w:name="_Toc4502195"/>
      <w:bookmarkStart w:id="87" w:name="_Toc5101169"/>
      <w:bookmarkStart w:id="88" w:name="_Toc278554292"/>
      <w:bookmarkStart w:id="89" w:name="_Toc381819890"/>
      <w:bookmarkStart w:id="90" w:name="_Toc381798880"/>
      <w:r>
        <w:rPr>
          <w:rFonts w:hint="eastAsia" w:ascii="宋体" w:hAnsi="宋体" w:eastAsia="宋体"/>
          <w:b/>
          <w:bCs/>
          <w:szCs w:val="21"/>
        </w:rPr>
        <w:t>1.4.3</w:t>
      </w:r>
      <w:bookmarkEnd w:id="86"/>
      <w:bookmarkEnd w:id="87"/>
      <w:bookmarkEnd w:id="88"/>
      <w:r>
        <w:rPr>
          <w:rFonts w:hint="eastAsia" w:ascii="宋体" w:hAnsi="宋体" w:eastAsia="宋体"/>
          <w:b/>
          <w:bCs/>
          <w:szCs w:val="21"/>
        </w:rPr>
        <w:t>施工总进度计划</w:t>
      </w:r>
      <w:bookmarkEnd w:id="89"/>
      <w:bookmarkEnd w:id="90"/>
    </w:p>
    <w:p w14:paraId="3EFCC476">
      <w:pPr>
        <w:snapToGrid w:val="0"/>
        <w:spacing w:line="300" w:lineRule="auto"/>
        <w:ind w:firstLine="420" w:firstLineChars="200"/>
        <w:rPr>
          <w:rFonts w:ascii="宋体" w:hAnsi="宋体" w:eastAsia="宋体"/>
          <w:szCs w:val="21"/>
        </w:rPr>
      </w:pPr>
      <w:r>
        <w:rPr>
          <w:rFonts w:hint="eastAsia" w:ascii="宋体" w:hAnsi="宋体" w:eastAsia="宋体"/>
          <w:szCs w:val="21"/>
        </w:rPr>
        <w:t>(1)承包人按本合同专用合同条款第10.1款要求提交的施工总进度计划，应采用关键线路法编制网络图。网络图应包括以下各项数据和内容，表述全部工程施工作业间的逻辑关系：</w:t>
      </w:r>
    </w:p>
    <w:p w14:paraId="7F03C2E0">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1)作业和相应节点编号；</w:t>
      </w:r>
    </w:p>
    <w:p w14:paraId="3CF5536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2)各项施工作业间的衔接逻辑和协调芙系；</w:t>
      </w:r>
    </w:p>
    <w:p w14:paraId="0AC2972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3)持续时间；</w:t>
      </w:r>
    </w:p>
    <w:p w14:paraId="18B757E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4)最早开工及最早完工日期；</w:t>
      </w:r>
    </w:p>
    <w:p w14:paraId="7E0EF591">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5)最迟开工及最迟完工日期；</w:t>
      </w:r>
    </w:p>
    <w:p w14:paraId="719F7407">
      <w:pPr>
        <w:snapToGrid w:val="0"/>
        <w:spacing w:line="300" w:lineRule="auto"/>
        <w:ind w:firstLine="420" w:firstLineChars="200"/>
        <w:rPr>
          <w:rFonts w:ascii="宋体" w:hAnsi="宋体" w:eastAsia="宋体"/>
          <w:szCs w:val="21"/>
        </w:rPr>
      </w:pPr>
      <w:r>
        <w:rPr>
          <w:rFonts w:hint="eastAsia" w:ascii="宋体" w:hAnsi="宋体" w:eastAsia="宋体"/>
          <w:szCs w:val="21"/>
        </w:rPr>
        <w:t>6)总时差和自由时差；</w:t>
      </w:r>
    </w:p>
    <w:p w14:paraId="7E145491">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7)主要项目施工强度曲线；</w:t>
      </w:r>
    </w:p>
    <w:p w14:paraId="2808A23B">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8)附需要资源和说明。</w:t>
      </w:r>
    </w:p>
    <w:p w14:paraId="696178C3">
      <w:pPr>
        <w:snapToGrid w:val="0"/>
        <w:spacing w:line="300" w:lineRule="auto"/>
        <w:ind w:firstLine="420" w:firstLineChars="200"/>
        <w:rPr>
          <w:rFonts w:ascii="宋体" w:hAnsi="宋体" w:eastAsia="宋体"/>
          <w:szCs w:val="21"/>
        </w:rPr>
      </w:pPr>
      <w:r>
        <w:rPr>
          <w:rFonts w:hint="eastAsia" w:ascii="宋体" w:hAnsi="宋体" w:eastAsia="宋体"/>
          <w:szCs w:val="21"/>
        </w:rPr>
        <w:t>(2)承包人编制的施工总进度计划应满足本合同约定的各工程施工控制节点工期要求。</w:t>
      </w:r>
    </w:p>
    <w:p w14:paraId="1A251631">
      <w:pPr>
        <w:snapToGrid w:val="0"/>
        <w:spacing w:before="134" w:beforeLines="25" w:line="300" w:lineRule="auto"/>
        <w:ind w:firstLine="210" w:firstLineChars="100"/>
        <w:outlineLvl w:val="2"/>
        <w:rPr>
          <w:rFonts w:ascii="宋体" w:hAnsi="宋体" w:eastAsia="宋体"/>
          <w:b/>
          <w:bCs/>
          <w:szCs w:val="21"/>
        </w:rPr>
      </w:pPr>
      <w:bookmarkStart w:id="91" w:name="_Toc381819891"/>
      <w:bookmarkStart w:id="92" w:name="_Toc381798881"/>
      <w:r>
        <w:rPr>
          <w:rFonts w:hint="eastAsia" w:ascii="宋体" w:hAnsi="宋体" w:eastAsia="宋体"/>
          <w:b/>
          <w:bCs/>
          <w:szCs w:val="21"/>
        </w:rPr>
        <w:t>1.4.4施工总布置设计</w:t>
      </w:r>
      <w:bookmarkEnd w:id="91"/>
      <w:bookmarkEnd w:id="92"/>
    </w:p>
    <w:p w14:paraId="0CA6FFB5">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(1)承包人应在收到开工通知后的7天内，将本合同工程的施工总布置设计文件，提交监理人批准。监理人应在签收后5天内批复承包人。</w:t>
      </w:r>
    </w:p>
    <w:p w14:paraId="605B0DEC">
      <w:pPr>
        <w:snapToGrid w:val="0"/>
        <w:spacing w:line="300" w:lineRule="auto"/>
        <w:ind w:firstLine="420" w:firstLineChars="200"/>
        <w:rPr>
          <w:rFonts w:ascii="宋体" w:hAnsi="宋体" w:eastAsia="宋体"/>
          <w:szCs w:val="21"/>
        </w:rPr>
      </w:pPr>
      <w:r>
        <w:rPr>
          <w:rFonts w:hint="eastAsia" w:ascii="宋体" w:hAnsi="宋体" w:eastAsia="宋体"/>
          <w:szCs w:val="21"/>
        </w:rPr>
        <w:t>(2)承包人提交的施工总布置设计文件，其内容应包括施工总平面布置图、主要剖面图和设计说明书。承包人应按本技术条款第2章所列各项临时设施的设计和使用要求进行总平面布置。</w:t>
      </w:r>
    </w:p>
    <w:p w14:paraId="22A25C62">
      <w:pPr>
        <w:snapToGrid w:val="0"/>
        <w:spacing w:line="300" w:lineRule="auto"/>
        <w:ind w:firstLine="420" w:firstLineChars="200"/>
        <w:rPr>
          <w:rFonts w:ascii="宋体" w:hAnsi="宋体" w:eastAsia="宋体"/>
          <w:szCs w:val="21"/>
        </w:rPr>
      </w:pPr>
      <w:r>
        <w:rPr>
          <w:rFonts w:hint="eastAsia" w:ascii="宋体" w:hAnsi="宋体" w:eastAsia="宋体"/>
          <w:szCs w:val="21"/>
        </w:rPr>
        <w:t>(3)承包人应按本技术条款第3章有关“施工安全措施”和第4章“环境保护和水土保持”的要求，保护好临时设施周围的边坡、冲沟、河道、河岸的稳定和安全。</w:t>
      </w:r>
    </w:p>
    <w:p w14:paraId="0FFDAAD6">
      <w:pPr>
        <w:snapToGrid w:val="0"/>
        <w:spacing w:before="134" w:beforeLines="25" w:line="300" w:lineRule="auto"/>
        <w:ind w:firstLine="210" w:firstLineChars="100"/>
        <w:outlineLvl w:val="2"/>
        <w:rPr>
          <w:rFonts w:ascii="宋体" w:hAnsi="宋体" w:eastAsia="宋体"/>
          <w:b/>
          <w:bCs/>
          <w:szCs w:val="21"/>
        </w:rPr>
      </w:pPr>
      <w:bookmarkStart w:id="93" w:name="_Toc5101171"/>
      <w:bookmarkStart w:id="94" w:name="_Toc4502197"/>
      <w:bookmarkStart w:id="95" w:name="_Toc381819892"/>
      <w:bookmarkStart w:id="96" w:name="_Toc381798882"/>
      <w:bookmarkStart w:id="97" w:name="_Toc278554294"/>
      <w:r>
        <w:rPr>
          <w:rFonts w:hint="eastAsia" w:ascii="宋体" w:hAnsi="宋体" w:eastAsia="宋体"/>
          <w:b/>
          <w:bCs/>
          <w:szCs w:val="21"/>
        </w:rPr>
        <w:t>1.4.5主要施工方法和措施</w:t>
      </w:r>
      <w:bookmarkEnd w:id="93"/>
      <w:bookmarkEnd w:id="94"/>
      <w:bookmarkEnd w:id="95"/>
      <w:bookmarkEnd w:id="96"/>
      <w:bookmarkEnd w:id="97"/>
    </w:p>
    <w:p w14:paraId="214FF329">
      <w:pPr>
        <w:snapToGrid w:val="0"/>
        <w:spacing w:line="300" w:lineRule="auto"/>
        <w:ind w:firstLine="420" w:firstLineChars="200"/>
        <w:rPr>
          <w:rFonts w:ascii="宋体" w:hAnsi="宋体" w:eastAsia="宋体"/>
          <w:szCs w:val="21"/>
        </w:rPr>
      </w:pPr>
      <w:bookmarkStart w:id="98" w:name="_Toc5101172"/>
      <w:bookmarkStart w:id="99" w:name="_Toc4502198"/>
      <w:bookmarkStart w:id="100" w:name="_Toc278554295"/>
      <w:r>
        <w:rPr>
          <w:rFonts w:hint="eastAsia" w:ascii="宋体" w:hAnsi="宋体" w:eastAsia="宋体"/>
          <w:szCs w:val="21"/>
        </w:rPr>
        <w:t>(1)承包人应在每项工程开始施工或安装前14天，编制各工程项目的施工方法和措施，提交监理人批准。监理人应在收到文件后的7天内批复承包人。</w:t>
      </w:r>
    </w:p>
    <w:p w14:paraId="70F4846C">
      <w:pPr>
        <w:snapToGrid w:val="0"/>
        <w:spacing w:line="300" w:lineRule="auto"/>
        <w:ind w:firstLine="420" w:firstLineChars="200"/>
        <w:rPr>
          <w:rFonts w:ascii="宋体" w:hAnsi="宋体" w:eastAsia="宋体"/>
          <w:szCs w:val="21"/>
        </w:rPr>
      </w:pPr>
      <w:r>
        <w:rPr>
          <w:rFonts w:hint="eastAsia" w:ascii="宋体" w:hAnsi="宋体" w:eastAsia="宋体"/>
          <w:szCs w:val="21"/>
        </w:rPr>
        <w:t>(2)承包人按监理人指示提交的施工方法和措施，应包括施工需要的浇筑图、车间加工图和安装图等施工文件。</w:t>
      </w:r>
    </w:p>
    <w:p w14:paraId="1782B5C6">
      <w:pPr>
        <w:snapToGrid w:val="0"/>
        <w:spacing w:before="134" w:beforeLines="25" w:line="300" w:lineRule="auto"/>
        <w:ind w:firstLine="210" w:firstLineChars="100"/>
        <w:outlineLvl w:val="2"/>
        <w:rPr>
          <w:rFonts w:ascii="宋体" w:hAnsi="宋体" w:eastAsia="宋体"/>
          <w:b/>
          <w:bCs/>
          <w:szCs w:val="21"/>
        </w:rPr>
      </w:pPr>
      <w:bookmarkStart w:id="101" w:name="_Toc381798883"/>
      <w:bookmarkStart w:id="102" w:name="_Toc381819893"/>
      <w:r>
        <w:rPr>
          <w:rFonts w:hint="eastAsia" w:ascii="宋体" w:hAnsi="宋体" w:eastAsia="宋体"/>
          <w:b/>
          <w:bCs/>
          <w:szCs w:val="21"/>
        </w:rPr>
        <w:t>1.4.6</w:t>
      </w:r>
      <w:bookmarkEnd w:id="98"/>
      <w:bookmarkEnd w:id="99"/>
      <w:bookmarkEnd w:id="100"/>
      <w:r>
        <w:rPr>
          <w:rFonts w:hint="eastAsia" w:ascii="宋体" w:hAnsi="宋体" w:eastAsia="宋体"/>
          <w:b/>
          <w:bCs/>
          <w:szCs w:val="21"/>
        </w:rPr>
        <w:t>承包人文件的审批</w:t>
      </w:r>
      <w:bookmarkEnd w:id="101"/>
      <w:bookmarkEnd w:id="102"/>
    </w:p>
    <w:p w14:paraId="0C3605ED">
      <w:pPr>
        <w:snapToGrid w:val="0"/>
        <w:spacing w:line="300" w:lineRule="auto"/>
        <w:ind w:firstLine="420" w:firstLineChars="200"/>
        <w:rPr>
          <w:rFonts w:ascii="宋体" w:hAnsi="宋体" w:eastAsia="宋体"/>
          <w:szCs w:val="21"/>
        </w:rPr>
      </w:pPr>
      <w:r>
        <w:rPr>
          <w:rFonts w:hint="eastAsia" w:ascii="宋体" w:hAnsi="宋体" w:eastAsia="宋体"/>
          <w:szCs w:val="21"/>
        </w:rPr>
        <w:t>(1)除合同另有约定外，凡须经监理人审批的承包人文件，应在收到文件后7天内批复承包人，逾期不批复，则视为已经监理人批准。监理人的审批意见包括：</w:t>
      </w:r>
    </w:p>
    <w:p w14:paraId="2C9EB4C5">
      <w:pPr>
        <w:snapToGrid w:val="0"/>
        <w:spacing w:line="300" w:lineRule="auto"/>
        <w:ind w:firstLine="420" w:firstLineChars="200"/>
        <w:rPr>
          <w:rFonts w:ascii="宋体" w:hAnsi="宋体" w:eastAsia="宋体"/>
          <w:szCs w:val="21"/>
        </w:rPr>
      </w:pPr>
      <w:r>
        <w:rPr>
          <w:rFonts w:hint="eastAsia" w:ascii="宋体" w:hAnsi="宋体" w:eastAsia="宋体"/>
          <w:szCs w:val="21"/>
        </w:rPr>
        <w:t>1)同意按此执行；或</w:t>
      </w:r>
    </w:p>
    <w:p w14:paraId="43B004E6">
      <w:pPr>
        <w:snapToGrid w:val="0"/>
        <w:spacing w:line="300" w:lineRule="auto"/>
        <w:ind w:firstLine="420" w:firstLineChars="200"/>
        <w:rPr>
          <w:rFonts w:ascii="宋体" w:hAnsi="宋体" w:eastAsia="宋体"/>
          <w:szCs w:val="21"/>
        </w:rPr>
      </w:pPr>
      <w:r>
        <w:rPr>
          <w:rFonts w:hint="eastAsia" w:ascii="宋体" w:hAnsi="宋体" w:eastAsia="宋体"/>
          <w:szCs w:val="21"/>
        </w:rPr>
        <w:t>2)按修改意见执行；或</w:t>
      </w:r>
    </w:p>
    <w:p w14:paraId="2E781418">
      <w:pPr>
        <w:snapToGrid w:val="0"/>
        <w:spacing w:line="300" w:lineRule="auto"/>
        <w:ind w:firstLine="420" w:firstLineChars="200"/>
        <w:rPr>
          <w:rFonts w:ascii="宋体" w:hAnsi="宋体" w:eastAsia="宋体"/>
          <w:szCs w:val="21"/>
        </w:rPr>
      </w:pPr>
      <w:r>
        <w:rPr>
          <w:rFonts w:hint="eastAsia" w:ascii="宋体" w:hAnsi="宋体" w:eastAsia="宋体"/>
          <w:szCs w:val="21"/>
        </w:rPr>
        <w:t>3)修改后重新提交；或</w:t>
      </w:r>
    </w:p>
    <w:p w14:paraId="4B6C1539">
      <w:pPr>
        <w:snapToGrid w:val="0"/>
        <w:spacing w:line="300" w:lineRule="auto"/>
        <w:ind w:firstLine="420" w:firstLineChars="200"/>
        <w:rPr>
          <w:rFonts w:ascii="宋体" w:hAnsi="宋体" w:eastAsia="宋体"/>
          <w:szCs w:val="21"/>
        </w:rPr>
      </w:pPr>
      <w:r>
        <w:rPr>
          <w:rFonts w:hint="eastAsia" w:ascii="宋体" w:hAnsi="宋体" w:eastAsia="宋体"/>
          <w:szCs w:val="21"/>
        </w:rPr>
        <w:t>4)不予批准。</w:t>
      </w:r>
    </w:p>
    <w:p w14:paraId="7ABBAFB4">
      <w:pPr>
        <w:snapToGrid w:val="0"/>
        <w:spacing w:line="300" w:lineRule="auto"/>
        <w:ind w:firstLine="420" w:firstLineChars="200"/>
        <w:rPr>
          <w:rFonts w:ascii="宋体" w:hAnsi="宋体" w:eastAsia="宋体"/>
          <w:szCs w:val="21"/>
        </w:rPr>
      </w:pPr>
      <w:r>
        <w:rPr>
          <w:rFonts w:hint="eastAsia" w:ascii="宋体" w:hAnsi="宋体" w:eastAsia="宋体"/>
          <w:szCs w:val="21"/>
        </w:rPr>
        <w:t>(2)凡标有“按修改意见执行”或“修改后重新提交”的图纸和文件，应由承包人在收到批复件后 7天内作出相应修改。所有修改都应由承包人在修改的图纸和文件上标明编号、日期以及说明修改范围和内容，并由承包人项目经理签字后，重新提交监理人批复，监理人应在图纸的角签部位和文件的签署栏签注处理意见后，发还承包人执行。</w:t>
      </w:r>
    </w:p>
    <w:p w14:paraId="465AEF9F">
      <w:pPr>
        <w:snapToGrid w:val="0"/>
        <w:spacing w:line="300" w:lineRule="auto"/>
        <w:ind w:firstLine="420" w:firstLineChars="200"/>
        <w:rPr>
          <w:rFonts w:ascii="宋体" w:hAnsi="宋体" w:eastAsia="宋体"/>
          <w:szCs w:val="21"/>
        </w:rPr>
      </w:pPr>
      <w:r>
        <w:rPr>
          <w:rFonts w:hint="eastAsia" w:ascii="宋体" w:hAnsi="宋体" w:eastAsia="宋体"/>
          <w:szCs w:val="21"/>
        </w:rPr>
        <w:t>(3)凡合同约定由承包人提交监理人批准的图纸和文件，必须由项目经理或其授权代表签名，否则均属无效。凡未经监理人按上述第1款规定签署的图纸和文件，均属无效。</w:t>
      </w:r>
    </w:p>
    <w:p w14:paraId="731B7D8F">
      <w:pPr>
        <w:adjustRightInd w:val="0"/>
        <w:snapToGrid w:val="0"/>
        <w:spacing w:before="134" w:beforeLines="25" w:line="300" w:lineRule="auto"/>
        <w:outlineLvl w:val="1"/>
        <w:rPr>
          <w:rFonts w:ascii="宋体" w:hAnsi="宋体" w:eastAsia="宋体"/>
          <w:b/>
          <w:bCs/>
          <w:sz w:val="24"/>
          <w:szCs w:val="24"/>
        </w:rPr>
      </w:pPr>
      <w:bookmarkStart w:id="103" w:name="_Toc381798884"/>
      <w:bookmarkStart w:id="104" w:name="_Toc278554297"/>
      <w:bookmarkStart w:id="105" w:name="_Toc347386204"/>
      <w:bookmarkStart w:id="106" w:name="_Toc278555632"/>
      <w:bookmarkStart w:id="107" w:name="_Toc332353174"/>
      <w:bookmarkStart w:id="108" w:name="_Toc347385700"/>
      <w:bookmarkStart w:id="109" w:name="_Toc49166613"/>
      <w:bookmarkStart w:id="110" w:name="_Toc3015976"/>
      <w:bookmarkStart w:id="111" w:name="_Toc332616513"/>
      <w:bookmarkStart w:id="112" w:name="_Toc5101174"/>
      <w:bookmarkStart w:id="113" w:name="_Toc325020344"/>
      <w:bookmarkStart w:id="114" w:name="_Toc325020876"/>
      <w:bookmarkStart w:id="115" w:name="_Toc2326245"/>
      <w:bookmarkStart w:id="116" w:name="_Toc4502200"/>
      <w:bookmarkStart w:id="117" w:name="_Toc332293381"/>
      <w:bookmarkStart w:id="118" w:name="_Toc325040150"/>
      <w:bookmarkStart w:id="119" w:name="_Toc381819894"/>
      <w:bookmarkStart w:id="120" w:name="_Toc267484947"/>
      <w:bookmarkStart w:id="121" w:name="_Toc277693663"/>
      <w:bookmarkStart w:id="122" w:name="_Toc370238492"/>
      <w:bookmarkStart w:id="123" w:name="_Toc26175679"/>
      <w:bookmarkStart w:id="124" w:name="_Toc3602901"/>
      <w:bookmarkStart w:id="125" w:name="_Toc347385955"/>
      <w:r>
        <w:rPr>
          <w:rFonts w:hint="eastAsia" w:ascii="宋体" w:hAnsi="宋体" w:eastAsia="宋体"/>
          <w:b/>
          <w:bCs/>
          <w:sz w:val="24"/>
          <w:szCs w:val="24"/>
        </w:rPr>
        <w:t>1.5 发包人提供的材料和工程设备</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3EE3F6E3">
      <w:pPr>
        <w:snapToGrid w:val="0"/>
        <w:spacing w:before="134" w:beforeLines="25" w:line="300" w:lineRule="auto"/>
        <w:ind w:firstLine="210" w:firstLineChars="100"/>
        <w:outlineLvl w:val="2"/>
        <w:rPr>
          <w:rFonts w:ascii="宋体" w:hAnsi="宋体" w:eastAsia="宋体"/>
          <w:b/>
          <w:bCs/>
          <w:szCs w:val="21"/>
        </w:rPr>
      </w:pPr>
      <w:bookmarkStart w:id="126" w:name="_Toc381798885"/>
      <w:bookmarkStart w:id="127" w:name="_Toc381819895"/>
      <w:bookmarkStart w:id="128" w:name="_Toc5101175"/>
      <w:bookmarkStart w:id="129" w:name="_Toc4502201"/>
      <w:bookmarkStart w:id="130" w:name="_Toc278554298"/>
      <w:r>
        <w:rPr>
          <w:rFonts w:hint="eastAsia" w:ascii="宋体" w:hAnsi="宋体" w:eastAsia="宋体"/>
          <w:b/>
          <w:bCs/>
          <w:szCs w:val="21"/>
        </w:rPr>
        <w:t>1.5.1发包人提供的材料</w:t>
      </w:r>
      <w:bookmarkEnd w:id="126"/>
      <w:bookmarkEnd w:id="127"/>
    </w:p>
    <w:p w14:paraId="36D06828">
      <w:pPr>
        <w:snapToGrid w:val="0"/>
        <w:spacing w:line="300" w:lineRule="auto"/>
        <w:ind w:firstLine="420" w:firstLineChars="200"/>
        <w:rPr>
          <w:rFonts w:ascii="宋体" w:hAnsi="宋体" w:eastAsia="宋体"/>
          <w:szCs w:val="21"/>
        </w:rPr>
      </w:pPr>
      <w:r>
        <w:rPr>
          <w:rFonts w:hint="eastAsia" w:ascii="宋体" w:hAnsi="宋体" w:eastAsia="宋体"/>
          <w:szCs w:val="21"/>
        </w:rPr>
        <w:t>(1)材料供应计划</w:t>
      </w:r>
    </w:p>
    <w:p w14:paraId="5C099443">
      <w:pPr>
        <w:snapToGrid w:val="0"/>
        <w:spacing w:line="300" w:lineRule="auto"/>
        <w:ind w:firstLine="420" w:firstLineChars="200"/>
        <w:rPr>
          <w:rFonts w:ascii="宋体" w:hAnsi="宋体" w:eastAsia="宋体"/>
          <w:szCs w:val="21"/>
        </w:rPr>
      </w:pPr>
      <w:r>
        <w:rPr>
          <w:rFonts w:hint="eastAsia" w:ascii="宋体" w:hAnsi="宋体" w:eastAsia="宋体"/>
          <w:szCs w:val="21"/>
        </w:rPr>
        <w:t>承包人应编制一份发包人供应材料的需用计划，提交监理人审批。承包人应在每年11月末的5天前、每季度末的5天前和每月末的5天前，向监理人提交下一年度、季度和下一月的材料需用计划。经监理人确认后作为发包人分期供应材科的依据。</w:t>
      </w:r>
    </w:p>
    <w:p w14:paraId="1CD21645">
      <w:pPr>
        <w:snapToGrid w:val="0"/>
        <w:spacing w:line="300" w:lineRule="auto"/>
        <w:ind w:firstLine="420" w:firstLineChars="200"/>
        <w:rPr>
          <w:rFonts w:ascii="宋体" w:hAnsi="宋体" w:eastAsia="宋体"/>
          <w:szCs w:val="21"/>
        </w:rPr>
      </w:pPr>
      <w:r>
        <w:rPr>
          <w:rFonts w:hint="eastAsia" w:ascii="宋体" w:hAnsi="宋体" w:eastAsia="宋体"/>
          <w:szCs w:val="21"/>
        </w:rPr>
        <w:t>(2)材料交货验收</w:t>
      </w:r>
    </w:p>
    <w:p w14:paraId="13E05468">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合同约定，对发包人指定供货单位供应的材料质量、数量和品种进行检查、检验和验收，并及时将材料的检验结果提交监理人。若材料质量不合格，承包人有权拒绝使用，但必须向监理人提供能证明材料不合格的试验和检验资料。</w:t>
      </w:r>
    </w:p>
    <w:p w14:paraId="7450C1A4">
      <w:pPr>
        <w:snapToGrid w:val="0"/>
        <w:spacing w:before="134" w:beforeLines="25" w:line="300" w:lineRule="auto"/>
        <w:ind w:firstLine="210" w:firstLineChars="100"/>
        <w:outlineLvl w:val="2"/>
        <w:rPr>
          <w:rFonts w:ascii="宋体" w:hAnsi="宋体" w:eastAsia="宋体"/>
          <w:b/>
          <w:bCs/>
          <w:szCs w:val="21"/>
        </w:rPr>
      </w:pPr>
      <w:bookmarkStart w:id="131" w:name="_Toc381819896"/>
      <w:bookmarkStart w:id="132" w:name="_Toc381798886"/>
      <w:r>
        <w:rPr>
          <w:rFonts w:hint="eastAsia" w:ascii="宋体" w:hAnsi="宋体" w:eastAsia="宋体"/>
          <w:b/>
          <w:bCs/>
          <w:szCs w:val="21"/>
        </w:rPr>
        <w:t>1.5.2发包人提供的工程设备</w:t>
      </w:r>
      <w:bookmarkEnd w:id="131"/>
      <w:bookmarkEnd w:id="132"/>
    </w:p>
    <w:p w14:paraId="0F27D454">
      <w:pPr>
        <w:snapToGrid w:val="0"/>
        <w:spacing w:line="300" w:lineRule="auto"/>
        <w:ind w:firstLine="420" w:firstLineChars="200"/>
        <w:rPr>
          <w:rFonts w:ascii="宋体" w:hAnsi="宋体" w:eastAsia="宋体"/>
          <w:szCs w:val="21"/>
        </w:rPr>
      </w:pPr>
      <w:r>
        <w:rPr>
          <w:rFonts w:hint="eastAsia" w:ascii="宋体" w:hAnsi="宋体" w:eastAsia="宋体"/>
          <w:szCs w:val="21"/>
        </w:rPr>
        <w:t>(1)承包人应提交一份满足工程设备安装进度的交货日期计划，提交监理人批准。监理人应在收到承包人提交件后的7天内批复承包人。</w:t>
      </w:r>
    </w:p>
    <w:p w14:paraId="4E843C3C">
      <w:pPr>
        <w:snapToGrid w:val="0"/>
        <w:spacing w:line="300" w:lineRule="auto"/>
        <w:ind w:firstLine="420" w:firstLineChars="200"/>
        <w:rPr>
          <w:rFonts w:ascii="宋体" w:hAnsi="宋体" w:eastAsia="宋体"/>
          <w:szCs w:val="21"/>
        </w:rPr>
      </w:pPr>
      <w:r>
        <w:rPr>
          <w:rFonts w:hint="eastAsia" w:ascii="宋体" w:hAnsi="宋体" w:eastAsia="宋体"/>
          <w:szCs w:val="21"/>
        </w:rPr>
        <w:t>(2)由发包人提供承包人安装的工程设备，应按监理人批准的交货日期交货，承包人可允许发包人比原定计划提前28天内到货。提前超过28天，应由发包人支付提前到货的仓管费用。</w:t>
      </w:r>
    </w:p>
    <w:p w14:paraId="04E266C0">
      <w:pPr>
        <w:snapToGrid w:val="0"/>
        <w:spacing w:line="300" w:lineRule="auto"/>
        <w:ind w:firstLine="420" w:firstLineChars="200"/>
        <w:rPr>
          <w:rFonts w:ascii="宋体" w:hAnsi="宋体" w:eastAsia="宋体"/>
          <w:szCs w:val="21"/>
        </w:rPr>
      </w:pPr>
      <w:r>
        <w:rPr>
          <w:rFonts w:hint="eastAsia" w:ascii="宋体" w:hAnsi="宋体" w:eastAsia="宋体"/>
          <w:szCs w:val="21"/>
        </w:rPr>
        <w:t>(3)监理人应在设备到达卸货地点的24小时前通知承包人，承包人应在接到监理人通知（到货后）1小时内卸货，否则，应由承包人支付卸货地点的逾期保管费用。</w:t>
      </w:r>
    </w:p>
    <w:p w14:paraId="2FBB6454">
      <w:pPr>
        <w:snapToGrid w:val="0"/>
        <w:spacing w:line="300" w:lineRule="auto"/>
        <w:ind w:firstLine="420" w:firstLineChars="200"/>
        <w:rPr>
          <w:rFonts w:ascii="宋体" w:hAnsi="宋体" w:eastAsia="宋体"/>
          <w:szCs w:val="21"/>
        </w:rPr>
      </w:pPr>
      <w:r>
        <w:rPr>
          <w:rFonts w:hint="eastAsia" w:ascii="宋体" w:hAnsi="宋体" w:eastAsia="宋体"/>
          <w:szCs w:val="21"/>
        </w:rPr>
        <w:t>(4)由于施工安装进度延误，修订了合同进度计划，承包人可根据监理人批准的修订进度计划，要求变更工程设备的交货日期，但由于承包人原因造成进度计划延误而变更交货日期时，承包人应自费保管按原定交货日期到达的工程设备。由于发包人要求变更交货日期，影响承包人的安装工作进度时，承包人有权要求延长工期和（或）要求发包人支忖增加的费用。</w:t>
      </w:r>
    </w:p>
    <w:p w14:paraId="34480CD9">
      <w:pPr>
        <w:snapToGrid w:val="0"/>
        <w:spacing w:line="300" w:lineRule="auto"/>
        <w:ind w:firstLine="420" w:firstLineChars="200"/>
        <w:rPr>
          <w:rFonts w:ascii="宋体" w:hAnsi="宋体" w:eastAsia="宋体"/>
          <w:szCs w:val="21"/>
        </w:rPr>
      </w:pPr>
      <w:r>
        <w:rPr>
          <w:rFonts w:hint="eastAsia" w:ascii="宋体" w:hAnsi="宋体" w:eastAsia="宋体"/>
          <w:szCs w:val="21"/>
        </w:rPr>
        <w:t>(5)工程设备的交货验收：</w:t>
      </w:r>
    </w:p>
    <w:p w14:paraId="7C370465">
      <w:pPr>
        <w:snapToGrid w:val="0"/>
        <w:spacing w:line="300" w:lineRule="auto"/>
        <w:ind w:firstLine="420" w:firstLineChars="200"/>
        <w:rPr>
          <w:rFonts w:ascii="宋体" w:hAnsi="宋体" w:eastAsia="宋体"/>
          <w:szCs w:val="21"/>
        </w:rPr>
      </w:pPr>
      <w:r>
        <w:rPr>
          <w:rFonts w:hint="eastAsia" w:ascii="宋体" w:hAnsi="宋体" w:eastAsia="宋体"/>
          <w:szCs w:val="21"/>
        </w:rPr>
        <w:t>1)由发包人提供的工程设备，应由发包人、监理人与承包人共同进行交货验收。</w:t>
      </w:r>
    </w:p>
    <w:p w14:paraId="5970FCD5">
      <w:pPr>
        <w:snapToGrid w:val="0"/>
        <w:spacing w:line="300" w:lineRule="auto"/>
        <w:ind w:firstLine="420" w:firstLineChars="200"/>
        <w:rPr>
          <w:rFonts w:ascii="宋体" w:hAnsi="宋体" w:eastAsia="宋体"/>
          <w:szCs w:val="21"/>
        </w:rPr>
      </w:pPr>
      <w:r>
        <w:rPr>
          <w:rFonts w:hint="eastAsia" w:ascii="宋体" w:hAnsi="宋体" w:eastAsia="宋体"/>
          <w:szCs w:val="21"/>
        </w:rPr>
        <w:t>2)若合同约定由承包人直接在制造厂提货，则应由发包人、监理人与承包人共同参加出厂检验后，由双方办理正式移交手续，并经承包人验点接收后自行发运至工地。承包人应对工程设备在运输中造成的损失和损坏承担全部责任。</w:t>
      </w:r>
    </w:p>
    <w:p w14:paraId="2CADD774">
      <w:pPr>
        <w:snapToGrid w:val="0"/>
        <w:spacing w:line="300" w:lineRule="auto"/>
        <w:ind w:firstLine="420" w:firstLineChars="200"/>
        <w:rPr>
          <w:rFonts w:ascii="宋体" w:hAnsi="宋体" w:eastAsia="宋体"/>
          <w:szCs w:val="21"/>
        </w:rPr>
      </w:pPr>
      <w:r>
        <w:rPr>
          <w:rFonts w:hint="eastAsia" w:ascii="宋体" w:hAnsi="宋体" w:eastAsia="宋体"/>
          <w:szCs w:val="21"/>
        </w:rPr>
        <w:t>3)若合同约定由发包人（或供货商）发运至工地交货，则应由发包人、供货商代表、监理人与承包人共同进行现场开箱检验，并经承包人验收清点后办理正式移交手续。此时，应由发包人对工程设备在运输中造成的损失和损坏承担责任。从设备开箱验收完毕起，承包人应对工程设备的维护和保管承担责任。</w:t>
      </w:r>
    </w:p>
    <w:bookmarkEnd w:id="128"/>
    <w:bookmarkEnd w:id="129"/>
    <w:bookmarkEnd w:id="130"/>
    <w:p w14:paraId="5E43B1F1">
      <w:pPr>
        <w:adjustRightInd w:val="0"/>
        <w:snapToGrid w:val="0"/>
        <w:spacing w:before="134" w:beforeLines="25" w:line="300" w:lineRule="auto"/>
        <w:outlineLvl w:val="1"/>
        <w:rPr>
          <w:rFonts w:ascii="宋体" w:hAnsi="宋体" w:eastAsia="宋体"/>
          <w:b/>
          <w:bCs/>
          <w:sz w:val="24"/>
          <w:szCs w:val="24"/>
        </w:rPr>
      </w:pPr>
      <w:bookmarkStart w:id="133" w:name="_Toc49166614"/>
      <w:bookmarkStart w:id="134" w:name="_Toc381819897"/>
      <w:bookmarkStart w:id="135" w:name="_Toc26175680"/>
      <w:bookmarkStart w:id="136" w:name="_Toc332353175"/>
      <w:bookmarkStart w:id="137" w:name="_Toc278555633"/>
      <w:bookmarkStart w:id="138" w:name="_Toc3602902"/>
      <w:bookmarkStart w:id="139" w:name="_Toc3015977"/>
      <w:bookmarkStart w:id="140" w:name="_Toc347386205"/>
      <w:bookmarkStart w:id="141" w:name="_Toc381798887"/>
      <w:bookmarkStart w:id="142" w:name="_Toc5101177"/>
      <w:bookmarkStart w:id="143" w:name="_Toc332616514"/>
      <w:bookmarkStart w:id="144" w:name="_Toc2326246"/>
      <w:bookmarkStart w:id="145" w:name="_Toc277693664"/>
      <w:bookmarkStart w:id="146" w:name="_Toc4502203"/>
      <w:bookmarkStart w:id="147" w:name="_Toc325020877"/>
      <w:bookmarkStart w:id="148" w:name="_Toc370238493"/>
      <w:bookmarkStart w:id="149" w:name="_Toc332293382"/>
      <w:bookmarkStart w:id="150" w:name="_Toc278554300"/>
      <w:bookmarkStart w:id="151" w:name="_Toc347385956"/>
      <w:bookmarkStart w:id="152" w:name="_Toc347385701"/>
      <w:bookmarkStart w:id="153" w:name="_Toc267484948"/>
      <w:bookmarkStart w:id="154" w:name="_Toc325020345"/>
      <w:bookmarkStart w:id="155" w:name="_Toc325040151"/>
      <w:r>
        <w:rPr>
          <w:rFonts w:hint="eastAsia" w:ascii="宋体" w:hAnsi="宋体" w:eastAsia="宋体"/>
          <w:b/>
          <w:bCs/>
          <w:sz w:val="24"/>
          <w:szCs w:val="24"/>
        </w:rPr>
        <w:t>1.6 承包人提供的材料和设备</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66FC68D7">
      <w:pPr>
        <w:snapToGrid w:val="0"/>
        <w:spacing w:before="134" w:beforeLines="25" w:line="300" w:lineRule="auto"/>
        <w:ind w:firstLine="210" w:firstLineChars="100"/>
        <w:outlineLvl w:val="2"/>
        <w:rPr>
          <w:rFonts w:ascii="宋体" w:hAnsi="宋体" w:eastAsia="宋体"/>
          <w:b/>
          <w:bCs/>
          <w:szCs w:val="21"/>
        </w:rPr>
      </w:pPr>
      <w:bookmarkStart w:id="156" w:name="_Toc4502204"/>
      <w:bookmarkStart w:id="157" w:name="_Toc278554301"/>
      <w:bookmarkStart w:id="158" w:name="_Toc381819898"/>
      <w:bookmarkStart w:id="159" w:name="_Toc381798888"/>
      <w:bookmarkStart w:id="160" w:name="_Toc5101178"/>
      <w:r>
        <w:rPr>
          <w:rFonts w:hint="eastAsia" w:ascii="宋体" w:hAnsi="宋体" w:eastAsia="宋体"/>
          <w:b/>
          <w:bCs/>
          <w:szCs w:val="21"/>
        </w:rPr>
        <w:t>1.6.1承包人提供的材料</w:t>
      </w:r>
      <w:bookmarkEnd w:id="156"/>
      <w:bookmarkEnd w:id="157"/>
      <w:bookmarkEnd w:id="158"/>
      <w:bookmarkEnd w:id="159"/>
      <w:bookmarkEnd w:id="160"/>
    </w:p>
    <w:p w14:paraId="79A30D74">
      <w:pPr>
        <w:snapToGrid w:val="0"/>
        <w:spacing w:line="300" w:lineRule="auto"/>
        <w:ind w:firstLine="420" w:firstLineChars="200"/>
        <w:rPr>
          <w:rFonts w:ascii="宋体" w:hAnsi="宋体" w:eastAsia="宋体"/>
          <w:szCs w:val="21"/>
        </w:rPr>
      </w:pPr>
      <w:r>
        <w:rPr>
          <w:rFonts w:hint="eastAsia" w:ascii="宋体" w:hAnsi="宋体" w:eastAsia="宋体"/>
          <w:szCs w:val="21"/>
        </w:rPr>
        <w:t>(1)承包人提供的材料应由监理人按以下程序进行检查和验收：</w:t>
      </w:r>
    </w:p>
    <w:p w14:paraId="35A0DAC3">
      <w:pPr>
        <w:snapToGrid w:val="0"/>
        <w:spacing w:line="300" w:lineRule="auto"/>
        <w:ind w:firstLine="420" w:firstLineChars="200"/>
        <w:rPr>
          <w:rFonts w:ascii="宋体" w:hAnsi="宋体" w:eastAsia="宋体"/>
          <w:szCs w:val="21"/>
        </w:rPr>
      </w:pPr>
      <w:r>
        <w:rPr>
          <w:rFonts w:hint="eastAsia" w:ascii="宋体" w:hAnsi="宋体" w:eastAsia="宋体"/>
          <w:szCs w:val="21"/>
        </w:rPr>
        <w:t>1)查验证件：承包人应按供货合同的要求查验每批材料的发货单、计量单、装箱材料的合格证书、化验单以及其它有关图纸、文件和证件，并应将上述图纸，以及文件、证件的复印件提交监理人；</w:t>
      </w:r>
    </w:p>
    <w:p w14:paraId="6B52C110">
      <w:pPr>
        <w:snapToGrid w:val="0"/>
        <w:spacing w:line="300" w:lineRule="auto"/>
        <w:ind w:firstLine="420" w:firstLineChars="200"/>
        <w:rPr>
          <w:rFonts w:ascii="宋体" w:hAnsi="宋体" w:eastAsia="宋体"/>
          <w:szCs w:val="21"/>
        </w:rPr>
      </w:pPr>
      <w:r>
        <w:rPr>
          <w:rFonts w:hint="eastAsia" w:ascii="宋体" w:hAnsi="宋体" w:eastAsia="宋体"/>
          <w:szCs w:val="21"/>
        </w:rPr>
        <w:t>2)抽样检验：承包人应会同监理人按本合同约定和技术条款各章的有关规定进行材料抽样检验，检验结果应提交监理人。并对每批材料是否合格作出鉴定；</w:t>
      </w:r>
    </w:p>
    <w:p w14:paraId="16125523">
      <w:pPr>
        <w:snapToGrid w:val="0"/>
        <w:spacing w:line="300" w:lineRule="auto"/>
        <w:ind w:firstLine="420" w:firstLineChars="200"/>
        <w:rPr>
          <w:rFonts w:ascii="宋体" w:hAnsi="宋体" w:eastAsia="宋体"/>
          <w:szCs w:val="21"/>
        </w:rPr>
      </w:pPr>
      <w:r>
        <w:rPr>
          <w:rFonts w:hint="eastAsia" w:ascii="宋体" w:hAnsi="宋体" w:eastAsia="宋体"/>
          <w:szCs w:val="21"/>
        </w:rPr>
        <w:t>3)材料验收：经鉴定合格的树料方能验收，承包人应与监理人共同核对每批材料的品名、规格、数量，并作好记录，共同验点入库。</w:t>
      </w:r>
    </w:p>
    <w:p w14:paraId="7F95D639">
      <w:pPr>
        <w:snapToGrid w:val="0"/>
        <w:spacing w:line="300" w:lineRule="auto"/>
        <w:ind w:firstLine="420" w:firstLineChars="200"/>
        <w:rPr>
          <w:rFonts w:ascii="宋体" w:hAnsi="宋体" w:eastAsia="宋体"/>
          <w:szCs w:val="21"/>
        </w:rPr>
      </w:pPr>
      <w:r>
        <w:rPr>
          <w:rFonts w:hint="eastAsia" w:ascii="宋体" w:hAnsi="宋体" w:eastAsia="宋体"/>
          <w:szCs w:val="21"/>
        </w:rPr>
        <w:t>(2)不合格材料的处理</w:t>
      </w:r>
    </w:p>
    <w:p w14:paraId="48B73C03">
      <w:pPr>
        <w:snapToGrid w:val="0"/>
        <w:spacing w:line="300" w:lineRule="auto"/>
        <w:ind w:firstLine="420" w:firstLineChars="200"/>
        <w:rPr>
          <w:rFonts w:ascii="宋体" w:hAnsi="宋体" w:eastAsia="宋体"/>
          <w:szCs w:val="21"/>
        </w:rPr>
      </w:pPr>
      <w:r>
        <w:rPr>
          <w:rFonts w:hint="eastAsia" w:ascii="宋体" w:hAnsi="宋体" w:eastAsia="宋体"/>
          <w:szCs w:val="21"/>
        </w:rPr>
        <w:t>经监理人查库发现的不合格材料，应禁止使用，并清除出场。承包人违约使用了不合格材料，应按本合同约定予以清除或返工至合格为止。</w:t>
      </w:r>
    </w:p>
    <w:p w14:paraId="4132093D">
      <w:pPr>
        <w:snapToGrid w:val="0"/>
        <w:spacing w:line="300" w:lineRule="auto"/>
        <w:ind w:firstLine="420" w:firstLineChars="200"/>
        <w:rPr>
          <w:rFonts w:ascii="宋体" w:hAnsi="宋体" w:eastAsia="宋体"/>
          <w:szCs w:val="21"/>
        </w:rPr>
      </w:pPr>
      <w:r>
        <w:rPr>
          <w:rFonts w:hint="eastAsia" w:ascii="宋体" w:hAnsi="宋体" w:eastAsia="宋体"/>
          <w:szCs w:val="21"/>
        </w:rPr>
        <w:t>(3)代用材料</w:t>
      </w:r>
    </w:p>
    <w:p w14:paraId="2AF34DA1">
      <w:pPr>
        <w:snapToGrid w:val="0"/>
        <w:spacing w:line="300" w:lineRule="auto"/>
        <w:ind w:firstLine="420" w:firstLineChars="200"/>
        <w:rPr>
          <w:rFonts w:ascii="宋体" w:hAnsi="宋体" w:eastAsia="宋体"/>
          <w:szCs w:val="21"/>
        </w:rPr>
      </w:pPr>
      <w:r>
        <w:rPr>
          <w:rFonts w:hint="eastAsia" w:ascii="宋体" w:hAnsi="宋体" w:eastAsia="宋体"/>
          <w:szCs w:val="21"/>
        </w:rPr>
        <w:t>承包人申请代用材料，应将代用材料的技术标准、质量证明书和试验报告提交监理人。经监理人批准后，才能采用代用材料。</w:t>
      </w:r>
    </w:p>
    <w:p w14:paraId="57D803FC">
      <w:pPr>
        <w:snapToGrid w:val="0"/>
        <w:spacing w:before="134" w:beforeLines="25" w:line="300" w:lineRule="auto"/>
        <w:ind w:firstLine="210" w:firstLineChars="100"/>
        <w:outlineLvl w:val="2"/>
        <w:rPr>
          <w:rFonts w:ascii="宋体" w:hAnsi="宋体" w:eastAsia="宋体"/>
          <w:b/>
          <w:bCs/>
          <w:szCs w:val="21"/>
        </w:rPr>
      </w:pPr>
      <w:bookmarkStart w:id="161" w:name="_Toc5101179"/>
      <w:bookmarkStart w:id="162" w:name="_Toc381798889"/>
      <w:bookmarkStart w:id="163" w:name="_Toc381819899"/>
      <w:bookmarkStart w:id="164" w:name="_Toc4502205"/>
      <w:bookmarkStart w:id="165" w:name="_Toc278554302"/>
      <w:r>
        <w:rPr>
          <w:rFonts w:hint="eastAsia" w:ascii="宋体" w:hAnsi="宋体" w:eastAsia="宋体"/>
          <w:b/>
          <w:bCs/>
          <w:szCs w:val="21"/>
        </w:rPr>
        <w:t>1.6.2承包人提供的工程设备</w:t>
      </w:r>
      <w:bookmarkEnd w:id="161"/>
      <w:bookmarkEnd w:id="162"/>
      <w:bookmarkEnd w:id="163"/>
      <w:bookmarkEnd w:id="164"/>
      <w:bookmarkEnd w:id="165"/>
    </w:p>
    <w:p w14:paraId="30CC13D0">
      <w:pPr>
        <w:snapToGrid w:val="0"/>
        <w:spacing w:line="300" w:lineRule="auto"/>
        <w:ind w:firstLine="420" w:firstLineChars="200"/>
        <w:rPr>
          <w:rFonts w:ascii="宋体" w:hAnsi="宋体" w:eastAsia="宋体"/>
          <w:szCs w:val="21"/>
        </w:rPr>
      </w:pPr>
      <w:r>
        <w:rPr>
          <w:rFonts w:hint="eastAsia" w:ascii="宋体" w:hAnsi="宋体" w:eastAsia="宋体"/>
          <w:szCs w:val="21"/>
        </w:rPr>
        <w:t>按合同约定由承包人负责采购和安装的工程设备，应由承包人将工程设备的订货清单提交监理人批准。承包人应按监理人批准的工程设备订货清单办理订货，并应将订货协议副本提交监理人。承包人应承担工程设备的采购、验收、运输和保管的责任。</w:t>
      </w:r>
    </w:p>
    <w:p w14:paraId="6B6C904B">
      <w:pPr>
        <w:snapToGrid w:val="0"/>
        <w:spacing w:before="134" w:beforeLines="25" w:line="300" w:lineRule="auto"/>
        <w:ind w:firstLine="210" w:firstLineChars="100"/>
        <w:outlineLvl w:val="2"/>
        <w:rPr>
          <w:rFonts w:ascii="宋体" w:hAnsi="宋体" w:eastAsia="宋体"/>
          <w:b/>
          <w:bCs/>
          <w:szCs w:val="21"/>
        </w:rPr>
      </w:pPr>
      <w:bookmarkStart w:id="166" w:name="_Toc5101180"/>
      <w:bookmarkStart w:id="167" w:name="_Toc4502206"/>
      <w:bookmarkStart w:id="168" w:name="_Toc381798890"/>
      <w:bookmarkStart w:id="169" w:name="_Toc381819900"/>
      <w:bookmarkStart w:id="170" w:name="_Toc278554303"/>
      <w:r>
        <w:rPr>
          <w:rFonts w:hint="eastAsia" w:ascii="宋体" w:hAnsi="宋体" w:eastAsia="宋体"/>
          <w:b/>
          <w:bCs/>
          <w:szCs w:val="21"/>
        </w:rPr>
        <w:t>1.6.3承包人施工设备</w:t>
      </w:r>
      <w:bookmarkEnd w:id="166"/>
      <w:bookmarkEnd w:id="167"/>
      <w:bookmarkEnd w:id="168"/>
      <w:bookmarkEnd w:id="169"/>
      <w:bookmarkEnd w:id="170"/>
    </w:p>
    <w:p w14:paraId="241AE8AF">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(1)承包人应在签署合同协议书后 14天内，提交一份为完成本合同各项工作所需的施工设备清单，提交监理人批准。施工设备清单的内容应包括：</w:t>
      </w:r>
    </w:p>
    <w:p w14:paraId="7BAEF114">
      <w:pPr>
        <w:snapToGrid w:val="0"/>
        <w:spacing w:line="300" w:lineRule="auto"/>
        <w:ind w:firstLine="420" w:firstLineChars="200"/>
        <w:rPr>
          <w:rFonts w:ascii="宋体" w:hAnsi="宋体" w:eastAsia="宋体"/>
          <w:szCs w:val="21"/>
        </w:rPr>
      </w:pPr>
      <w:r>
        <w:rPr>
          <w:rFonts w:hint="eastAsia" w:ascii="宋体" w:hAnsi="宋体" w:eastAsia="宋体"/>
          <w:szCs w:val="21"/>
        </w:rPr>
        <w:t>1)新购设备的生产厂家、品名、型号、规格、主要性能、数量和预计进场时间，承包人应向监理人提交新购置主要施工设备的订货协议复印件；</w:t>
      </w:r>
    </w:p>
    <w:p w14:paraId="4C871872">
      <w:pPr>
        <w:snapToGrid w:val="0"/>
        <w:spacing w:line="300" w:lineRule="auto"/>
        <w:ind w:firstLine="420" w:firstLineChars="200"/>
        <w:rPr>
          <w:rFonts w:ascii="宋体" w:hAnsi="宋体" w:eastAsia="宋体"/>
          <w:szCs w:val="21"/>
        </w:rPr>
      </w:pPr>
      <w:r>
        <w:rPr>
          <w:rFonts w:hint="eastAsia" w:ascii="宋体" w:hAnsi="宋体" w:eastAsia="宋体"/>
          <w:szCs w:val="21"/>
        </w:rPr>
        <w:t>2)旧施工设备的购置时间、残值、运行和检修记录以及维修保养证书等；</w:t>
      </w:r>
    </w:p>
    <w:p w14:paraId="1B3EE2B8">
      <w:pPr>
        <w:snapToGrid w:val="0"/>
        <w:spacing w:line="300" w:lineRule="auto"/>
        <w:ind w:firstLine="420" w:firstLineChars="200"/>
        <w:rPr>
          <w:rFonts w:ascii="宋体" w:hAnsi="宋体" w:eastAsia="宋体"/>
          <w:szCs w:val="21"/>
        </w:rPr>
      </w:pPr>
      <w:r>
        <w:rPr>
          <w:rFonts w:hint="eastAsia" w:ascii="宋体" w:hAnsi="宋体" w:eastAsia="宋体"/>
          <w:szCs w:val="21"/>
        </w:rPr>
        <w:t>3)租赁设备的购置时间、租赁期限、租赁价格、远行检修记录以及维修保养证书等。</w:t>
      </w:r>
    </w:p>
    <w:p w14:paraId="0FEC97A7">
      <w:pPr>
        <w:snapToGrid w:val="0"/>
        <w:spacing w:line="300" w:lineRule="auto"/>
        <w:ind w:firstLine="420" w:firstLineChars="200"/>
        <w:rPr>
          <w:rFonts w:ascii="宋体" w:hAnsi="宋体" w:eastAsia="宋体"/>
          <w:szCs w:val="21"/>
        </w:rPr>
      </w:pPr>
      <w:r>
        <w:rPr>
          <w:rFonts w:hint="eastAsia" w:ascii="宋体" w:hAnsi="宋体" w:eastAsia="宋体"/>
          <w:szCs w:val="21"/>
        </w:rPr>
        <w:t>(2)承包人配置的旧施工设备（包括租赁的旧设备），应由监理人进行检查，并须进行试运行，确认其符合使用要求后方可投入使用。</w:t>
      </w:r>
    </w:p>
    <w:p w14:paraId="25718231">
      <w:pPr>
        <w:snapToGrid w:val="0"/>
        <w:spacing w:line="300" w:lineRule="auto"/>
        <w:ind w:firstLine="420" w:firstLineChars="200"/>
        <w:rPr>
          <w:rFonts w:ascii="宋体" w:hAnsi="宋体" w:eastAsia="宋体"/>
          <w:szCs w:val="21"/>
        </w:rPr>
      </w:pPr>
      <w:r>
        <w:rPr>
          <w:rFonts w:hint="eastAsia" w:ascii="宋体" w:hAnsi="宋体" w:eastAsia="宋体"/>
          <w:szCs w:val="21"/>
        </w:rPr>
        <w:t>(3)承包人施工设备进场后，监理人应按承包人提供的施工设备清单，仔细核查进场施工设备的数量、规格和性能是否符合施工进度计划和质量控制的要求，监理人有权索取必要的施工设备资料，如发现进场的施工设备不能满足施工要求时，监理人有权责令撤换。</w:t>
      </w:r>
    </w:p>
    <w:p w14:paraId="3C49D239">
      <w:pPr>
        <w:snapToGrid w:val="0"/>
        <w:spacing w:before="134" w:beforeLines="25" w:line="300" w:lineRule="auto"/>
        <w:ind w:firstLine="210" w:firstLineChars="100"/>
        <w:outlineLvl w:val="2"/>
        <w:rPr>
          <w:rFonts w:ascii="宋体" w:hAnsi="宋体" w:eastAsia="宋体"/>
          <w:b/>
          <w:bCs/>
          <w:szCs w:val="21"/>
        </w:rPr>
      </w:pPr>
      <w:bookmarkStart w:id="171" w:name="_Toc381798891"/>
      <w:bookmarkStart w:id="172" w:name="_Toc381819901"/>
      <w:r>
        <w:rPr>
          <w:rFonts w:hint="eastAsia" w:ascii="宋体" w:hAnsi="宋体" w:eastAsia="宋体"/>
          <w:b/>
          <w:bCs/>
          <w:szCs w:val="21"/>
        </w:rPr>
        <w:t>1.6.4不合格的材料和工程设备的处理</w:t>
      </w:r>
      <w:bookmarkEnd w:id="171"/>
      <w:bookmarkEnd w:id="172"/>
    </w:p>
    <w:p w14:paraId="74543F2F">
      <w:pPr>
        <w:snapToGrid w:val="0"/>
        <w:spacing w:line="300" w:lineRule="auto"/>
        <w:ind w:firstLine="420" w:firstLineChars="200"/>
        <w:rPr>
          <w:rFonts w:ascii="宋体" w:hAnsi="宋体" w:eastAsia="宋体"/>
          <w:szCs w:val="21"/>
        </w:rPr>
      </w:pPr>
      <w:r>
        <w:rPr>
          <w:rFonts w:hint="eastAsia" w:ascii="宋体" w:hAnsi="宋体" w:eastAsia="宋体"/>
          <w:szCs w:val="21"/>
        </w:rPr>
        <w:t>由于承包人使用了不合格材料和工程设备造成了工程损害，监理人可要求承包人立即采取措施进行补救，直至彻底清除工程的不合格部位以及不合格的材料或工程设备，由此增加的费用和工期延误责任由承包人承担。</w:t>
      </w:r>
    </w:p>
    <w:p w14:paraId="0AD572D4">
      <w:pPr>
        <w:adjustRightInd w:val="0"/>
        <w:snapToGrid w:val="0"/>
        <w:spacing w:before="134" w:beforeLines="25" w:line="300" w:lineRule="auto"/>
        <w:outlineLvl w:val="1"/>
        <w:rPr>
          <w:rFonts w:ascii="宋体" w:hAnsi="宋体" w:eastAsia="宋体"/>
          <w:b/>
          <w:bCs/>
          <w:sz w:val="24"/>
          <w:szCs w:val="24"/>
        </w:rPr>
      </w:pPr>
      <w:bookmarkStart w:id="173" w:name="_Toc381819902"/>
      <w:bookmarkStart w:id="174" w:name="_Toc347385957"/>
      <w:bookmarkStart w:id="175" w:name="_Toc370238494"/>
      <w:bookmarkStart w:id="176" w:name="_Toc3015978"/>
      <w:bookmarkStart w:id="177" w:name="_Toc2326247"/>
      <w:bookmarkStart w:id="178" w:name="_Toc278555634"/>
      <w:bookmarkStart w:id="179" w:name="_Toc267484949"/>
      <w:bookmarkStart w:id="180" w:name="_Toc332293383"/>
      <w:bookmarkStart w:id="181" w:name="_Toc5101181"/>
      <w:bookmarkStart w:id="182" w:name="_Toc3602903"/>
      <w:bookmarkStart w:id="183" w:name="_Toc325040152"/>
      <w:bookmarkStart w:id="184" w:name="_Toc4502207"/>
      <w:bookmarkStart w:id="185" w:name="_Toc49166615"/>
      <w:bookmarkStart w:id="186" w:name="_Toc347385702"/>
      <w:bookmarkStart w:id="187" w:name="_Toc26175681"/>
      <w:bookmarkStart w:id="188" w:name="_Toc277693665"/>
      <w:bookmarkStart w:id="189" w:name="_Toc332616515"/>
      <w:bookmarkStart w:id="190" w:name="_Toc325020878"/>
      <w:bookmarkStart w:id="191" w:name="_Toc347386206"/>
      <w:bookmarkStart w:id="192" w:name="_Toc332353176"/>
      <w:bookmarkStart w:id="193" w:name="_Toc381798892"/>
      <w:bookmarkStart w:id="194" w:name="_Toc325020346"/>
      <w:bookmarkStart w:id="195" w:name="_Toc278554304"/>
      <w:r>
        <w:rPr>
          <w:rFonts w:hint="eastAsia" w:ascii="宋体" w:hAnsi="宋体" w:eastAsia="宋体"/>
          <w:b/>
          <w:bCs/>
          <w:sz w:val="24"/>
          <w:szCs w:val="24"/>
        </w:rPr>
        <w:t>1.7 进度计划的实施</w:t>
      </w:r>
      <w:bookmarkEnd w:id="173"/>
    </w:p>
    <w:p w14:paraId="1C6913EB">
      <w:pPr>
        <w:snapToGrid w:val="0"/>
        <w:spacing w:before="134" w:beforeLines="25" w:line="300" w:lineRule="auto"/>
        <w:ind w:firstLine="210" w:firstLineChars="100"/>
        <w:outlineLvl w:val="2"/>
        <w:rPr>
          <w:rFonts w:ascii="宋体" w:hAnsi="宋体" w:eastAsia="宋体"/>
          <w:b/>
          <w:bCs/>
          <w:szCs w:val="21"/>
        </w:rPr>
      </w:pPr>
      <w:bookmarkStart w:id="196" w:name="_Toc381819903"/>
      <w:r>
        <w:rPr>
          <w:rFonts w:hint="eastAsia" w:ascii="宋体" w:hAnsi="宋体" w:eastAsia="宋体"/>
          <w:b/>
          <w:bCs/>
          <w:szCs w:val="21"/>
        </w:rPr>
        <w:t>1.7.1施工总进度实施措施</w:t>
      </w:r>
      <w:bookmarkEnd w:id="196"/>
    </w:p>
    <w:p w14:paraId="2DF28505">
      <w:pPr>
        <w:snapToGrid w:val="0"/>
        <w:spacing w:line="300" w:lineRule="auto"/>
        <w:ind w:firstLine="420" w:firstLineChars="200"/>
        <w:rPr>
          <w:rFonts w:ascii="宋体" w:hAnsi="宋体" w:eastAsia="宋体"/>
          <w:szCs w:val="21"/>
        </w:rPr>
      </w:pPr>
      <w:r>
        <w:rPr>
          <w:rFonts w:hint="eastAsia" w:ascii="宋体" w:hAnsi="宋体" w:eastAsia="宋体"/>
          <w:szCs w:val="21"/>
        </w:rPr>
        <w:t>承包人应按监理人根据本章第1.4.3条要求批准的施工总进度实施计划，编制详细的施工总进度计划的实施措施，提交监理人批准。实施措施应说明以下内容：</w:t>
      </w:r>
    </w:p>
    <w:p w14:paraId="18F36269">
      <w:pPr>
        <w:snapToGrid w:val="0"/>
        <w:spacing w:line="300" w:lineRule="auto"/>
        <w:ind w:firstLine="420" w:firstLineChars="200"/>
        <w:rPr>
          <w:rFonts w:ascii="宋体" w:hAnsi="宋体" w:eastAsia="宋体"/>
          <w:szCs w:val="21"/>
        </w:rPr>
      </w:pPr>
      <w:r>
        <w:rPr>
          <w:rFonts w:hint="eastAsia" w:ascii="宋体" w:hAnsi="宋体" w:eastAsia="宋体"/>
          <w:szCs w:val="21"/>
        </w:rPr>
        <w:t>(1)各永久工程和临时工程项目按期完成的年、月工程量计划和各年度形象面貌。</w:t>
      </w:r>
    </w:p>
    <w:p w14:paraId="4E523C75">
      <w:pPr>
        <w:snapToGrid w:val="0"/>
        <w:spacing w:line="300" w:lineRule="auto"/>
        <w:ind w:firstLine="420" w:firstLineChars="200"/>
        <w:rPr>
          <w:rFonts w:ascii="宋体" w:hAnsi="宋体" w:eastAsia="宋体"/>
          <w:szCs w:val="21"/>
        </w:rPr>
      </w:pPr>
      <w:r>
        <w:rPr>
          <w:rFonts w:hint="eastAsia" w:ascii="宋体" w:hAnsi="宋体" w:eastAsia="宋体"/>
          <w:szCs w:val="21"/>
        </w:rPr>
        <w:t>(2)主要物资材料（如钢材、钢筋、木材、水泥、粉煤灰、外加剂、砂石骨料、土料和石料、用水和用电等）使用计划及主要材料订货安排。</w:t>
      </w:r>
    </w:p>
    <w:p w14:paraId="7C0FF566">
      <w:pPr>
        <w:snapToGrid w:val="0"/>
        <w:spacing w:line="300" w:lineRule="auto"/>
        <w:ind w:firstLine="420" w:firstLineChars="200"/>
        <w:rPr>
          <w:rFonts w:ascii="宋体" w:hAnsi="宋体" w:eastAsia="宋体"/>
          <w:szCs w:val="21"/>
        </w:rPr>
      </w:pPr>
      <w:r>
        <w:rPr>
          <w:rFonts w:hint="eastAsia" w:ascii="宋体" w:hAnsi="宋体" w:eastAsia="宋体"/>
          <w:szCs w:val="21"/>
        </w:rPr>
        <w:t>(3)施工现场各类人员配备和劳务计划。</w:t>
      </w:r>
    </w:p>
    <w:p w14:paraId="26513111">
      <w:pPr>
        <w:snapToGrid w:val="0"/>
        <w:spacing w:line="300" w:lineRule="auto"/>
        <w:ind w:firstLine="420" w:firstLineChars="200"/>
        <w:rPr>
          <w:rFonts w:ascii="宋体" w:hAnsi="宋体" w:eastAsia="宋体"/>
          <w:szCs w:val="21"/>
        </w:rPr>
      </w:pPr>
      <w:r>
        <w:rPr>
          <w:rFonts w:hint="eastAsia" w:ascii="宋体" w:hAnsi="宋体" w:eastAsia="宋体"/>
          <w:szCs w:val="21"/>
        </w:rPr>
        <w:t>(4)工程设备的订货、交货计划。</w:t>
      </w:r>
    </w:p>
    <w:p w14:paraId="2E133A60">
      <w:pPr>
        <w:snapToGrid w:val="0"/>
        <w:spacing w:line="300" w:lineRule="auto"/>
        <w:ind w:firstLine="420" w:firstLineChars="200"/>
        <w:rPr>
          <w:rFonts w:ascii="宋体" w:hAnsi="宋体" w:eastAsia="宋体"/>
          <w:szCs w:val="21"/>
        </w:rPr>
      </w:pPr>
      <w:r>
        <w:rPr>
          <w:rFonts w:hint="eastAsia" w:ascii="宋体" w:hAnsi="宋体" w:eastAsia="宋体"/>
          <w:szCs w:val="21"/>
        </w:rPr>
        <w:t>(5)其它说明。</w:t>
      </w:r>
    </w:p>
    <w:p w14:paraId="619017A2">
      <w:pPr>
        <w:snapToGrid w:val="0"/>
        <w:spacing w:before="134" w:beforeLines="25" w:line="300" w:lineRule="auto"/>
        <w:ind w:firstLine="210" w:firstLineChars="100"/>
        <w:outlineLvl w:val="2"/>
        <w:rPr>
          <w:rFonts w:ascii="宋体" w:hAnsi="宋体" w:eastAsia="宋体"/>
          <w:b/>
          <w:bCs/>
          <w:szCs w:val="21"/>
        </w:rPr>
      </w:pPr>
      <w:bookmarkStart w:id="197" w:name="_Toc381819904"/>
      <w:r>
        <w:rPr>
          <w:rFonts w:hint="eastAsia" w:ascii="宋体" w:hAnsi="宋体" w:eastAsia="宋体"/>
          <w:b/>
          <w:bCs/>
          <w:szCs w:val="21"/>
        </w:rPr>
        <w:t>1.7.2年进度计划</w:t>
      </w:r>
      <w:bookmarkEnd w:id="197"/>
    </w:p>
    <w:p w14:paraId="721DD0E0">
      <w:pPr>
        <w:snapToGrid w:val="0"/>
        <w:spacing w:line="300" w:lineRule="auto"/>
        <w:ind w:firstLine="420" w:firstLineChars="200"/>
        <w:rPr>
          <w:rFonts w:ascii="宋体" w:hAnsi="宋体" w:eastAsia="宋体"/>
          <w:szCs w:val="21"/>
        </w:rPr>
      </w:pPr>
      <w:r>
        <w:rPr>
          <w:rFonts w:hint="eastAsia" w:ascii="宋体" w:hAnsi="宋体" w:eastAsia="宋体"/>
          <w:szCs w:val="21"/>
        </w:rPr>
        <w:t>承包人应在每年12月，将下年度的进度计划，提交监理人批准，其内容包括：</w:t>
      </w:r>
    </w:p>
    <w:p w14:paraId="24100D5C">
      <w:pPr>
        <w:snapToGrid w:val="0"/>
        <w:spacing w:line="300" w:lineRule="auto"/>
        <w:ind w:firstLine="420" w:firstLineChars="200"/>
        <w:rPr>
          <w:rFonts w:ascii="宋体" w:hAnsi="宋体" w:eastAsia="宋体"/>
          <w:szCs w:val="21"/>
        </w:rPr>
      </w:pPr>
      <w:r>
        <w:rPr>
          <w:rFonts w:hint="eastAsia" w:ascii="宋体" w:hAnsi="宋体" w:eastAsia="宋体"/>
          <w:szCs w:val="21"/>
        </w:rPr>
        <w:t>(1)计划完成的年工程量及其施工面貌。</w:t>
      </w:r>
    </w:p>
    <w:p w14:paraId="30115425">
      <w:pPr>
        <w:snapToGrid w:val="0"/>
        <w:spacing w:line="300" w:lineRule="auto"/>
        <w:ind w:firstLine="420" w:firstLineChars="200"/>
        <w:rPr>
          <w:rFonts w:ascii="宋体" w:hAnsi="宋体" w:eastAsia="宋体"/>
          <w:szCs w:val="21"/>
        </w:rPr>
      </w:pPr>
      <w:r>
        <w:rPr>
          <w:rFonts w:hint="eastAsia" w:ascii="宋体" w:hAnsi="宋体" w:eastAsia="宋体"/>
          <w:szCs w:val="21"/>
        </w:rPr>
        <w:t>(2)该午施工所需的机具、设备、材料的数量和需要补充采购的计划。</w:t>
      </w:r>
    </w:p>
    <w:p w14:paraId="116EDD00">
      <w:pPr>
        <w:snapToGrid w:val="0"/>
        <w:spacing w:line="300" w:lineRule="auto"/>
        <w:ind w:firstLine="420" w:firstLineChars="200"/>
        <w:rPr>
          <w:rFonts w:ascii="宋体" w:hAnsi="宋体" w:eastAsia="宋体"/>
          <w:szCs w:val="21"/>
        </w:rPr>
      </w:pPr>
      <w:r>
        <w:rPr>
          <w:rFonts w:hint="eastAsia" w:ascii="宋体" w:hAnsi="宋体" w:eastAsia="宋体"/>
          <w:szCs w:val="21"/>
        </w:rPr>
        <w:t>(3)要求发包人提供的施工图纸计划。</w:t>
      </w:r>
    </w:p>
    <w:p w14:paraId="2CCC051A">
      <w:pPr>
        <w:snapToGrid w:val="0"/>
        <w:spacing w:line="300" w:lineRule="auto"/>
        <w:ind w:firstLine="420" w:firstLineChars="200"/>
        <w:rPr>
          <w:rFonts w:ascii="宋体" w:hAnsi="宋体" w:eastAsia="宋体"/>
          <w:szCs w:val="21"/>
        </w:rPr>
      </w:pPr>
      <w:r>
        <w:rPr>
          <w:rFonts w:hint="eastAsia" w:ascii="宋体" w:hAnsi="宋体" w:eastAsia="宋体"/>
          <w:szCs w:val="21"/>
        </w:rPr>
        <w:t>(4)提出发包人和其它承包人提供工程设备预埋件的计划要求。</w:t>
      </w:r>
    </w:p>
    <w:p w14:paraId="581293EE">
      <w:pPr>
        <w:snapToGrid w:val="0"/>
        <w:spacing w:line="300" w:lineRule="auto"/>
        <w:ind w:firstLine="420" w:firstLineChars="200"/>
        <w:rPr>
          <w:rFonts w:ascii="宋体" w:hAnsi="宋体" w:eastAsia="宋体"/>
          <w:szCs w:val="21"/>
        </w:rPr>
      </w:pPr>
      <w:r>
        <w:rPr>
          <w:rFonts w:hint="eastAsia" w:ascii="宋体" w:hAnsi="宋体" w:eastAsia="宋体"/>
          <w:szCs w:val="21"/>
        </w:rPr>
        <w:t>(5)该年施工工作面移交计划日期和要求其它承包人提供工作面的计划日期。</w:t>
      </w:r>
    </w:p>
    <w:p w14:paraId="11C74FB6">
      <w:pPr>
        <w:snapToGrid w:val="0"/>
        <w:spacing w:line="300" w:lineRule="auto"/>
        <w:ind w:firstLine="420" w:firstLineChars="200"/>
        <w:rPr>
          <w:rFonts w:ascii="宋体" w:hAnsi="宋体" w:eastAsia="宋体"/>
          <w:szCs w:val="21"/>
        </w:rPr>
      </w:pPr>
      <w:r>
        <w:rPr>
          <w:rFonts w:hint="eastAsia" w:ascii="宋体" w:hAnsi="宋体" w:eastAsia="宋体"/>
          <w:szCs w:val="21"/>
        </w:rPr>
        <w:t>(6)该年各施工工程项目的试验检验计划。</w:t>
      </w:r>
    </w:p>
    <w:p w14:paraId="51BE21B0">
      <w:pPr>
        <w:snapToGrid w:val="0"/>
        <w:spacing w:line="300" w:lineRule="auto"/>
        <w:ind w:firstLine="420" w:firstLineChars="200"/>
        <w:rPr>
          <w:rFonts w:ascii="宋体" w:hAnsi="宋体" w:eastAsia="宋体"/>
          <w:szCs w:val="21"/>
        </w:rPr>
      </w:pPr>
      <w:r>
        <w:rPr>
          <w:rFonts w:hint="eastAsia" w:ascii="宋体" w:hAnsi="宋体" w:eastAsia="宋体"/>
          <w:szCs w:val="21"/>
        </w:rPr>
        <w:t>(7)工程安全措施实施计划等。</w:t>
      </w:r>
    </w:p>
    <w:p w14:paraId="086E84A5">
      <w:pPr>
        <w:snapToGrid w:val="0"/>
        <w:spacing w:before="134" w:beforeLines="25" w:line="300" w:lineRule="auto"/>
        <w:ind w:firstLine="210" w:firstLineChars="100"/>
        <w:outlineLvl w:val="2"/>
        <w:rPr>
          <w:rFonts w:ascii="宋体" w:hAnsi="宋体" w:eastAsia="宋体"/>
          <w:b/>
          <w:bCs/>
          <w:szCs w:val="21"/>
        </w:rPr>
      </w:pPr>
      <w:bookmarkStart w:id="198" w:name="_Toc381819905"/>
      <w:r>
        <w:rPr>
          <w:rFonts w:hint="eastAsia" w:ascii="宋体" w:hAnsi="宋体" w:eastAsia="宋体"/>
          <w:b/>
          <w:bCs/>
          <w:szCs w:val="21"/>
        </w:rPr>
        <w:t>1.7.3季、月进度计划</w:t>
      </w:r>
      <w:bookmarkEnd w:id="198"/>
    </w:p>
    <w:p w14:paraId="3C78FA75">
      <w:pPr>
        <w:snapToGrid w:val="0"/>
        <w:spacing w:line="300" w:lineRule="auto"/>
        <w:ind w:firstLine="420" w:firstLineChars="200"/>
        <w:rPr>
          <w:rFonts w:ascii="宋体" w:hAnsi="宋体" w:eastAsia="宋体"/>
          <w:szCs w:val="21"/>
        </w:rPr>
      </w:pPr>
      <w:r>
        <w:rPr>
          <w:rFonts w:hint="eastAsia" w:ascii="宋体" w:hAnsi="宋体" w:eastAsia="宋体"/>
          <w:szCs w:val="21"/>
        </w:rPr>
        <w:t>监理人认为有必要时，要求承包人提供季、月进度计划报送监理人，其内容和要求包括：</w:t>
      </w:r>
    </w:p>
    <w:p w14:paraId="496BDB14">
      <w:pPr>
        <w:snapToGrid w:val="0"/>
        <w:spacing w:line="300" w:lineRule="auto"/>
        <w:ind w:firstLine="420" w:firstLineChars="200"/>
        <w:rPr>
          <w:rFonts w:ascii="宋体" w:hAnsi="宋体" w:eastAsia="宋体"/>
          <w:szCs w:val="21"/>
        </w:rPr>
      </w:pPr>
      <w:r>
        <w:rPr>
          <w:rFonts w:hint="eastAsia" w:ascii="宋体" w:hAnsi="宋体" w:eastAsia="宋体"/>
          <w:szCs w:val="21"/>
        </w:rPr>
        <w:t>(1)按合同进度计划，列出计划完成季、月工程量及其施工面貌、材料用量和劳动力安排；</w:t>
      </w:r>
    </w:p>
    <w:p w14:paraId="3569CB18">
      <w:pPr>
        <w:snapToGrid w:val="0"/>
        <w:spacing w:line="300" w:lineRule="auto"/>
        <w:ind w:firstLine="420" w:firstLineChars="200"/>
        <w:rPr>
          <w:rFonts w:ascii="宋体" w:hAnsi="宋体" w:eastAsia="宋体"/>
          <w:szCs w:val="21"/>
        </w:rPr>
      </w:pPr>
      <w:r>
        <w:rPr>
          <w:rFonts w:hint="eastAsia" w:ascii="宋体" w:hAnsi="宋体" w:eastAsia="宋体"/>
          <w:szCs w:val="21"/>
        </w:rPr>
        <w:t>(2)列出该季、月所需施工设备数量及材料计划；</w:t>
      </w:r>
    </w:p>
    <w:p w14:paraId="441673D1">
      <w:pPr>
        <w:snapToGrid w:val="0"/>
        <w:spacing w:line="300" w:lineRule="auto"/>
        <w:ind w:firstLine="420" w:firstLineChars="200"/>
        <w:rPr>
          <w:rFonts w:ascii="宋体" w:hAnsi="宋体" w:eastAsia="宋体"/>
          <w:szCs w:val="21"/>
        </w:rPr>
      </w:pPr>
      <w:r>
        <w:rPr>
          <w:rFonts w:hint="eastAsia" w:ascii="宋体" w:hAnsi="宋体" w:eastAsia="宋体"/>
          <w:szCs w:val="21"/>
        </w:rPr>
        <w:t>(3)提出该季、月发包人应提供的施工图纸目录等。</w:t>
      </w:r>
    </w:p>
    <w:p w14:paraId="66597239">
      <w:pPr>
        <w:snapToGrid w:val="0"/>
        <w:spacing w:before="134" w:beforeLines="25" w:line="300" w:lineRule="auto"/>
        <w:ind w:firstLine="210" w:firstLineChars="100"/>
        <w:outlineLvl w:val="2"/>
        <w:rPr>
          <w:rFonts w:ascii="宋体" w:hAnsi="宋体" w:eastAsia="宋体"/>
          <w:b/>
          <w:bCs/>
          <w:szCs w:val="21"/>
        </w:rPr>
      </w:pPr>
      <w:bookmarkStart w:id="199" w:name="_Toc381819906"/>
      <w:r>
        <w:rPr>
          <w:rFonts w:hint="eastAsia" w:ascii="宋体" w:hAnsi="宋体" w:eastAsia="宋体"/>
          <w:b/>
          <w:bCs/>
          <w:szCs w:val="21"/>
        </w:rPr>
        <w:t>1.7.4月、周进度报告</w:t>
      </w:r>
      <w:bookmarkEnd w:id="199"/>
    </w:p>
    <w:p w14:paraId="3628A281">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(1)承包人应在每月底按批准的格式，向监理人提交月进度实施报告，其内容包括：</w:t>
      </w:r>
    </w:p>
    <w:p w14:paraId="7FAC075B">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1)月完成工程量和累计完成工程量（包括永久工程和临时工程）；</w:t>
      </w:r>
    </w:p>
    <w:p w14:paraId="231BC95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2)月完成的工程面貌图；</w:t>
      </w:r>
    </w:p>
    <w:p w14:paraId="02039A60">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3)材料实际进货、消耗和库存量；</w:t>
      </w:r>
    </w:p>
    <w:p w14:paraId="65C63C80">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4)现场施工设备的投运数量和运行状况；</w:t>
      </w:r>
    </w:p>
    <w:p w14:paraId="501B8A1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5)工程设备的到货情况；</w:t>
      </w:r>
    </w:p>
    <w:p w14:paraId="3EDD4B1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6)劳动力数量（本月及预计未来3个月劳动力的数量）；</w:t>
      </w:r>
    </w:p>
    <w:p w14:paraId="0CB94F6C">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7)当前影响施工进度计划的因素和采取的改进措施；</w:t>
      </w:r>
    </w:p>
    <w:p w14:paraId="359C08CB">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8)质量事故和质量缺陷处理纪录，质量状况评价；</w:t>
      </w:r>
    </w:p>
    <w:p w14:paraId="3AE430F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9)安全施工措施实施情况（包括安全事故处理情况）；</w:t>
      </w:r>
    </w:p>
    <w:p w14:paraId="0E5937A9">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10)环境保护及水土保持措施实施情况。</w:t>
      </w:r>
    </w:p>
    <w:p w14:paraId="4017BB88">
      <w:pPr>
        <w:snapToGrid w:val="0"/>
        <w:spacing w:line="300" w:lineRule="auto"/>
        <w:ind w:firstLine="420" w:firstLineChars="200"/>
        <w:rPr>
          <w:rFonts w:ascii="宋体" w:hAnsi="宋体" w:eastAsia="宋体"/>
          <w:szCs w:val="21"/>
        </w:rPr>
      </w:pPr>
      <w:r>
        <w:rPr>
          <w:rFonts w:hint="eastAsia" w:ascii="宋体" w:hAnsi="宋体" w:eastAsia="宋体"/>
          <w:szCs w:val="21"/>
        </w:rPr>
        <w:t>月进度报告应附有一组充分显示工程施工面貌与实际进度相对应的定点摄影照片。</w:t>
      </w:r>
    </w:p>
    <w:p w14:paraId="2CC243E1">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(2)承包人应在每周进度会议上按批准的格式，向监理人提交周进度报表，其内容包括：</w:t>
      </w:r>
    </w:p>
    <w:p w14:paraId="14812675">
      <w:pPr>
        <w:snapToGrid w:val="0"/>
        <w:spacing w:line="300" w:lineRule="auto"/>
        <w:ind w:firstLine="420" w:firstLineChars="200"/>
        <w:rPr>
          <w:rFonts w:ascii="宋体" w:hAnsi="宋体" w:eastAsia="宋体"/>
          <w:szCs w:val="21"/>
        </w:rPr>
      </w:pPr>
      <w:r>
        <w:rPr>
          <w:rFonts w:hint="eastAsia" w:ascii="宋体" w:hAnsi="宋体" w:eastAsia="宋体"/>
          <w:szCs w:val="21"/>
        </w:rPr>
        <w:t>1)上周之前合同进度计划要求和实际完成工程量和累计完成工程量统计；</w:t>
      </w:r>
    </w:p>
    <w:p w14:paraId="18505304">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2)上周实际完成工程量统计；</w:t>
      </w:r>
    </w:p>
    <w:p w14:paraId="3A31F1B6">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3)下周计划完成的工程量；</w:t>
      </w:r>
    </w:p>
    <w:p w14:paraId="684A7D94">
      <w:pPr>
        <w:snapToGrid w:val="0"/>
        <w:spacing w:line="300" w:lineRule="auto"/>
        <w:ind w:firstLine="420" w:firstLineChars="200"/>
        <w:rPr>
          <w:rFonts w:ascii="宋体" w:hAnsi="宋体" w:eastAsia="宋体"/>
          <w:szCs w:val="21"/>
        </w:rPr>
      </w:pPr>
      <w:r>
        <w:rPr>
          <w:rFonts w:hint="eastAsia" w:ascii="宋体" w:hAnsi="宋体" w:eastAsia="宋体"/>
          <w:szCs w:val="21"/>
        </w:rPr>
        <w:t>4)要求监理人协调解决的主要问题。</w:t>
      </w:r>
    </w:p>
    <w:p w14:paraId="702B90A2">
      <w:pPr>
        <w:snapToGrid w:val="0"/>
        <w:spacing w:before="134" w:beforeLines="25" w:line="300" w:lineRule="auto"/>
        <w:ind w:firstLine="210" w:firstLineChars="100"/>
        <w:outlineLvl w:val="2"/>
        <w:rPr>
          <w:rFonts w:ascii="宋体" w:hAnsi="宋体" w:eastAsia="宋体"/>
          <w:b/>
          <w:bCs/>
          <w:szCs w:val="21"/>
        </w:rPr>
      </w:pPr>
      <w:bookmarkStart w:id="200" w:name="_Toc381819907"/>
      <w:r>
        <w:rPr>
          <w:rFonts w:hint="eastAsia" w:ascii="宋体" w:hAnsi="宋体" w:eastAsia="宋体"/>
          <w:b/>
          <w:bCs/>
          <w:szCs w:val="21"/>
        </w:rPr>
        <w:t>1.7.5进度会议</w:t>
      </w:r>
      <w:bookmarkEnd w:id="200"/>
    </w:p>
    <w:p w14:paraId="51D63225">
      <w:pPr>
        <w:snapToGrid w:val="0"/>
        <w:spacing w:line="300" w:lineRule="auto"/>
        <w:ind w:firstLine="420" w:firstLineChars="200"/>
        <w:rPr>
          <w:rFonts w:ascii="宋体" w:hAnsi="宋体" w:eastAsia="宋体"/>
          <w:szCs w:val="21"/>
        </w:rPr>
      </w:pPr>
      <w:r>
        <w:rPr>
          <w:rFonts w:hint="eastAsia" w:ascii="宋体" w:hAnsi="宋体" w:eastAsia="宋体"/>
          <w:szCs w:val="21"/>
        </w:rPr>
        <w:t>（1）监理人应在每周的某一日和每月定期召开周、月进度会议，检查承包人的合同进度计划执行情况和工程质量状况，协调解决工程施工中发生的工程变更、质量缺陷处理等问题以及与其他承包人的相互干扰和矛盾。</w:t>
      </w:r>
    </w:p>
    <w:p w14:paraId="3E80385E">
      <w:pPr>
        <w:snapToGrid w:val="0"/>
        <w:spacing w:line="300" w:lineRule="auto"/>
        <w:ind w:firstLine="420" w:firstLineChars="200"/>
        <w:rPr>
          <w:rFonts w:ascii="宋体" w:hAnsi="宋体" w:eastAsia="宋体"/>
          <w:szCs w:val="21"/>
        </w:rPr>
      </w:pPr>
      <w:r>
        <w:rPr>
          <w:rFonts w:hint="eastAsia" w:ascii="宋体" w:hAnsi="宋体" w:eastAsia="宋体"/>
          <w:szCs w:val="21"/>
        </w:rPr>
        <w:t>（2）承包人应在周、月进度会议上按规定的格式提交周、月进度报表。</w:t>
      </w:r>
    </w:p>
    <w:p w14:paraId="73F3A6D9">
      <w:pPr>
        <w:snapToGrid w:val="0"/>
        <w:spacing w:line="300" w:lineRule="auto"/>
        <w:ind w:firstLine="420" w:firstLineChars="200"/>
        <w:rPr>
          <w:rFonts w:ascii="宋体" w:hAnsi="宋体" w:eastAsia="宋体"/>
          <w:szCs w:val="21"/>
        </w:rPr>
      </w:pPr>
      <w:bookmarkStart w:id="201" w:name="_Toc381819908"/>
      <w:r>
        <w:rPr>
          <w:rFonts w:hint="eastAsia" w:ascii="宋体" w:hAnsi="宋体" w:eastAsia="宋体"/>
          <w:szCs w:val="21"/>
        </w:rPr>
        <w:t>1.7.6进度计划的调整和修订</w:t>
      </w:r>
      <w:bookmarkEnd w:id="201"/>
    </w:p>
    <w:p w14:paraId="6D6C7470">
      <w:pPr>
        <w:snapToGrid w:val="0"/>
        <w:spacing w:line="300" w:lineRule="auto"/>
        <w:ind w:firstLine="420" w:firstLineChars="200"/>
        <w:rPr>
          <w:rFonts w:ascii="宋体" w:hAnsi="宋体" w:eastAsia="宋体"/>
          <w:szCs w:val="21"/>
        </w:rPr>
      </w:pPr>
      <w:r>
        <w:rPr>
          <w:rFonts w:hint="eastAsia" w:ascii="宋体" w:hAnsi="宋体" w:eastAsia="宋体"/>
          <w:szCs w:val="21"/>
        </w:rPr>
        <w:t>在工程实施过程中，不论何种原因引起的工期延误，承包人均应及时作出调整，并在月进度报告中提出调整后的进度计划及其说明。若进度计划的调整需要修改关键线路和改变关键工程的完成日期时，承包人应按本合同《通用合同条款》的规定，提交修订的进度计划报送监理人审批。</w:t>
      </w:r>
    </w:p>
    <w:p w14:paraId="750266B4">
      <w:pPr>
        <w:adjustRightInd w:val="0"/>
        <w:snapToGrid w:val="0"/>
        <w:spacing w:before="134" w:beforeLines="25" w:line="300" w:lineRule="auto"/>
        <w:outlineLvl w:val="1"/>
        <w:rPr>
          <w:rFonts w:ascii="宋体" w:hAnsi="宋体" w:eastAsia="宋体"/>
          <w:b/>
          <w:bCs/>
          <w:sz w:val="24"/>
          <w:szCs w:val="24"/>
        </w:rPr>
      </w:pPr>
      <w:bookmarkStart w:id="202" w:name="_Toc381819909"/>
      <w:r>
        <w:rPr>
          <w:rFonts w:hint="eastAsia" w:ascii="宋体" w:hAnsi="宋体" w:eastAsia="宋体"/>
          <w:b/>
          <w:bCs/>
          <w:sz w:val="24"/>
          <w:szCs w:val="24"/>
        </w:rPr>
        <w:t>1.8 工程质量的检查和检验</w:t>
      </w:r>
      <w:bookmarkEnd w:id="202"/>
    </w:p>
    <w:p w14:paraId="0FEF6198">
      <w:pPr>
        <w:snapToGrid w:val="0"/>
        <w:spacing w:before="134" w:beforeLines="25" w:line="300" w:lineRule="auto"/>
        <w:ind w:firstLine="210" w:firstLineChars="100"/>
        <w:outlineLvl w:val="2"/>
        <w:rPr>
          <w:rFonts w:ascii="宋体" w:hAnsi="宋体" w:eastAsia="宋体"/>
          <w:b/>
          <w:bCs/>
          <w:szCs w:val="21"/>
        </w:rPr>
      </w:pPr>
      <w:bookmarkStart w:id="203" w:name="_Toc381819910"/>
      <w:r>
        <w:rPr>
          <w:rFonts w:hint="eastAsia" w:ascii="宋体" w:hAnsi="宋体" w:eastAsia="宋体"/>
          <w:b/>
          <w:bCs/>
          <w:szCs w:val="21"/>
        </w:rPr>
        <w:t>1.8.1承包人的质量自检</w:t>
      </w:r>
      <w:bookmarkEnd w:id="203"/>
    </w:p>
    <w:p w14:paraId="33925C73">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（1）承包人应在收到开工通知后的_14_天内，向监理人提交本工程质量保证措施文件，其内容包括：</w:t>
      </w:r>
    </w:p>
    <w:p w14:paraId="4A8C99BE">
      <w:pPr>
        <w:snapToGrid w:val="0"/>
        <w:spacing w:line="300" w:lineRule="auto"/>
        <w:ind w:firstLine="420" w:firstLineChars="200"/>
        <w:rPr>
          <w:rFonts w:ascii="宋体" w:hAnsi="宋体" w:eastAsia="宋体"/>
          <w:szCs w:val="21"/>
        </w:rPr>
      </w:pPr>
      <w:r>
        <w:rPr>
          <w:rFonts w:hint="eastAsia" w:ascii="宋体" w:hAnsi="宋体" w:eastAsia="宋体"/>
          <w:szCs w:val="21"/>
        </w:rPr>
        <w:t>1)质量检查机构的组织框图；</w:t>
      </w:r>
    </w:p>
    <w:p w14:paraId="26674CE3">
      <w:pPr>
        <w:snapToGrid w:val="0"/>
        <w:spacing w:line="300" w:lineRule="auto"/>
        <w:ind w:firstLine="420" w:firstLineChars="200"/>
        <w:rPr>
          <w:rFonts w:ascii="宋体" w:hAnsi="宋体" w:eastAsia="宋体"/>
          <w:szCs w:val="21"/>
        </w:rPr>
      </w:pPr>
      <w:r>
        <w:rPr>
          <w:rFonts w:hint="eastAsia" w:ascii="宋体" w:hAnsi="宋体" w:eastAsia="宋体"/>
          <w:szCs w:val="21"/>
        </w:rPr>
        <w:t>2)质量检查的岗位设置及检查人员名单；</w:t>
      </w:r>
    </w:p>
    <w:p w14:paraId="16C3D455">
      <w:pPr>
        <w:snapToGrid w:val="0"/>
        <w:spacing w:line="300" w:lineRule="auto"/>
        <w:ind w:firstLine="420" w:firstLineChars="200"/>
        <w:rPr>
          <w:rFonts w:ascii="宋体" w:hAnsi="宋体" w:eastAsia="宋体"/>
          <w:szCs w:val="21"/>
        </w:rPr>
      </w:pPr>
      <w:r>
        <w:rPr>
          <w:rFonts w:hint="eastAsia" w:ascii="宋体" w:hAnsi="宋体" w:eastAsia="宋体"/>
          <w:szCs w:val="21"/>
        </w:rPr>
        <w:t>3)各主要工程建筑物施工，以及各施工工种的质量检查程序；</w:t>
      </w:r>
    </w:p>
    <w:p w14:paraId="1FBE9769">
      <w:pPr>
        <w:snapToGrid w:val="0"/>
        <w:spacing w:line="300" w:lineRule="auto"/>
        <w:ind w:firstLine="420" w:firstLineChars="200"/>
        <w:rPr>
          <w:rFonts w:ascii="宋体" w:hAnsi="宋体" w:eastAsia="宋体"/>
          <w:szCs w:val="21"/>
        </w:rPr>
      </w:pPr>
      <w:r>
        <w:rPr>
          <w:rFonts w:hint="eastAsia" w:ascii="宋体" w:hAnsi="宋体" w:eastAsia="宋体"/>
          <w:szCs w:val="21"/>
        </w:rPr>
        <w:t>4)隐蔽工程和工程隐蔽部位的质量检查程序；</w:t>
      </w:r>
    </w:p>
    <w:p w14:paraId="4BDB771F">
      <w:pPr>
        <w:snapToGrid w:val="0"/>
        <w:spacing w:line="300" w:lineRule="auto"/>
        <w:ind w:firstLine="420" w:firstLineChars="200"/>
        <w:rPr>
          <w:rFonts w:ascii="宋体" w:hAnsi="宋体" w:eastAsia="宋体"/>
          <w:szCs w:val="21"/>
        </w:rPr>
      </w:pPr>
      <w:r>
        <w:rPr>
          <w:rFonts w:hint="eastAsia" w:ascii="宋体" w:hAnsi="宋体" w:eastAsia="宋体"/>
          <w:szCs w:val="21"/>
        </w:rPr>
        <w:t>5)质量检查记录及验收单格式。</w:t>
      </w:r>
    </w:p>
    <w:p w14:paraId="0AB0F6BF">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（2）承包人应按监理人指示和批准的格式，编制工程质量报表，定期提交监理人。</w:t>
      </w:r>
    </w:p>
    <w:p w14:paraId="47F73DB5">
      <w:pPr>
        <w:snapToGrid w:val="0"/>
        <w:spacing w:line="300" w:lineRule="auto"/>
        <w:ind w:firstLine="420" w:firstLineChars="200"/>
        <w:rPr>
          <w:rFonts w:ascii="宋体" w:hAnsi="宋体" w:eastAsia="宋体"/>
          <w:szCs w:val="21"/>
        </w:rPr>
      </w:pPr>
      <w:r>
        <w:rPr>
          <w:rFonts w:hint="eastAsia" w:ascii="宋体" w:hAnsi="宋体" w:eastAsia="宋体"/>
          <w:szCs w:val="21"/>
        </w:rPr>
        <w:t>（3）工程发生质量事故时，承包人应约请监理人共同对工程质量事故进行检查，做好质量事故检查的同期记录和事故处理的自检报告。自检报告应提交监理人。</w:t>
      </w:r>
    </w:p>
    <w:p w14:paraId="03D94ABB">
      <w:pPr>
        <w:snapToGrid w:val="0"/>
        <w:spacing w:before="134" w:beforeLines="25" w:line="300" w:lineRule="auto"/>
        <w:ind w:firstLine="210" w:firstLineChars="100"/>
        <w:outlineLvl w:val="2"/>
        <w:rPr>
          <w:rFonts w:ascii="宋体" w:hAnsi="宋体" w:eastAsia="宋体"/>
          <w:b/>
          <w:bCs/>
          <w:szCs w:val="21"/>
        </w:rPr>
      </w:pPr>
      <w:bookmarkStart w:id="204" w:name="_Toc381819911"/>
      <w:r>
        <w:rPr>
          <w:rFonts w:hint="eastAsia" w:ascii="宋体" w:hAnsi="宋体" w:eastAsia="宋体"/>
          <w:b/>
          <w:bCs/>
          <w:szCs w:val="21"/>
        </w:rPr>
        <w:t>1.8.2监理人的质量检查</w:t>
      </w:r>
      <w:bookmarkEnd w:id="204"/>
    </w:p>
    <w:p w14:paraId="3B3B8234">
      <w:pPr>
        <w:snapToGrid w:val="0"/>
        <w:spacing w:line="300" w:lineRule="auto"/>
        <w:ind w:firstLine="420" w:firstLineChars="200"/>
        <w:rPr>
          <w:rFonts w:ascii="宋体" w:hAnsi="宋体" w:eastAsia="宋体"/>
          <w:szCs w:val="21"/>
        </w:rPr>
      </w:pPr>
      <w:r>
        <w:rPr>
          <w:rFonts w:hint="eastAsia" w:ascii="宋体" w:hAnsi="宋体" w:eastAsia="宋体"/>
          <w:szCs w:val="21"/>
        </w:rPr>
        <w:t>（1）监理人有权按本合同《通用合同条款》的规定，对工程的所有部位及其任何一项工艺、材料和工程设备进行检查和检验。</w:t>
      </w:r>
    </w:p>
    <w:p w14:paraId="1BF6F94E">
      <w:pPr>
        <w:snapToGrid w:val="0"/>
        <w:spacing w:line="300" w:lineRule="auto"/>
        <w:ind w:firstLine="420" w:firstLineChars="200"/>
        <w:rPr>
          <w:rFonts w:ascii="宋体" w:hAnsi="宋体" w:eastAsia="宋体"/>
          <w:szCs w:val="21"/>
        </w:rPr>
      </w:pPr>
      <w:r>
        <w:rPr>
          <w:rFonts w:hint="eastAsia" w:ascii="宋体" w:hAnsi="宋体" w:eastAsia="宋体"/>
          <w:szCs w:val="21"/>
        </w:rPr>
        <w:t>（2）监理人检验工程材料的性能指标和检查工程质量时，有权要求承包人按合同规定的数量，提供试验用的材料样品或在现场钻取试件，承包人还应按监理人员指示为质量检查进行需补充的试验检验工作。</w:t>
      </w:r>
    </w:p>
    <w:p w14:paraId="3B55D113">
      <w:pPr>
        <w:snapToGrid w:val="0"/>
        <w:spacing w:line="300" w:lineRule="auto"/>
        <w:ind w:firstLine="420" w:firstLineChars="200"/>
        <w:rPr>
          <w:rFonts w:ascii="宋体" w:hAnsi="宋体" w:eastAsia="宋体"/>
          <w:szCs w:val="21"/>
        </w:rPr>
      </w:pPr>
      <w:r>
        <w:rPr>
          <w:rFonts w:hint="eastAsia" w:ascii="宋体" w:hAnsi="宋体" w:eastAsia="宋体"/>
          <w:szCs w:val="21"/>
        </w:rPr>
        <w:t>（3）监理人为检查工程质量需要检测设备性能，当监理人提出要求时，承包人应予提供测试设备，并协助监理人进行测试工作。</w:t>
      </w:r>
    </w:p>
    <w:p w14:paraId="163A364D">
      <w:pPr>
        <w:snapToGrid w:val="0"/>
        <w:spacing w:line="300" w:lineRule="auto"/>
        <w:ind w:firstLine="420" w:firstLineChars="200"/>
        <w:rPr>
          <w:rFonts w:ascii="宋体" w:hAnsi="宋体" w:eastAsia="宋体"/>
          <w:szCs w:val="21"/>
        </w:rPr>
      </w:pPr>
      <w:r>
        <w:rPr>
          <w:rFonts w:hint="eastAsia" w:ascii="宋体" w:hAnsi="宋体" w:eastAsia="宋体"/>
          <w:szCs w:val="21"/>
        </w:rPr>
        <w:t>（4）监理人为检查工程和工程设备质量的需要，可要求承包人提交材料质量证明书和设备出厂合格证、材料试验和设备检测成果、施工和安装记录、质量自检报告等作为工程和工程设备验收的依据。</w:t>
      </w:r>
    </w:p>
    <w:p w14:paraId="76AC39CD">
      <w:pPr>
        <w:snapToGrid w:val="0"/>
        <w:spacing w:before="134" w:beforeLines="25" w:line="300" w:lineRule="auto"/>
        <w:ind w:firstLine="210" w:firstLineChars="100"/>
        <w:outlineLvl w:val="2"/>
        <w:rPr>
          <w:rFonts w:ascii="宋体" w:hAnsi="宋体" w:eastAsia="宋体"/>
          <w:b/>
          <w:bCs/>
          <w:szCs w:val="21"/>
        </w:rPr>
      </w:pPr>
      <w:bookmarkStart w:id="205" w:name="_Toc381819912"/>
      <w:r>
        <w:rPr>
          <w:rFonts w:hint="eastAsia" w:ascii="宋体" w:hAnsi="宋体" w:eastAsia="宋体"/>
          <w:b/>
          <w:bCs/>
          <w:szCs w:val="21"/>
        </w:rPr>
        <w:t>1.8.3发包人的完工预验收</w:t>
      </w:r>
      <w:bookmarkEnd w:id="205"/>
    </w:p>
    <w:p w14:paraId="5B5964E5">
      <w:pPr>
        <w:snapToGrid w:val="0"/>
        <w:spacing w:line="300" w:lineRule="auto"/>
        <w:ind w:firstLine="420" w:firstLineChars="200"/>
        <w:rPr>
          <w:rFonts w:ascii="宋体" w:hAnsi="宋体" w:eastAsia="宋体"/>
          <w:szCs w:val="21"/>
        </w:rPr>
      </w:pPr>
      <w:r>
        <w:rPr>
          <w:rFonts w:hint="eastAsia" w:ascii="宋体" w:hAnsi="宋体" w:eastAsia="宋体"/>
          <w:szCs w:val="21"/>
        </w:rPr>
        <w:t>(1)在施工过程中，发包人（或监理人）应会同承包人和有关部门，根据本合同技术条款的规定，对完工的工程项目进行检查验收。检查合格后，发包人、监理人、承包人及有关各方均应在检查验收单上签字后，作为工程完工预验收资料。</w:t>
      </w:r>
    </w:p>
    <w:p w14:paraId="42B4C6F1">
      <w:pPr>
        <w:snapToGrid w:val="0"/>
        <w:spacing w:line="300" w:lineRule="auto"/>
        <w:ind w:firstLine="420" w:firstLineChars="200"/>
        <w:rPr>
          <w:rFonts w:ascii="宋体" w:hAnsi="宋体" w:eastAsia="宋体"/>
          <w:szCs w:val="21"/>
        </w:rPr>
      </w:pPr>
      <w:r>
        <w:rPr>
          <w:rFonts w:hint="eastAsia" w:ascii="宋体" w:hAnsi="宋体" w:eastAsia="宋体"/>
          <w:szCs w:val="21"/>
        </w:rPr>
        <w:t>(2)承包人完成每项单位工程和分部工程后，发包人和（或）监理人应组织承包人及有关各方进行完工预验收。承包人应按技术条款的规定与完工验收要求，整编好验收资料，由参加验收各方共同签字后，作为工程竣工验收资料。</w:t>
      </w:r>
    </w:p>
    <w:p w14:paraId="0D8C9232">
      <w:pPr>
        <w:adjustRightInd w:val="0"/>
        <w:snapToGrid w:val="0"/>
        <w:spacing w:before="134" w:beforeLines="25" w:line="300" w:lineRule="auto"/>
        <w:outlineLvl w:val="1"/>
        <w:rPr>
          <w:rFonts w:ascii="宋体" w:hAnsi="宋体" w:eastAsia="宋体"/>
          <w:b/>
          <w:bCs/>
          <w:sz w:val="24"/>
          <w:szCs w:val="24"/>
        </w:rPr>
      </w:pPr>
      <w:bookmarkStart w:id="206" w:name="_Toc381819913"/>
      <w:r>
        <w:rPr>
          <w:rFonts w:hint="eastAsia" w:ascii="宋体" w:hAnsi="宋体" w:eastAsia="宋体"/>
          <w:b/>
          <w:bCs/>
          <w:sz w:val="24"/>
          <w:szCs w:val="24"/>
        </w:rPr>
        <w:t>1.9 工程验收</w:t>
      </w:r>
      <w:bookmarkEnd w:id="206"/>
    </w:p>
    <w:p w14:paraId="76724840">
      <w:pPr>
        <w:snapToGrid w:val="0"/>
        <w:spacing w:before="134" w:beforeLines="25" w:line="300" w:lineRule="auto"/>
        <w:ind w:firstLine="210" w:firstLineChars="100"/>
        <w:outlineLvl w:val="2"/>
        <w:rPr>
          <w:rFonts w:ascii="宋体" w:hAnsi="宋体" w:eastAsia="宋体"/>
          <w:b/>
          <w:bCs/>
          <w:szCs w:val="21"/>
        </w:rPr>
      </w:pPr>
      <w:bookmarkStart w:id="207" w:name="_Toc381819914"/>
      <w:r>
        <w:rPr>
          <w:rFonts w:hint="eastAsia" w:ascii="宋体" w:hAnsi="宋体" w:eastAsia="宋体"/>
          <w:b/>
          <w:bCs/>
          <w:szCs w:val="21"/>
        </w:rPr>
        <w:t>1.9.1专项验收</w:t>
      </w:r>
      <w:bookmarkEnd w:id="207"/>
    </w:p>
    <w:p w14:paraId="2E2C13D8">
      <w:pPr>
        <w:snapToGrid w:val="0"/>
        <w:spacing w:line="300" w:lineRule="auto"/>
        <w:ind w:firstLine="420" w:firstLineChars="200"/>
        <w:rPr>
          <w:rFonts w:ascii="宋体" w:hAnsi="宋体" w:eastAsia="宋体"/>
          <w:szCs w:val="21"/>
        </w:rPr>
      </w:pPr>
      <w:r>
        <w:rPr>
          <w:rFonts w:hint="eastAsia" w:ascii="宋体" w:hAnsi="宋体" w:eastAsia="宋体"/>
          <w:szCs w:val="21"/>
        </w:rPr>
        <w:t>(1)专项验收是指与国家和地方有关的对外永久交通、移民安置、环境保护、水土保持及通航等的专项工程验收。</w:t>
      </w:r>
    </w:p>
    <w:p w14:paraId="7C5EF33C">
      <w:pPr>
        <w:snapToGrid w:val="0"/>
        <w:spacing w:line="300" w:lineRule="auto"/>
        <w:ind w:firstLine="420" w:firstLineChars="200"/>
        <w:rPr>
          <w:rFonts w:ascii="宋体" w:hAnsi="宋体" w:eastAsia="宋体"/>
          <w:szCs w:val="21"/>
        </w:rPr>
      </w:pPr>
      <w:r>
        <w:rPr>
          <w:rFonts w:hint="eastAsia" w:ascii="宋体" w:hAnsi="宋体" w:eastAsia="宋体"/>
          <w:szCs w:val="21"/>
        </w:rPr>
        <w:t>(2)专项验收可与工程竣工验收一并进行，其工程竣工验收资料的整编内容可参照本章第1.9.3条的要求进行。</w:t>
      </w:r>
    </w:p>
    <w:p w14:paraId="599C12A9">
      <w:pPr>
        <w:snapToGrid w:val="0"/>
        <w:spacing w:before="134" w:beforeLines="25" w:line="300" w:lineRule="auto"/>
        <w:ind w:firstLine="210" w:firstLineChars="100"/>
        <w:outlineLvl w:val="2"/>
        <w:rPr>
          <w:rFonts w:ascii="宋体" w:hAnsi="宋体" w:eastAsia="宋体"/>
          <w:b/>
          <w:bCs/>
          <w:szCs w:val="21"/>
        </w:rPr>
      </w:pPr>
      <w:bookmarkStart w:id="208" w:name="_Toc381819915"/>
      <w:r>
        <w:rPr>
          <w:rFonts w:hint="eastAsia" w:ascii="宋体" w:hAnsi="宋体" w:eastAsia="宋体"/>
          <w:b/>
          <w:bCs/>
          <w:szCs w:val="21"/>
        </w:rPr>
        <w:t>1.9.2工程竣工验收</w:t>
      </w:r>
      <w:bookmarkEnd w:id="208"/>
    </w:p>
    <w:p w14:paraId="63195BA3">
      <w:pPr>
        <w:snapToGrid w:val="0"/>
        <w:spacing w:line="300" w:lineRule="auto"/>
        <w:ind w:firstLine="420" w:firstLineChars="200"/>
        <w:rPr>
          <w:rFonts w:ascii="宋体" w:hAnsi="宋体" w:eastAsia="宋体"/>
          <w:szCs w:val="21"/>
        </w:rPr>
      </w:pPr>
      <w:r>
        <w:rPr>
          <w:rFonts w:hint="eastAsia" w:ascii="宋体" w:hAnsi="宋体" w:eastAsia="宋体"/>
          <w:szCs w:val="21"/>
        </w:rPr>
        <w:t>(1)工程竣工验收应遵守《水利工程建设项目验收管理规定》水利部30号令、《水土保持综合治理验收规范》（GB/T15773-2008）的规定。</w:t>
      </w:r>
    </w:p>
    <w:p w14:paraId="7FABAA8E">
      <w:pPr>
        <w:snapToGrid w:val="0"/>
        <w:spacing w:line="300" w:lineRule="auto"/>
        <w:ind w:firstLine="420" w:firstLineChars="200"/>
        <w:rPr>
          <w:rFonts w:ascii="宋体" w:hAnsi="宋体" w:eastAsia="宋体"/>
          <w:szCs w:val="21"/>
        </w:rPr>
      </w:pPr>
      <w:r>
        <w:rPr>
          <w:rFonts w:hint="eastAsia" w:ascii="宋体" w:hAnsi="宋体" w:eastAsia="宋体"/>
          <w:szCs w:val="21"/>
        </w:rPr>
        <w:t>(2)各项单位工程、分部工程完工后，承包人应按本合同的约定，向发包人提交该项验收工程的竣工验收申请报告。发包人收到竣工验收申请报告后，应按合同约定的程序和时限完成验收工作。</w:t>
      </w:r>
    </w:p>
    <w:p w14:paraId="4924E28D">
      <w:pPr>
        <w:snapToGrid w:val="0"/>
        <w:spacing w:line="300" w:lineRule="auto"/>
        <w:ind w:firstLine="420" w:firstLineChars="200"/>
        <w:rPr>
          <w:rFonts w:ascii="宋体" w:hAnsi="宋体" w:eastAsia="宋体"/>
          <w:szCs w:val="21"/>
        </w:rPr>
      </w:pPr>
      <w:r>
        <w:rPr>
          <w:rFonts w:hint="eastAsia" w:ascii="宋体" w:hAnsi="宋体" w:eastAsia="宋体"/>
          <w:szCs w:val="21"/>
        </w:rPr>
        <w:t>(3)各项工程竣工验收前，承包人应整编以下竣工验收资料提交发包人，其内容包括（不眼于）：</w:t>
      </w:r>
    </w:p>
    <w:p w14:paraId="5F84424C">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1)验收工程的各项施工材料的试验检验成果；</w:t>
      </w:r>
    </w:p>
    <w:p w14:paraId="0E47982C">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2)监理人对验收工程及其工程设备的质量检查记录；</w:t>
      </w:r>
    </w:p>
    <w:p w14:paraId="12DEEE8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3)施工过程中，本项工程及其工程设备的变更文件及资料；</w:t>
      </w:r>
    </w:p>
    <w:p w14:paraId="7EEA2B1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4)质量事故记录以及工程及其工程设备的缺陷处理报告；</w:t>
      </w:r>
    </w:p>
    <w:p w14:paraId="4F7FEED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5)施工过程中，对验收工程质量的专题评定报告；</w:t>
      </w:r>
    </w:p>
    <w:p w14:paraId="6EAF8FC5">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6)质量监督机构签认的质量鉴定报告和有关文件；</w:t>
      </w:r>
    </w:p>
    <w:p w14:paraId="5933A8EE">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7)验收工程施工期的安全监测成果，以及工程设备的试运行检测成果；</w:t>
      </w:r>
    </w:p>
    <w:p w14:paraId="0C78BAF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8)监理人指示提交的其它竣工验收资料。</w:t>
      </w:r>
    </w:p>
    <w:p w14:paraId="66B2AF63">
      <w:pPr>
        <w:snapToGrid w:val="0"/>
        <w:spacing w:line="300" w:lineRule="auto"/>
        <w:ind w:firstLine="420" w:firstLineChars="200"/>
        <w:rPr>
          <w:rFonts w:ascii="宋体" w:hAnsi="宋体" w:eastAsia="宋体"/>
          <w:szCs w:val="21"/>
        </w:rPr>
      </w:pPr>
      <w:r>
        <w:rPr>
          <w:rFonts w:hint="eastAsia" w:ascii="宋体" w:hAnsi="宋体" w:eastAsia="宋体"/>
          <w:szCs w:val="21"/>
        </w:rPr>
        <w:t>(4)工程竣工验收应在工程建设项目全部完成，各单位工程、分部工程和单项工程的竣工验收全部合格，并已满足一定运行条件后进行。</w:t>
      </w:r>
    </w:p>
    <w:p w14:paraId="1F7F5403">
      <w:pPr>
        <w:snapToGrid w:val="0"/>
        <w:spacing w:line="300" w:lineRule="auto"/>
        <w:ind w:firstLine="420" w:firstLineChars="200"/>
        <w:rPr>
          <w:rFonts w:ascii="宋体" w:hAnsi="宋体" w:eastAsia="宋体"/>
          <w:szCs w:val="21"/>
        </w:rPr>
      </w:pPr>
      <w:r>
        <w:rPr>
          <w:rFonts w:hint="eastAsia" w:ascii="宋体" w:hAnsi="宋体" w:eastAsia="宋体"/>
          <w:szCs w:val="21"/>
        </w:rPr>
        <w:t>(5)工程竣工验收应由发包人向国家主管部门提出工程竣工验收申请，并经国家主管部门批准后，由国家主管部门主持、发包人组织进行。</w:t>
      </w:r>
    </w:p>
    <w:p w14:paraId="65B2B396">
      <w:pPr>
        <w:adjustRightInd w:val="0"/>
        <w:snapToGrid w:val="0"/>
        <w:spacing w:before="134" w:beforeLines="25" w:line="300" w:lineRule="auto"/>
        <w:outlineLvl w:val="1"/>
        <w:rPr>
          <w:rFonts w:ascii="宋体" w:hAnsi="宋体" w:eastAsia="宋体"/>
          <w:b/>
          <w:bCs/>
          <w:sz w:val="24"/>
          <w:szCs w:val="24"/>
        </w:rPr>
      </w:pPr>
      <w:bookmarkStart w:id="209" w:name="_Toc381819916"/>
      <w:r>
        <w:rPr>
          <w:rFonts w:hint="eastAsia" w:ascii="宋体" w:hAnsi="宋体" w:eastAsia="宋体"/>
          <w:b/>
          <w:bCs/>
          <w:sz w:val="24"/>
          <w:szCs w:val="24"/>
        </w:rPr>
        <w:t>1.10 工程量计量</w:t>
      </w:r>
      <w:bookmarkEnd w:id="209"/>
    </w:p>
    <w:p w14:paraId="623C9E1A">
      <w:pPr>
        <w:snapToGrid w:val="0"/>
        <w:spacing w:before="134" w:beforeLines="25" w:line="300" w:lineRule="auto"/>
        <w:ind w:firstLine="210" w:firstLineChars="100"/>
        <w:outlineLvl w:val="2"/>
        <w:rPr>
          <w:rFonts w:ascii="宋体" w:hAnsi="宋体" w:eastAsia="宋体"/>
          <w:b/>
          <w:bCs/>
          <w:szCs w:val="21"/>
        </w:rPr>
      </w:pPr>
      <w:bookmarkStart w:id="210" w:name="_Toc381819917"/>
      <w:r>
        <w:rPr>
          <w:rFonts w:hint="eastAsia" w:ascii="宋体" w:hAnsi="宋体" w:eastAsia="宋体"/>
          <w:b/>
          <w:bCs/>
          <w:szCs w:val="21"/>
        </w:rPr>
        <w:t>1.10.1说明</w:t>
      </w:r>
      <w:bookmarkEnd w:id="210"/>
    </w:p>
    <w:p w14:paraId="4073CADF">
      <w:pPr>
        <w:snapToGrid w:val="0"/>
        <w:spacing w:line="300" w:lineRule="auto"/>
        <w:ind w:firstLine="420" w:firstLineChars="200"/>
        <w:rPr>
          <w:rFonts w:ascii="宋体" w:hAnsi="宋体" w:eastAsia="宋体"/>
          <w:szCs w:val="21"/>
        </w:rPr>
      </w:pPr>
      <w:r>
        <w:rPr>
          <w:rFonts w:hint="eastAsia" w:ascii="宋体" w:hAnsi="宋体" w:eastAsia="宋体"/>
          <w:szCs w:val="21"/>
        </w:rPr>
        <w:t>(1)本合同工程项目应按本合同通用和专用合同条款第17条的约定进行计量。计量方法应符合本技术条款各章的有关规定。</w:t>
      </w:r>
    </w:p>
    <w:p w14:paraId="13301D9A">
      <w:pPr>
        <w:snapToGrid w:val="0"/>
        <w:spacing w:line="300" w:lineRule="auto"/>
        <w:ind w:firstLine="420" w:firstLineChars="200"/>
        <w:rPr>
          <w:rFonts w:ascii="宋体" w:hAnsi="宋体" w:eastAsia="宋体"/>
          <w:szCs w:val="21"/>
        </w:rPr>
      </w:pPr>
      <w:r>
        <w:rPr>
          <w:rFonts w:hint="eastAsia" w:ascii="宋体" w:hAnsi="宋体" w:eastAsia="宋体"/>
          <w:szCs w:val="21"/>
        </w:rPr>
        <w:t>(2)承包人应保证自供的一切计量设备和用具符合国家度量衡标准的精度要求。</w:t>
      </w:r>
    </w:p>
    <w:p w14:paraId="4F3EED3F">
      <w:pPr>
        <w:snapToGrid w:val="0"/>
        <w:spacing w:line="300" w:lineRule="auto"/>
        <w:ind w:firstLine="420" w:firstLineChars="200"/>
        <w:rPr>
          <w:rFonts w:ascii="宋体" w:hAnsi="宋体" w:eastAsia="宋体"/>
          <w:szCs w:val="21"/>
        </w:rPr>
      </w:pPr>
      <w:r>
        <w:rPr>
          <w:rFonts w:hint="eastAsia" w:ascii="宋体" w:hAnsi="宋体" w:eastAsia="宋体"/>
          <w:szCs w:val="21"/>
        </w:rPr>
        <w:t>(3)除合同另有约定外，凡超出施工图纸所示和合同技术条款规定的有效工程量以外的超挖、超填工程量，施工附加量，加工、运输损耗量等均不予计量。</w:t>
      </w:r>
    </w:p>
    <w:p w14:paraId="1DCBE97C">
      <w:pPr>
        <w:snapToGrid w:val="0"/>
        <w:spacing w:line="300" w:lineRule="auto"/>
        <w:ind w:firstLine="420" w:firstLineChars="200"/>
        <w:rPr>
          <w:rFonts w:ascii="宋体" w:hAnsi="宋体" w:eastAsia="宋体"/>
          <w:szCs w:val="21"/>
        </w:rPr>
      </w:pPr>
      <w:r>
        <w:rPr>
          <w:rFonts w:hint="eastAsia" w:ascii="宋体" w:hAnsi="宋体" w:eastAsia="宋体"/>
          <w:szCs w:val="21"/>
        </w:rPr>
        <w:t>(4)根据合同完成的有效工程量，由承包人按施工图纸计算，或采用标准的计量设备进行秤量，并经监理人签认后，列入承包人的每月完成工程量报表。当分次结算累计工程量与按完成施工图纸所示及合同文件规定计算的有效工程量不一致时，以按完成施工图纸所示及合同文件规定计算的有效工程量为准。</w:t>
      </w:r>
    </w:p>
    <w:p w14:paraId="74F257CD">
      <w:pPr>
        <w:snapToGrid w:val="0"/>
        <w:spacing w:line="300" w:lineRule="auto"/>
        <w:ind w:firstLine="420" w:firstLineChars="200"/>
        <w:rPr>
          <w:rFonts w:ascii="宋体" w:hAnsi="宋体" w:eastAsia="宋体"/>
          <w:szCs w:val="21"/>
        </w:rPr>
      </w:pPr>
      <w:r>
        <w:rPr>
          <w:rFonts w:hint="eastAsia" w:ascii="宋体" w:hAnsi="宋体" w:eastAsia="宋体"/>
          <w:szCs w:val="21"/>
        </w:rPr>
        <w:t>(5)分次结算工程量的测量工作，应在监理人在场的情况下，由承包人负责。必要时，监理人有权指示承包人对结算工程量重新进行复核测量，并由监理人核查确认。</w:t>
      </w:r>
    </w:p>
    <w:p w14:paraId="2EAE83EC">
      <w:pPr>
        <w:snapToGrid w:val="0"/>
        <w:spacing w:before="134" w:beforeLines="25" w:line="300" w:lineRule="auto"/>
        <w:ind w:firstLine="210" w:firstLineChars="100"/>
        <w:outlineLvl w:val="2"/>
        <w:rPr>
          <w:rFonts w:ascii="宋体" w:hAnsi="宋体" w:eastAsia="宋体"/>
          <w:b/>
          <w:bCs/>
          <w:szCs w:val="21"/>
        </w:rPr>
      </w:pPr>
      <w:bookmarkStart w:id="211" w:name="_Toc381819918"/>
      <w:r>
        <w:rPr>
          <w:rFonts w:hint="eastAsia" w:ascii="宋体" w:hAnsi="宋体" w:eastAsia="宋体"/>
          <w:b/>
          <w:bCs/>
          <w:szCs w:val="21"/>
        </w:rPr>
        <w:t>1.10.2重量计量</w:t>
      </w:r>
      <w:bookmarkEnd w:id="211"/>
    </w:p>
    <w:p w14:paraId="329FD93E">
      <w:pPr>
        <w:snapToGrid w:val="0"/>
        <w:spacing w:line="300" w:lineRule="auto"/>
        <w:ind w:firstLine="420" w:firstLineChars="200"/>
        <w:rPr>
          <w:rFonts w:ascii="宋体" w:hAnsi="宋体" w:eastAsia="宋体"/>
          <w:szCs w:val="21"/>
        </w:rPr>
      </w:pPr>
      <w:r>
        <w:rPr>
          <w:rFonts w:hint="eastAsia" w:ascii="宋体" w:hAnsi="宋体" w:eastAsia="宋体"/>
          <w:szCs w:val="21"/>
        </w:rPr>
        <w:t>(1)按施工图纸所示计算的有效重量以吨或千克为单位计量。</w:t>
      </w:r>
    </w:p>
    <w:p w14:paraId="347EFAD5">
      <w:pPr>
        <w:snapToGrid w:val="0"/>
        <w:spacing w:line="300" w:lineRule="auto"/>
        <w:ind w:firstLine="420" w:firstLineChars="200"/>
        <w:rPr>
          <w:rFonts w:ascii="宋体" w:hAnsi="宋体" w:eastAsia="宋体"/>
          <w:szCs w:val="21"/>
        </w:rPr>
      </w:pPr>
      <w:r>
        <w:rPr>
          <w:rFonts w:hint="eastAsia" w:ascii="宋体" w:hAnsi="宋体" w:eastAsia="宋体"/>
          <w:szCs w:val="21"/>
        </w:rPr>
        <w:t>(2)凡以重量计量并需秤量的材料，由承包人合格的测量人员使用经国家计量监督部门检验合格的秤量设备，根据合同约定，在监理人指定的地点进行秤量。</w:t>
      </w:r>
    </w:p>
    <w:p w14:paraId="1CB6B7AF">
      <w:pPr>
        <w:snapToGrid w:val="0"/>
        <w:spacing w:before="134" w:beforeLines="25" w:line="300" w:lineRule="auto"/>
        <w:ind w:firstLine="210" w:firstLineChars="100"/>
        <w:outlineLvl w:val="2"/>
        <w:rPr>
          <w:rFonts w:ascii="宋体" w:hAnsi="宋体" w:eastAsia="宋体"/>
          <w:b/>
          <w:bCs/>
          <w:szCs w:val="21"/>
        </w:rPr>
      </w:pPr>
      <w:bookmarkStart w:id="212" w:name="_Toc381819919"/>
      <w:r>
        <w:rPr>
          <w:rFonts w:hint="eastAsia" w:ascii="宋体" w:hAnsi="宋体" w:eastAsia="宋体"/>
          <w:b/>
          <w:bCs/>
          <w:szCs w:val="21"/>
        </w:rPr>
        <w:t>1.10.3面积计量</w:t>
      </w:r>
      <w:bookmarkEnd w:id="212"/>
    </w:p>
    <w:p w14:paraId="4C71670B">
      <w:pPr>
        <w:snapToGrid w:val="0"/>
        <w:spacing w:line="300" w:lineRule="auto"/>
        <w:ind w:firstLine="420" w:firstLineChars="200"/>
        <w:rPr>
          <w:rFonts w:ascii="宋体" w:hAnsi="宋体" w:eastAsia="宋体"/>
          <w:szCs w:val="21"/>
        </w:rPr>
      </w:pPr>
      <w:r>
        <w:rPr>
          <w:rFonts w:hint="eastAsia" w:ascii="宋体" w:hAnsi="宋体" w:eastAsia="宋体"/>
          <w:szCs w:val="21"/>
        </w:rPr>
        <w:t>按施工图纸所示施工轮廓尺寸或结构物尺寸计算的有效面积以平方米为单位计量。</w:t>
      </w:r>
    </w:p>
    <w:p w14:paraId="0E060F62">
      <w:pPr>
        <w:snapToGrid w:val="0"/>
        <w:spacing w:before="134" w:beforeLines="25" w:line="300" w:lineRule="auto"/>
        <w:ind w:firstLine="210" w:firstLineChars="100"/>
        <w:outlineLvl w:val="2"/>
        <w:rPr>
          <w:rFonts w:ascii="宋体" w:hAnsi="宋体" w:eastAsia="宋体"/>
          <w:b/>
          <w:bCs/>
          <w:szCs w:val="21"/>
        </w:rPr>
      </w:pPr>
      <w:bookmarkStart w:id="213" w:name="_Toc381819920"/>
      <w:r>
        <w:rPr>
          <w:rFonts w:hint="eastAsia" w:ascii="宋体" w:hAnsi="宋体" w:eastAsia="宋体"/>
          <w:b/>
          <w:bCs/>
          <w:szCs w:val="21"/>
        </w:rPr>
        <w:t>1.10.4体积计量</w:t>
      </w:r>
      <w:bookmarkEnd w:id="213"/>
    </w:p>
    <w:p w14:paraId="66D956DF">
      <w:pPr>
        <w:snapToGrid w:val="0"/>
        <w:spacing w:line="300" w:lineRule="auto"/>
        <w:ind w:firstLine="420" w:firstLineChars="200"/>
        <w:rPr>
          <w:rFonts w:ascii="宋体" w:hAnsi="宋体" w:eastAsia="宋体"/>
          <w:szCs w:val="21"/>
        </w:rPr>
      </w:pPr>
      <w:r>
        <w:rPr>
          <w:rFonts w:hint="eastAsia" w:ascii="宋体" w:hAnsi="宋体" w:eastAsia="宋体"/>
          <w:szCs w:val="21"/>
        </w:rPr>
        <w:t>按施工囹纸所示施工轮廓尺寸或结构物尺寸计算的有效体积以立方米为单位计量。</w:t>
      </w:r>
    </w:p>
    <w:p w14:paraId="1ED875CE">
      <w:pPr>
        <w:snapToGrid w:val="0"/>
        <w:spacing w:before="134" w:beforeLines="25" w:line="300" w:lineRule="auto"/>
        <w:ind w:firstLine="210" w:firstLineChars="100"/>
        <w:outlineLvl w:val="2"/>
        <w:rPr>
          <w:rFonts w:ascii="宋体" w:hAnsi="宋体" w:eastAsia="宋体"/>
          <w:b/>
          <w:bCs/>
          <w:szCs w:val="21"/>
        </w:rPr>
      </w:pPr>
      <w:bookmarkStart w:id="214" w:name="_Toc381819921"/>
      <w:r>
        <w:rPr>
          <w:rFonts w:hint="eastAsia" w:ascii="宋体" w:hAnsi="宋体" w:eastAsia="宋体"/>
          <w:b/>
          <w:bCs/>
          <w:szCs w:val="21"/>
        </w:rPr>
        <w:t>1.10.5长度计量的计算</w:t>
      </w:r>
      <w:bookmarkEnd w:id="214"/>
    </w:p>
    <w:p w14:paraId="7921EA71">
      <w:pPr>
        <w:snapToGrid w:val="0"/>
        <w:spacing w:line="300" w:lineRule="auto"/>
        <w:ind w:firstLine="420" w:firstLineChars="200"/>
        <w:rPr>
          <w:rFonts w:ascii="宋体" w:hAnsi="宋体" w:eastAsia="宋体"/>
          <w:szCs w:val="21"/>
        </w:rPr>
      </w:pPr>
      <w:r>
        <w:rPr>
          <w:rFonts w:hint="eastAsia" w:ascii="宋体" w:hAnsi="宋体" w:eastAsia="宋体"/>
          <w:szCs w:val="21"/>
        </w:rPr>
        <w:t>按施工图纸所示施工轮廓尺寸或结构物尺寸计算的有效长度以米为单位计量。</w:t>
      </w:r>
    </w:p>
    <w:p w14:paraId="0D034314">
      <w:pPr>
        <w:adjustRightInd w:val="0"/>
        <w:snapToGrid w:val="0"/>
        <w:spacing w:before="134" w:beforeLines="25" w:line="300" w:lineRule="auto"/>
        <w:outlineLvl w:val="1"/>
        <w:rPr>
          <w:rFonts w:ascii="宋体" w:hAnsi="宋体" w:eastAsia="宋体"/>
          <w:b/>
          <w:bCs/>
          <w:sz w:val="24"/>
          <w:szCs w:val="24"/>
        </w:rPr>
      </w:pPr>
      <w:bookmarkStart w:id="215" w:name="_Toc381819922"/>
      <w:r>
        <w:rPr>
          <w:rFonts w:hint="eastAsia" w:ascii="宋体" w:hAnsi="宋体" w:eastAsia="宋体"/>
          <w:b/>
          <w:bCs/>
          <w:sz w:val="24"/>
          <w:szCs w:val="24"/>
        </w:rPr>
        <w:t>1.11 引用技术标准和规程规范的规定</w:t>
      </w:r>
      <w:bookmarkEnd w:id="215"/>
    </w:p>
    <w:p w14:paraId="61C0669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1.11.1遵守国家和行业标准的强制性规定</w:t>
      </w:r>
    </w:p>
    <w:p w14:paraId="03E0F7B4">
      <w:pPr>
        <w:snapToGrid w:val="0"/>
        <w:spacing w:line="300" w:lineRule="auto"/>
        <w:ind w:firstLine="420" w:firstLineChars="200"/>
        <w:rPr>
          <w:rFonts w:ascii="宋体" w:hAnsi="宋体" w:eastAsia="宋体"/>
          <w:szCs w:val="21"/>
        </w:rPr>
      </w:pPr>
      <w:r>
        <w:rPr>
          <w:rFonts w:hint="eastAsia" w:ascii="宋体" w:hAnsi="宋体" w:eastAsia="宋体"/>
          <w:szCs w:val="21"/>
        </w:rPr>
        <w:t>技术条款中有关工程等级、防洪标准和工程安全鉴定标准等涉及工程安全的施工安装技术要求及其验收标准，必须严格遵守国家和行业标准中的强制性规定。遇有矛盾时，应由监理人按国家和行业标准的强制性规定进行修正。</w:t>
      </w:r>
    </w:p>
    <w:p w14:paraId="6A84B68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1.11.2引用标准和规程规范以最新版本为准</w:t>
      </w:r>
    </w:p>
    <w:p w14:paraId="1B93ECA1">
      <w:pPr>
        <w:snapToGrid w:val="0"/>
        <w:spacing w:line="300" w:lineRule="auto"/>
        <w:ind w:firstLine="420" w:firstLineChars="200"/>
        <w:rPr>
          <w:rFonts w:ascii="宋体" w:hAnsi="宋体" w:eastAsia="宋体"/>
          <w:szCs w:val="21"/>
        </w:rPr>
      </w:pPr>
      <w:r>
        <w:rPr>
          <w:rFonts w:hint="eastAsia" w:ascii="宋体" w:hAnsi="宋体" w:eastAsia="宋体"/>
          <w:szCs w:val="21"/>
        </w:rPr>
        <w:t>本技术条款引用的标准和规程规范如非最新版本，执行国家和水利行业最新出版的版本。</w:t>
      </w:r>
    </w:p>
    <w:p w14:paraId="6C2DCF5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1.11.3本技术条款未涉及到的本合同单项工程，技术条款执行国家和水利行业最新出版的版本。</w:t>
      </w:r>
    </w:p>
    <w:p w14:paraId="4DED8E41">
      <w:pPr>
        <w:adjustRightInd w:val="0"/>
        <w:snapToGrid w:val="0"/>
        <w:spacing w:before="134" w:beforeLines="25" w:line="300" w:lineRule="auto"/>
        <w:outlineLvl w:val="1"/>
        <w:rPr>
          <w:rFonts w:ascii="宋体" w:hAnsi="宋体" w:eastAsia="宋体"/>
          <w:b/>
          <w:bCs/>
          <w:sz w:val="24"/>
          <w:szCs w:val="24"/>
        </w:rPr>
      </w:pPr>
      <w:bookmarkStart w:id="216" w:name="_Toc381819923"/>
      <w:r>
        <w:rPr>
          <w:rFonts w:hint="eastAsia" w:ascii="宋体" w:hAnsi="宋体" w:eastAsia="宋体"/>
          <w:b/>
          <w:bCs/>
          <w:sz w:val="24"/>
          <w:szCs w:val="24"/>
        </w:rPr>
        <w:t>1.12 工程保险</w:t>
      </w:r>
      <w:bookmarkEnd w:id="216"/>
    </w:p>
    <w:p w14:paraId="4E64CD59">
      <w:pPr>
        <w:snapToGrid w:val="0"/>
        <w:spacing w:before="134" w:beforeLines="25" w:line="300" w:lineRule="auto"/>
        <w:ind w:firstLine="210" w:firstLineChars="100"/>
        <w:outlineLvl w:val="2"/>
        <w:rPr>
          <w:rFonts w:ascii="宋体" w:hAnsi="宋体" w:eastAsia="宋体"/>
          <w:b/>
          <w:bCs/>
          <w:szCs w:val="21"/>
        </w:rPr>
      </w:pPr>
      <w:bookmarkStart w:id="217" w:name="_Toc381819924"/>
      <w:r>
        <w:rPr>
          <w:rFonts w:hint="eastAsia" w:ascii="宋体" w:hAnsi="宋体" w:eastAsia="宋体"/>
          <w:b/>
          <w:bCs/>
          <w:szCs w:val="21"/>
        </w:rPr>
        <w:t>1.12.1投保险种</w:t>
      </w:r>
      <w:bookmarkEnd w:id="217"/>
    </w:p>
    <w:p w14:paraId="79794981">
      <w:pPr>
        <w:snapToGrid w:val="0"/>
        <w:spacing w:line="300" w:lineRule="auto"/>
        <w:ind w:firstLine="420" w:firstLineChars="200"/>
        <w:rPr>
          <w:rFonts w:ascii="宋体" w:hAnsi="宋体" w:eastAsia="宋体"/>
          <w:szCs w:val="21"/>
        </w:rPr>
      </w:pPr>
      <w:r>
        <w:rPr>
          <w:rFonts w:hint="eastAsia" w:ascii="宋体" w:hAnsi="宋体" w:eastAsia="宋体"/>
          <w:szCs w:val="21"/>
        </w:rPr>
        <w:t>发包人和承包人应投保以下险种：</w:t>
      </w:r>
    </w:p>
    <w:p w14:paraId="79658247">
      <w:pPr>
        <w:snapToGrid w:val="0"/>
        <w:spacing w:line="300" w:lineRule="auto"/>
        <w:ind w:firstLine="420" w:firstLineChars="200"/>
        <w:rPr>
          <w:rFonts w:ascii="宋体" w:hAnsi="宋体" w:eastAsia="宋体"/>
          <w:szCs w:val="21"/>
        </w:rPr>
      </w:pPr>
      <w:r>
        <w:rPr>
          <w:rFonts w:hint="eastAsia" w:ascii="宋体" w:hAnsi="宋体" w:eastAsia="宋体"/>
          <w:szCs w:val="21"/>
        </w:rPr>
        <w:t>发包人和承包人应按本合同通用合同条款第20条的约定投保以下险种：</w:t>
      </w:r>
    </w:p>
    <w:p w14:paraId="34AC8C0C">
      <w:pPr>
        <w:snapToGrid w:val="0"/>
        <w:spacing w:line="300" w:lineRule="auto"/>
        <w:ind w:firstLine="420" w:firstLineChars="200"/>
        <w:rPr>
          <w:rFonts w:ascii="宋体" w:hAnsi="宋体" w:eastAsia="宋体"/>
          <w:szCs w:val="21"/>
        </w:rPr>
      </w:pPr>
      <w:r>
        <w:rPr>
          <w:rFonts w:hint="eastAsia" w:ascii="宋体" w:hAnsi="宋体" w:eastAsia="宋体"/>
          <w:szCs w:val="21"/>
        </w:rPr>
        <w:t>(1)建筑安装工程一切险（包括材料和工程设备，以发包人和承包人共同名义投保）；</w:t>
      </w:r>
    </w:p>
    <w:p w14:paraId="2498F650">
      <w:pPr>
        <w:snapToGrid w:val="0"/>
        <w:spacing w:line="300" w:lineRule="auto"/>
        <w:ind w:firstLine="420" w:firstLineChars="200"/>
        <w:rPr>
          <w:rFonts w:ascii="宋体" w:hAnsi="宋体" w:eastAsia="宋体"/>
          <w:szCs w:val="21"/>
        </w:rPr>
      </w:pPr>
      <w:r>
        <w:rPr>
          <w:rFonts w:hint="eastAsia" w:ascii="宋体" w:hAnsi="宋体" w:eastAsia="宋体"/>
          <w:szCs w:val="21"/>
        </w:rPr>
        <w:t>(2)人员工伤事故险（按各自管辖的人员投保）；</w:t>
      </w:r>
    </w:p>
    <w:p w14:paraId="2BF0A6E4">
      <w:pPr>
        <w:snapToGrid w:val="0"/>
        <w:spacing w:line="300" w:lineRule="auto"/>
        <w:ind w:firstLine="420" w:firstLineChars="200"/>
        <w:rPr>
          <w:rFonts w:ascii="宋体" w:hAnsi="宋体" w:eastAsia="宋体"/>
          <w:szCs w:val="21"/>
        </w:rPr>
      </w:pPr>
      <w:r>
        <w:rPr>
          <w:rFonts w:hint="eastAsia" w:ascii="宋体" w:hAnsi="宋体" w:eastAsia="宋体"/>
          <w:szCs w:val="21"/>
        </w:rPr>
        <w:t>(3)人身意外伤害险（按各自管辖的人员投保）；</w:t>
      </w:r>
    </w:p>
    <w:p w14:paraId="36F316B2">
      <w:pPr>
        <w:snapToGrid w:val="0"/>
        <w:spacing w:line="300" w:lineRule="auto"/>
        <w:ind w:firstLine="420" w:firstLineChars="200"/>
        <w:rPr>
          <w:rFonts w:ascii="宋体" w:hAnsi="宋体" w:eastAsia="宋体"/>
          <w:szCs w:val="21"/>
        </w:rPr>
      </w:pPr>
      <w:r>
        <w:rPr>
          <w:rFonts w:hint="eastAsia" w:ascii="宋体" w:hAnsi="宋体" w:eastAsia="宋体"/>
          <w:szCs w:val="21"/>
        </w:rPr>
        <w:t>(4)第三者责任险（按各自管辖区，以发包人和承包人共同名义投保）；</w:t>
      </w:r>
    </w:p>
    <w:p w14:paraId="0A1EC6E2">
      <w:pPr>
        <w:snapToGrid w:val="0"/>
        <w:spacing w:line="300" w:lineRule="auto"/>
        <w:ind w:firstLine="420" w:firstLineChars="200"/>
        <w:rPr>
          <w:rFonts w:ascii="宋体" w:hAnsi="宋体" w:eastAsia="宋体"/>
          <w:szCs w:val="21"/>
        </w:rPr>
      </w:pPr>
      <w:r>
        <w:rPr>
          <w:rFonts w:hint="eastAsia" w:ascii="宋体" w:hAnsi="宋体" w:eastAsia="宋体"/>
          <w:szCs w:val="21"/>
        </w:rPr>
        <w:t>(5)施工设备险（由承包人负责投保）。</w:t>
      </w:r>
    </w:p>
    <w:p w14:paraId="111A847C">
      <w:pPr>
        <w:snapToGrid w:val="0"/>
        <w:spacing w:before="134" w:beforeLines="25" w:line="300" w:lineRule="auto"/>
        <w:ind w:firstLine="210" w:firstLineChars="100"/>
        <w:outlineLvl w:val="2"/>
        <w:rPr>
          <w:rFonts w:ascii="宋体" w:hAnsi="宋体" w:eastAsia="宋体"/>
          <w:b/>
          <w:bCs/>
          <w:szCs w:val="21"/>
        </w:rPr>
      </w:pPr>
      <w:bookmarkStart w:id="218" w:name="_Toc381819925"/>
      <w:r>
        <w:rPr>
          <w:rFonts w:hint="eastAsia" w:ascii="宋体" w:hAnsi="宋体" w:eastAsia="宋体"/>
          <w:b/>
          <w:bCs/>
          <w:szCs w:val="21"/>
        </w:rPr>
        <w:t>1.12.2保险费用</w:t>
      </w:r>
      <w:bookmarkEnd w:id="218"/>
    </w:p>
    <w:p w14:paraId="36242850">
      <w:pPr>
        <w:snapToGrid w:val="0"/>
        <w:spacing w:line="300" w:lineRule="auto"/>
        <w:ind w:firstLine="420" w:firstLineChars="200"/>
        <w:rPr>
          <w:rFonts w:ascii="宋体" w:hAnsi="宋体" w:eastAsia="宋体"/>
          <w:szCs w:val="21"/>
        </w:rPr>
      </w:pPr>
      <w:r>
        <w:rPr>
          <w:rFonts w:hint="eastAsia" w:ascii="宋体" w:hAnsi="宋体" w:eastAsia="宋体"/>
          <w:szCs w:val="21"/>
        </w:rPr>
        <w:t>(1)若本合同约定由承包人负责投保建筑安装工程一切险，承包人应按本合同通用合同条款第20.1款约定的责任和内容，在本章工程量清单中专项列报。</w:t>
      </w:r>
    </w:p>
    <w:p w14:paraId="38E626F8">
      <w:pPr>
        <w:snapToGrid w:val="0"/>
        <w:spacing w:line="300" w:lineRule="auto"/>
        <w:ind w:firstLine="420" w:firstLineChars="200"/>
        <w:rPr>
          <w:rFonts w:ascii="宋体" w:hAnsi="宋体" w:eastAsia="宋体"/>
          <w:szCs w:val="21"/>
        </w:rPr>
      </w:pPr>
      <w:r>
        <w:rPr>
          <w:rFonts w:hint="eastAsia" w:ascii="宋体" w:hAnsi="宋体" w:eastAsia="宋体"/>
          <w:szCs w:val="21"/>
        </w:rPr>
        <w:t>若本合同约定由发包人负责投保建筑安装工程一切险，则承包人不需列报。</w:t>
      </w:r>
    </w:p>
    <w:p w14:paraId="7665F6E7">
      <w:pPr>
        <w:snapToGrid w:val="0"/>
        <w:spacing w:line="300" w:lineRule="auto"/>
        <w:ind w:firstLine="420" w:firstLineChars="200"/>
        <w:rPr>
          <w:rFonts w:ascii="宋体" w:hAnsi="宋体" w:eastAsia="宋体"/>
          <w:szCs w:val="21"/>
        </w:rPr>
      </w:pPr>
      <w:r>
        <w:rPr>
          <w:rFonts w:hint="eastAsia" w:ascii="宋体" w:hAnsi="宋体" w:eastAsia="宋体"/>
          <w:szCs w:val="21"/>
        </w:rPr>
        <w:t>(2)承包人人员的工伤事故险和人身意外伤害险应由承包人按本合同通用合同条款第20.2款、第20.3款约定的责任和内容，为全部现场施工人员办理保险，并按本章《工程量清单》所列项目专项列报。</w:t>
      </w:r>
    </w:p>
    <w:p w14:paraId="2FE4D8DC">
      <w:pPr>
        <w:snapToGrid w:val="0"/>
        <w:spacing w:line="300" w:lineRule="auto"/>
        <w:ind w:firstLine="420" w:firstLineChars="200"/>
        <w:rPr>
          <w:rFonts w:ascii="宋体" w:hAnsi="宋体" w:eastAsia="宋体"/>
          <w:szCs w:val="21"/>
        </w:rPr>
      </w:pPr>
      <w:r>
        <w:rPr>
          <w:rFonts w:hint="eastAsia" w:ascii="宋体" w:hAnsi="宋体" w:eastAsia="宋体"/>
          <w:szCs w:val="21"/>
        </w:rPr>
        <w:t>(3)承包人管辖区内的第三者责任险应由承包人，根据本合同通用合同条款第20.4款约定的责任和内容与本章《工程量清单》所列项目专项列报。</w:t>
      </w:r>
    </w:p>
    <w:p w14:paraId="67AD3C12">
      <w:pPr>
        <w:snapToGrid w:val="0"/>
        <w:spacing w:line="300" w:lineRule="auto"/>
        <w:ind w:firstLine="420" w:firstLineChars="200"/>
        <w:rPr>
          <w:rFonts w:ascii="宋体" w:hAnsi="宋体" w:eastAsia="宋体"/>
          <w:szCs w:val="21"/>
        </w:rPr>
      </w:pPr>
      <w:r>
        <w:rPr>
          <w:rFonts w:hint="eastAsia" w:ascii="宋体" w:hAnsi="宋体" w:eastAsia="宋体"/>
          <w:szCs w:val="21"/>
        </w:rPr>
        <w:t>(4)施工设备险由承包人负责投保，保险费用包括在施工设备运行费内。</w:t>
      </w:r>
    </w:p>
    <w:p w14:paraId="61557C0C">
      <w:pPr>
        <w:adjustRightInd w:val="0"/>
        <w:snapToGrid w:val="0"/>
        <w:spacing w:before="134" w:beforeLines="25" w:line="300" w:lineRule="auto"/>
        <w:outlineLvl w:val="1"/>
        <w:rPr>
          <w:rFonts w:ascii="宋体" w:hAnsi="宋体" w:eastAsia="宋体"/>
          <w:b/>
          <w:bCs/>
          <w:sz w:val="24"/>
          <w:szCs w:val="24"/>
        </w:rPr>
      </w:pPr>
      <w:bookmarkStart w:id="219" w:name="_Toc381819926"/>
      <w:r>
        <w:rPr>
          <w:rFonts w:hint="eastAsia" w:ascii="宋体" w:hAnsi="宋体" w:eastAsia="宋体"/>
          <w:b/>
          <w:bCs/>
          <w:sz w:val="24"/>
          <w:szCs w:val="24"/>
        </w:rPr>
        <w:t>1.13 工程价款支付方法</w:t>
      </w:r>
      <w:bookmarkEnd w:id="219"/>
    </w:p>
    <w:p w14:paraId="7149CE0F">
      <w:pPr>
        <w:snapToGrid w:val="0"/>
        <w:spacing w:before="134" w:beforeLines="25" w:line="300" w:lineRule="auto"/>
        <w:ind w:firstLine="210" w:firstLineChars="100"/>
        <w:outlineLvl w:val="2"/>
        <w:rPr>
          <w:rFonts w:ascii="宋体" w:hAnsi="宋体" w:eastAsia="宋体"/>
          <w:b/>
          <w:bCs/>
          <w:szCs w:val="21"/>
        </w:rPr>
      </w:pPr>
      <w:bookmarkStart w:id="220" w:name="_Toc381819927"/>
      <w:r>
        <w:rPr>
          <w:rFonts w:hint="eastAsia" w:ascii="宋体" w:hAnsi="宋体" w:eastAsia="宋体"/>
          <w:b/>
          <w:bCs/>
          <w:szCs w:val="21"/>
        </w:rPr>
        <w:t>1.13.1单价支付项目</w:t>
      </w:r>
      <w:bookmarkEnd w:id="220"/>
    </w:p>
    <w:p w14:paraId="1E39FE08">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除合同另有约定外，承包人在《工程量清单》以单价形式列报的所有工程项目，发包人均按《工程量清单》相应项目的工程单价支付。</w:t>
      </w:r>
    </w:p>
    <w:p w14:paraId="3BC5A123">
      <w:pPr>
        <w:snapToGrid w:val="0"/>
        <w:spacing w:before="134" w:beforeLines="25" w:line="300" w:lineRule="auto"/>
        <w:ind w:firstLine="210" w:firstLineChars="100"/>
        <w:outlineLvl w:val="2"/>
        <w:rPr>
          <w:rFonts w:ascii="宋体" w:hAnsi="宋体" w:eastAsia="宋体"/>
          <w:b/>
          <w:bCs/>
          <w:szCs w:val="21"/>
        </w:rPr>
      </w:pPr>
      <w:bookmarkStart w:id="221" w:name="_Toc381819928"/>
      <w:r>
        <w:rPr>
          <w:rFonts w:hint="eastAsia" w:ascii="宋体" w:hAnsi="宋体" w:eastAsia="宋体"/>
          <w:b/>
          <w:bCs/>
          <w:szCs w:val="21"/>
        </w:rPr>
        <w:t>1.13.2一般总价支付项目</w:t>
      </w:r>
      <w:bookmarkEnd w:id="221"/>
    </w:p>
    <w:p w14:paraId="2726DC10">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除合同另有约定外，承包人在《工程量清单》以总价形式列报的所有工程项目，发包人均按《工程量清单》相应项目（不包括以总价形式列报的暂列金额）的总价支付。</w:t>
      </w:r>
    </w:p>
    <w:p w14:paraId="76156214">
      <w:pPr>
        <w:snapToGrid w:val="0"/>
        <w:spacing w:before="134" w:beforeLines="25" w:line="300" w:lineRule="auto"/>
        <w:ind w:firstLine="210" w:firstLineChars="100"/>
        <w:outlineLvl w:val="2"/>
        <w:rPr>
          <w:rFonts w:ascii="宋体" w:hAnsi="宋体" w:eastAsia="宋体"/>
          <w:b/>
          <w:bCs/>
          <w:szCs w:val="21"/>
        </w:rPr>
      </w:pPr>
      <w:bookmarkStart w:id="222" w:name="_Toc381819929"/>
      <w:r>
        <w:rPr>
          <w:rFonts w:hint="eastAsia" w:ascii="宋体" w:hAnsi="宋体" w:eastAsia="宋体"/>
          <w:b/>
          <w:bCs/>
          <w:szCs w:val="21"/>
        </w:rPr>
        <w:t>1.13.3特殊约定的总价支付项目</w:t>
      </w:r>
      <w:bookmarkEnd w:id="222"/>
    </w:p>
    <w:p w14:paraId="2BBC6D15">
      <w:pPr>
        <w:snapToGrid w:val="0"/>
        <w:spacing w:line="300" w:lineRule="auto"/>
        <w:ind w:firstLine="420" w:firstLineChars="200"/>
        <w:rPr>
          <w:rFonts w:ascii="宋体" w:hAnsi="宋体" w:eastAsia="宋体"/>
          <w:szCs w:val="21"/>
        </w:rPr>
      </w:pPr>
      <w:r>
        <w:rPr>
          <w:rFonts w:hint="eastAsia" w:ascii="宋体" w:hAnsi="宋体" w:eastAsia="宋体"/>
          <w:szCs w:val="21"/>
        </w:rPr>
        <w:t>（1）进场费</w:t>
      </w:r>
    </w:p>
    <w:p w14:paraId="71D6D6B3">
      <w:pPr>
        <w:snapToGrid w:val="0"/>
        <w:spacing w:line="300" w:lineRule="auto"/>
        <w:ind w:firstLine="420" w:firstLineChars="200"/>
        <w:rPr>
          <w:rFonts w:ascii="宋体" w:hAnsi="宋体" w:eastAsia="宋体"/>
          <w:szCs w:val="21"/>
        </w:rPr>
      </w:pPr>
      <w:r>
        <w:rPr>
          <w:rFonts w:hint="eastAsia" w:ascii="宋体" w:hAnsi="宋体" w:eastAsia="宋体"/>
          <w:szCs w:val="21"/>
        </w:rPr>
        <w:t>承包人完成合同项目施工所需人员、施工设备和周转性材料的调遣费用。该项费用包含在《工程量清单》有关项目的工程单价或总价中，发包人不另行支付。</w:t>
      </w:r>
    </w:p>
    <w:p w14:paraId="0D0DC4F6">
      <w:pPr>
        <w:snapToGrid w:val="0"/>
        <w:spacing w:line="300" w:lineRule="auto"/>
        <w:ind w:firstLine="420" w:firstLineChars="200"/>
        <w:rPr>
          <w:rFonts w:ascii="宋体" w:hAnsi="宋体" w:eastAsia="宋体"/>
          <w:szCs w:val="21"/>
        </w:rPr>
      </w:pPr>
      <w:r>
        <w:rPr>
          <w:rFonts w:hint="eastAsia" w:ascii="宋体" w:hAnsi="宋体" w:eastAsia="宋体"/>
          <w:szCs w:val="21"/>
        </w:rPr>
        <w:t>（2）退场费</w:t>
      </w:r>
    </w:p>
    <w:p w14:paraId="166937B6">
      <w:pPr>
        <w:snapToGrid w:val="0"/>
        <w:spacing w:line="300" w:lineRule="auto"/>
        <w:ind w:firstLine="420" w:firstLineChars="200"/>
        <w:rPr>
          <w:rFonts w:ascii="宋体" w:hAnsi="宋体" w:eastAsia="宋体"/>
          <w:szCs w:val="21"/>
        </w:rPr>
      </w:pPr>
      <w:r>
        <w:rPr>
          <w:rFonts w:hint="eastAsia" w:ascii="宋体" w:hAnsi="宋体" w:eastAsia="宋体"/>
          <w:szCs w:val="21"/>
        </w:rPr>
        <w:t>工程完工验收后，承包人完工清场，撤退人员、施工设备和周转性材料等所需费用，该项费用包含在《工程量清单》有关项目的工程单价或总价中，发包人不另行支付。</w:t>
      </w:r>
    </w:p>
    <w:p w14:paraId="73DE5402">
      <w:pPr>
        <w:snapToGrid w:val="0"/>
        <w:spacing w:line="300" w:lineRule="auto"/>
        <w:ind w:firstLine="420" w:firstLineChars="200"/>
        <w:rPr>
          <w:rFonts w:ascii="宋体" w:hAnsi="宋体" w:eastAsia="宋体"/>
          <w:szCs w:val="21"/>
        </w:rPr>
      </w:pPr>
      <w:r>
        <w:rPr>
          <w:rFonts w:hint="eastAsia" w:ascii="宋体" w:hAnsi="宋体" w:eastAsia="宋体"/>
          <w:szCs w:val="21"/>
        </w:rPr>
        <w:t>（3）保险费</w:t>
      </w:r>
    </w:p>
    <w:p w14:paraId="3EA2C266">
      <w:pPr>
        <w:snapToGrid w:val="0"/>
        <w:spacing w:line="300" w:lineRule="auto"/>
        <w:ind w:firstLine="420" w:firstLineChars="200"/>
        <w:rPr>
          <w:rFonts w:ascii="宋体" w:hAnsi="宋体" w:eastAsia="宋体"/>
          <w:szCs w:val="21"/>
        </w:rPr>
      </w:pPr>
      <w:r>
        <w:rPr>
          <w:rFonts w:hint="eastAsia" w:ascii="宋体" w:hAnsi="宋体" w:eastAsia="宋体"/>
          <w:szCs w:val="21"/>
        </w:rPr>
        <w:t>发包人按本章第1.12节规定支付。</w:t>
      </w:r>
    </w:p>
    <w:p w14:paraId="66F0B7AC">
      <w:pPr>
        <w:snapToGrid w:val="0"/>
        <w:spacing w:line="300" w:lineRule="auto"/>
        <w:ind w:firstLine="420" w:firstLineChars="200"/>
        <w:rPr>
          <w:rFonts w:ascii="宋体" w:hAnsi="宋体" w:eastAsia="宋体"/>
          <w:szCs w:val="21"/>
        </w:rPr>
      </w:pPr>
      <w:r>
        <w:rPr>
          <w:rFonts w:hint="eastAsia" w:ascii="宋体" w:hAnsi="宋体" w:eastAsia="宋体"/>
          <w:szCs w:val="21"/>
        </w:rPr>
        <w:t>(4)其它费用</w:t>
      </w:r>
    </w:p>
    <w:p w14:paraId="1F949E5D">
      <w:pPr>
        <w:snapToGrid w:val="0"/>
        <w:spacing w:line="300" w:lineRule="auto"/>
        <w:ind w:firstLine="420" w:firstLineChars="200"/>
        <w:rPr>
          <w:rFonts w:ascii="宋体" w:hAnsi="宋体" w:eastAsia="宋体"/>
          <w:szCs w:val="21"/>
        </w:rPr>
      </w:pPr>
      <w:r>
        <w:rPr>
          <w:rFonts w:hint="eastAsia" w:ascii="宋体" w:hAnsi="宋体" w:eastAsia="宋体"/>
          <w:szCs w:val="21"/>
        </w:rPr>
        <w:t>承包人按本章规定完成各项工作所发生的其它费用，均包含在《工程量清单》有关项目的工程单价或总价中，发包人不另行支付。</w:t>
      </w:r>
    </w:p>
    <w:p w14:paraId="493BAB61">
      <w:pPr>
        <w:pStyle w:val="3"/>
        <w:keepNext w:val="0"/>
        <w:keepLines w:val="0"/>
        <w:spacing w:before="0" w:after="0" w:line="480" w:lineRule="auto"/>
        <w:jc w:val="center"/>
        <w:rPr>
          <w:rFonts w:ascii="宋体" w:hAnsi="宋体" w:eastAsia="宋体" w:cs="宋体"/>
          <w:sz w:val="28"/>
          <w:szCs w:val="28"/>
        </w:rPr>
      </w:pPr>
      <w:r>
        <w:rPr>
          <w:sz w:val="24"/>
        </w:rPr>
        <w:br w:type="page"/>
      </w:r>
      <w:bookmarkEnd w:id="36"/>
      <w:bookmarkEnd w:id="37"/>
      <w:bookmarkEnd w:id="38"/>
      <w:bookmarkEnd w:id="39"/>
      <w:bookmarkEnd w:id="40"/>
      <w:bookmarkEnd w:id="41"/>
      <w:bookmarkEnd w:id="42"/>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Start w:id="223" w:name="_Toc381872038"/>
      <w:bookmarkStart w:id="224" w:name="_Toc10011"/>
      <w:r>
        <w:rPr>
          <w:rFonts w:hint="eastAsia" w:ascii="宋体" w:hAnsi="宋体" w:eastAsia="宋体" w:cs="宋体"/>
          <w:sz w:val="28"/>
          <w:szCs w:val="28"/>
        </w:rPr>
        <w:t>第2节 施工临时设施</w:t>
      </w:r>
      <w:bookmarkEnd w:id="223"/>
      <w:bookmarkEnd w:id="224"/>
    </w:p>
    <w:p w14:paraId="398D2F8C">
      <w:pPr>
        <w:adjustRightInd w:val="0"/>
        <w:snapToGrid w:val="0"/>
        <w:spacing w:before="134" w:beforeLines="25" w:line="300" w:lineRule="auto"/>
        <w:outlineLvl w:val="1"/>
        <w:rPr>
          <w:rFonts w:ascii="宋体" w:hAnsi="宋体" w:eastAsia="宋体"/>
          <w:b/>
          <w:bCs/>
          <w:sz w:val="24"/>
          <w:szCs w:val="24"/>
        </w:rPr>
      </w:pPr>
      <w:bookmarkStart w:id="225" w:name="_Toc370238502"/>
      <w:bookmarkStart w:id="226" w:name="_Toc300084601"/>
      <w:bookmarkStart w:id="227" w:name="_Toc307417526"/>
      <w:bookmarkStart w:id="228" w:name="_Toc300071285"/>
      <w:bookmarkStart w:id="229" w:name="_Toc304280031"/>
      <w:bookmarkStart w:id="230" w:name="_Toc307485293"/>
      <w:bookmarkStart w:id="231" w:name="_Toc325020886"/>
      <w:bookmarkStart w:id="232" w:name="_Toc332293391"/>
      <w:bookmarkStart w:id="233" w:name="_Toc381819930"/>
      <w:bookmarkStart w:id="234" w:name="_Toc285029072"/>
      <w:bookmarkStart w:id="235" w:name="_Toc347385965"/>
      <w:bookmarkStart w:id="236" w:name="_Toc300084229"/>
      <w:bookmarkStart w:id="237" w:name="_Toc381798920"/>
      <w:bookmarkStart w:id="238" w:name="_Toc325020354"/>
      <w:bookmarkStart w:id="239" w:name="_Toc304280282"/>
      <w:bookmarkStart w:id="240" w:name="_Toc307419415"/>
      <w:bookmarkStart w:id="241" w:name="_Toc304280527"/>
      <w:bookmarkStart w:id="242" w:name="_Toc307416229"/>
      <w:bookmarkStart w:id="243" w:name="_Toc347386214"/>
      <w:bookmarkStart w:id="244" w:name="_Toc332616523"/>
      <w:bookmarkStart w:id="245" w:name="_Toc347385710"/>
      <w:bookmarkStart w:id="246" w:name="_Toc304280778"/>
      <w:bookmarkStart w:id="247" w:name="_Toc300071387"/>
      <w:bookmarkStart w:id="248" w:name="_Toc307415819"/>
      <w:bookmarkStart w:id="249" w:name="_Toc332353184"/>
      <w:bookmarkStart w:id="250" w:name="_Toc304279786"/>
      <w:bookmarkStart w:id="251" w:name="_Toc325040160"/>
      <w:r>
        <w:rPr>
          <w:rFonts w:hint="eastAsia" w:ascii="宋体" w:hAnsi="宋体" w:eastAsia="宋体"/>
          <w:b/>
          <w:bCs/>
          <w:sz w:val="24"/>
          <w:szCs w:val="24"/>
        </w:rPr>
        <w:t>2.1 一般规定</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57E4A0E5">
      <w:pPr>
        <w:snapToGrid w:val="0"/>
        <w:spacing w:before="134" w:beforeLines="25" w:line="300" w:lineRule="auto"/>
        <w:ind w:firstLine="210" w:firstLineChars="100"/>
        <w:outlineLvl w:val="2"/>
        <w:rPr>
          <w:rFonts w:ascii="宋体" w:hAnsi="宋体" w:eastAsia="宋体"/>
          <w:b/>
          <w:bCs/>
          <w:szCs w:val="21"/>
        </w:rPr>
      </w:pPr>
      <w:bookmarkStart w:id="252" w:name="_Toc307415820"/>
      <w:bookmarkStart w:id="253" w:name="_Toc381798921"/>
      <w:bookmarkStart w:id="254" w:name="_Toc300084230"/>
      <w:bookmarkStart w:id="255" w:name="_Toc381819931"/>
      <w:bookmarkStart w:id="256" w:name="_Toc300071388"/>
      <w:bookmarkStart w:id="257" w:name="_Toc285029073"/>
      <w:r>
        <w:rPr>
          <w:rFonts w:hint="eastAsia" w:ascii="宋体" w:hAnsi="宋体" w:eastAsia="宋体"/>
          <w:b/>
          <w:bCs/>
          <w:szCs w:val="21"/>
        </w:rPr>
        <w:t>2.1.1应用范围</w:t>
      </w:r>
      <w:bookmarkEnd w:id="252"/>
      <w:bookmarkEnd w:id="253"/>
      <w:bookmarkEnd w:id="254"/>
      <w:bookmarkEnd w:id="255"/>
      <w:bookmarkEnd w:id="256"/>
      <w:bookmarkEnd w:id="257"/>
    </w:p>
    <w:p w14:paraId="092CF6BF">
      <w:pPr>
        <w:snapToGrid w:val="0"/>
        <w:spacing w:line="300" w:lineRule="auto"/>
        <w:ind w:firstLine="420" w:firstLineChars="200"/>
        <w:rPr>
          <w:rFonts w:ascii="宋体" w:hAnsi="宋体" w:eastAsia="宋体"/>
          <w:szCs w:val="21"/>
        </w:rPr>
      </w:pPr>
      <w:r>
        <w:rPr>
          <w:rFonts w:hint="eastAsia" w:ascii="宋体" w:hAnsi="宋体" w:eastAsia="宋体"/>
          <w:szCs w:val="21"/>
        </w:rPr>
        <w:t>本章规定适用于本合同工程施工临时设施的设计、施工及其附属设备的采购和配置、安装、运行、维护、管理和拆除等全部工作。其工作项目包括：现场施工测量、现场试验、施工交通、施工供电、施工供水、施工供风、施工照明、施工通信、邮政服务、砂石料料物开采加工系统、混凝土生产系统、机械修配厂、加工厂、仓库、存料场、弃料场以及施工现场办公和生活建筑设施等。</w:t>
      </w:r>
    </w:p>
    <w:p w14:paraId="2315471A">
      <w:pPr>
        <w:snapToGrid w:val="0"/>
        <w:spacing w:before="134" w:beforeLines="25" w:line="300" w:lineRule="auto"/>
        <w:ind w:firstLine="210" w:firstLineChars="100"/>
        <w:outlineLvl w:val="2"/>
        <w:rPr>
          <w:rFonts w:ascii="宋体" w:hAnsi="宋体" w:eastAsia="宋体"/>
          <w:b/>
          <w:bCs/>
          <w:szCs w:val="21"/>
        </w:rPr>
      </w:pPr>
      <w:bookmarkStart w:id="258" w:name="_Toc381798922"/>
      <w:bookmarkStart w:id="259" w:name="_Toc307415821"/>
      <w:bookmarkStart w:id="260" w:name="_Toc300084231"/>
      <w:bookmarkStart w:id="261" w:name="_Toc381819932"/>
      <w:bookmarkStart w:id="262" w:name="_Toc285029074"/>
      <w:bookmarkStart w:id="263" w:name="_Toc300071389"/>
      <w:r>
        <w:rPr>
          <w:rFonts w:hint="eastAsia" w:ascii="宋体" w:hAnsi="宋体" w:eastAsia="宋体"/>
          <w:b/>
          <w:bCs/>
          <w:szCs w:val="21"/>
        </w:rPr>
        <w:t>2.1.2承包人责任</w:t>
      </w:r>
      <w:bookmarkEnd w:id="258"/>
      <w:bookmarkEnd w:id="259"/>
      <w:bookmarkEnd w:id="260"/>
      <w:bookmarkEnd w:id="261"/>
      <w:bookmarkEnd w:id="262"/>
      <w:bookmarkEnd w:id="263"/>
    </w:p>
    <w:p w14:paraId="7939874D">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（1）承包人应按本章第2.2节、第2.3节的规定，负责本工程的现场施工测量和现场试验工作。并对其提供的测量和试验成果负全部责任。</w:t>
      </w:r>
    </w:p>
    <w:p w14:paraId="47F920B3">
      <w:pPr>
        <w:snapToGrid w:val="0"/>
        <w:spacing w:line="300" w:lineRule="auto"/>
        <w:ind w:firstLine="420" w:firstLineChars="200"/>
        <w:rPr>
          <w:rFonts w:ascii="宋体" w:hAnsi="宋体" w:eastAsia="宋体"/>
          <w:szCs w:val="21"/>
        </w:rPr>
      </w:pPr>
      <w:r>
        <w:rPr>
          <w:rFonts w:hint="eastAsia" w:ascii="宋体" w:hAnsi="宋体" w:eastAsia="宋体"/>
          <w:szCs w:val="21"/>
        </w:rPr>
        <w:t>（2）承包人应负责修建完成本章第2.4～2.15节所列的各项施工临时设施，并在各项永久工程建筑物施工前，完成全部施工临时设施及其附属设备的安装和试运行。</w:t>
      </w:r>
    </w:p>
    <w:p w14:paraId="15F39109">
      <w:pPr>
        <w:snapToGrid w:val="0"/>
        <w:spacing w:line="300" w:lineRule="auto"/>
        <w:ind w:firstLine="420" w:firstLineChars="200"/>
        <w:rPr>
          <w:rFonts w:ascii="宋体" w:hAnsi="宋体" w:eastAsia="宋体"/>
          <w:szCs w:val="21"/>
        </w:rPr>
      </w:pPr>
      <w:r>
        <w:rPr>
          <w:rFonts w:hint="eastAsia" w:ascii="宋体" w:hAnsi="宋体" w:eastAsia="宋体"/>
          <w:szCs w:val="21"/>
        </w:rPr>
        <w:t>（3）承包人应按发包人提供的施工交通规划及本章第2.4节的规定，负责场内施工临时道路及其交通设施、设备的设计、施工、采购和配置、安装、运行和维护。</w:t>
      </w:r>
    </w:p>
    <w:p w14:paraId="6E930D0A">
      <w:pPr>
        <w:snapToGrid w:val="0"/>
        <w:spacing w:line="300" w:lineRule="auto"/>
        <w:ind w:firstLine="420" w:firstLineChars="200"/>
        <w:rPr>
          <w:rFonts w:ascii="宋体" w:hAnsi="宋体" w:eastAsia="宋体"/>
          <w:szCs w:val="21"/>
        </w:rPr>
      </w:pPr>
      <w:r>
        <w:rPr>
          <w:rFonts w:hint="eastAsia" w:ascii="宋体" w:hAnsi="宋体" w:eastAsia="宋体"/>
          <w:szCs w:val="21"/>
        </w:rPr>
        <w:t>（4）承包人应按本章第2.5～2.9节的规定，负责设计和配置施工供水、供电、供风、通信等施工临时设施。</w:t>
      </w:r>
    </w:p>
    <w:p w14:paraId="21207968">
      <w:pPr>
        <w:snapToGrid w:val="0"/>
        <w:spacing w:line="300" w:lineRule="auto"/>
        <w:ind w:firstLine="420" w:firstLineChars="200"/>
        <w:rPr>
          <w:rFonts w:ascii="宋体" w:hAnsi="宋体" w:eastAsia="宋体"/>
          <w:szCs w:val="21"/>
        </w:rPr>
      </w:pPr>
      <w:r>
        <w:rPr>
          <w:rFonts w:hint="eastAsia" w:ascii="宋体" w:hAnsi="宋体" w:eastAsia="宋体"/>
          <w:szCs w:val="21"/>
        </w:rPr>
        <w:t>（5）承包人应按本章第2.10～2.14节的规定，负责设计、建造砂石料加工系统、混凝土生产系统、钢筋加工、机械修配加工、汽车修理保养、仓储设施、弃渣场等的临时生产设施。</w:t>
      </w:r>
    </w:p>
    <w:p w14:paraId="459B3725">
      <w:pPr>
        <w:snapToGrid w:val="0"/>
        <w:spacing w:line="300" w:lineRule="auto"/>
        <w:ind w:firstLine="420" w:firstLineChars="200"/>
        <w:rPr>
          <w:rFonts w:ascii="宋体" w:hAnsi="宋体" w:eastAsia="宋体"/>
          <w:szCs w:val="21"/>
        </w:rPr>
      </w:pPr>
      <w:r>
        <w:rPr>
          <w:rFonts w:hint="eastAsia" w:ascii="宋体" w:hAnsi="宋体" w:eastAsia="宋体"/>
          <w:szCs w:val="21"/>
        </w:rPr>
        <w:t>（6）承包人应按本章第2.15节的规定，负责现场办公和生活建筑等临时设施的规划、布置、设计、施工和维护，并应对现场办公和生活建筑物的使用安全负责。</w:t>
      </w:r>
    </w:p>
    <w:p w14:paraId="5CB9162D">
      <w:pPr>
        <w:snapToGrid w:val="0"/>
        <w:spacing w:before="134" w:beforeLines="25" w:line="300" w:lineRule="auto"/>
        <w:ind w:firstLine="210" w:firstLineChars="100"/>
        <w:outlineLvl w:val="2"/>
        <w:rPr>
          <w:rFonts w:ascii="宋体" w:hAnsi="宋体" w:eastAsia="宋体"/>
          <w:b/>
          <w:bCs/>
          <w:szCs w:val="21"/>
        </w:rPr>
      </w:pPr>
      <w:bookmarkStart w:id="264" w:name="_Toc300084232"/>
      <w:bookmarkStart w:id="265" w:name="_Toc307415822"/>
      <w:bookmarkStart w:id="266" w:name="_Toc381798923"/>
      <w:bookmarkStart w:id="267" w:name="_Toc285029075"/>
      <w:bookmarkStart w:id="268" w:name="_Toc300071390"/>
      <w:bookmarkStart w:id="269" w:name="_Toc381819933"/>
      <w:r>
        <w:rPr>
          <w:rFonts w:hint="eastAsia" w:ascii="宋体" w:hAnsi="宋体" w:eastAsia="宋体"/>
          <w:b/>
          <w:bCs/>
          <w:szCs w:val="21"/>
        </w:rPr>
        <w:t>2.1.3主要提交文件</w:t>
      </w:r>
      <w:bookmarkEnd w:id="264"/>
      <w:bookmarkEnd w:id="265"/>
      <w:bookmarkEnd w:id="266"/>
      <w:bookmarkEnd w:id="267"/>
      <w:bookmarkEnd w:id="268"/>
      <w:bookmarkEnd w:id="269"/>
    </w:p>
    <w:p w14:paraId="43FC8C60">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承包人应按本技术条款第1.4.2条，以及批准的施工总布置设计和本章第2.4～2.15节的规定，编制各项施工临时设施的设计文件，提交监理人批准。其内容包括：</w:t>
      </w:r>
    </w:p>
    <w:p w14:paraId="2A48D993">
      <w:pPr>
        <w:snapToGrid w:val="0"/>
        <w:spacing w:line="300" w:lineRule="auto"/>
        <w:ind w:firstLine="420" w:firstLineChars="200"/>
        <w:rPr>
          <w:rFonts w:ascii="宋体" w:hAnsi="宋体" w:eastAsia="宋体"/>
          <w:szCs w:val="21"/>
        </w:rPr>
      </w:pPr>
      <w:r>
        <w:rPr>
          <w:rFonts w:hint="eastAsia" w:ascii="宋体" w:hAnsi="宋体" w:eastAsia="宋体"/>
          <w:szCs w:val="21"/>
        </w:rPr>
        <w:t>（1）施工临时设施布置图；</w:t>
      </w:r>
    </w:p>
    <w:p w14:paraId="634C1AE0">
      <w:pPr>
        <w:snapToGrid w:val="0"/>
        <w:spacing w:line="300" w:lineRule="auto"/>
        <w:ind w:firstLine="420" w:firstLineChars="200"/>
        <w:rPr>
          <w:rFonts w:ascii="宋体" w:hAnsi="宋体" w:eastAsia="宋体"/>
          <w:szCs w:val="21"/>
        </w:rPr>
      </w:pPr>
      <w:r>
        <w:rPr>
          <w:rFonts w:hint="eastAsia" w:ascii="宋体" w:hAnsi="宋体" w:eastAsia="宋体"/>
          <w:szCs w:val="21"/>
        </w:rPr>
        <w:t>（2）施工工艺流程和(或) 施工程序说明；</w:t>
      </w:r>
    </w:p>
    <w:p w14:paraId="779DE6B7">
      <w:pPr>
        <w:snapToGrid w:val="0"/>
        <w:spacing w:line="300" w:lineRule="auto"/>
        <w:ind w:firstLine="420" w:firstLineChars="200"/>
        <w:rPr>
          <w:rFonts w:ascii="宋体" w:hAnsi="宋体" w:eastAsia="宋体"/>
          <w:szCs w:val="21"/>
        </w:rPr>
      </w:pPr>
      <w:r>
        <w:rPr>
          <w:rFonts w:hint="eastAsia" w:ascii="宋体" w:hAnsi="宋体" w:eastAsia="宋体"/>
          <w:szCs w:val="21"/>
        </w:rPr>
        <w:t>（3）安全和环境保护措施；</w:t>
      </w:r>
    </w:p>
    <w:p w14:paraId="7C8C89A5">
      <w:pPr>
        <w:snapToGrid w:val="0"/>
        <w:spacing w:line="300" w:lineRule="auto"/>
        <w:ind w:firstLine="420" w:firstLineChars="200"/>
        <w:rPr>
          <w:rFonts w:ascii="宋体" w:hAnsi="宋体" w:eastAsia="宋体"/>
          <w:szCs w:val="21"/>
        </w:rPr>
      </w:pPr>
      <w:r>
        <w:rPr>
          <w:rFonts w:hint="eastAsia" w:ascii="宋体" w:hAnsi="宋体" w:eastAsia="宋体"/>
          <w:szCs w:val="21"/>
        </w:rPr>
        <w:t>（4）施工期运行管理方式。</w:t>
      </w:r>
    </w:p>
    <w:p w14:paraId="1979D62A">
      <w:pPr>
        <w:snapToGrid w:val="0"/>
        <w:spacing w:before="134" w:beforeLines="25" w:line="300" w:lineRule="auto"/>
        <w:ind w:firstLine="210" w:firstLineChars="100"/>
        <w:outlineLvl w:val="2"/>
        <w:rPr>
          <w:rFonts w:ascii="宋体" w:hAnsi="宋体" w:eastAsia="宋体"/>
          <w:b/>
          <w:bCs/>
          <w:szCs w:val="21"/>
        </w:rPr>
      </w:pPr>
      <w:bookmarkStart w:id="270" w:name="_Toc300084233"/>
      <w:bookmarkStart w:id="271" w:name="_Toc285029076"/>
      <w:bookmarkStart w:id="272" w:name="_Toc381819934"/>
      <w:bookmarkStart w:id="273" w:name="_Toc381798924"/>
      <w:bookmarkStart w:id="274" w:name="_Toc307415823"/>
      <w:bookmarkStart w:id="275" w:name="_Toc300071391"/>
      <w:r>
        <w:rPr>
          <w:rFonts w:hint="eastAsia" w:ascii="宋体" w:hAnsi="宋体" w:eastAsia="宋体"/>
          <w:b/>
          <w:bCs/>
          <w:szCs w:val="21"/>
        </w:rPr>
        <w:t>2.1.4引用标准</w:t>
      </w:r>
      <w:bookmarkEnd w:id="270"/>
      <w:bookmarkEnd w:id="271"/>
      <w:bookmarkEnd w:id="272"/>
      <w:bookmarkEnd w:id="273"/>
      <w:bookmarkEnd w:id="274"/>
      <w:bookmarkEnd w:id="275"/>
    </w:p>
    <w:p w14:paraId="185150C9">
      <w:pPr>
        <w:snapToGrid w:val="0"/>
        <w:spacing w:line="300" w:lineRule="auto"/>
        <w:ind w:firstLine="420" w:firstLineChars="200"/>
        <w:rPr>
          <w:rFonts w:ascii="宋体" w:hAnsi="宋体" w:eastAsia="宋体"/>
          <w:szCs w:val="21"/>
        </w:rPr>
      </w:pPr>
      <w:r>
        <w:rPr>
          <w:rFonts w:hint="eastAsia" w:ascii="宋体" w:hAnsi="宋体" w:eastAsia="宋体"/>
          <w:szCs w:val="21"/>
        </w:rPr>
        <w:t>（1）《生活饮用水卫生标准》(GB 5749-2006)；</w:t>
      </w:r>
    </w:p>
    <w:p w14:paraId="57767CB9">
      <w:pPr>
        <w:snapToGrid w:val="0"/>
        <w:spacing w:line="300" w:lineRule="auto"/>
        <w:ind w:firstLine="420" w:firstLineChars="200"/>
        <w:rPr>
          <w:rFonts w:ascii="宋体" w:hAnsi="宋体" w:eastAsia="宋体"/>
          <w:szCs w:val="21"/>
        </w:rPr>
      </w:pPr>
      <w:r>
        <w:rPr>
          <w:rFonts w:hint="eastAsia" w:ascii="宋体" w:hAnsi="宋体" w:eastAsia="宋体"/>
          <w:szCs w:val="21"/>
        </w:rPr>
        <w:t>（2）《水工建筑物地下开挖工程施工规范》(SL 378-2007)</w:t>
      </w:r>
    </w:p>
    <w:p w14:paraId="094B12A2">
      <w:pPr>
        <w:snapToGrid w:val="0"/>
        <w:spacing w:line="300" w:lineRule="auto"/>
        <w:ind w:firstLine="420" w:firstLineChars="200"/>
        <w:rPr>
          <w:rFonts w:ascii="宋体" w:hAnsi="宋体" w:eastAsia="宋体"/>
          <w:szCs w:val="21"/>
        </w:rPr>
      </w:pPr>
      <w:r>
        <w:rPr>
          <w:rFonts w:hint="eastAsia" w:ascii="宋体" w:hAnsi="宋体" w:eastAsia="宋体"/>
          <w:szCs w:val="21"/>
        </w:rPr>
        <w:t>（3）《水利水电工程施工组织设计规范》(SL 303-2017)；</w:t>
      </w:r>
    </w:p>
    <w:p w14:paraId="168F7A76">
      <w:pPr>
        <w:snapToGrid w:val="0"/>
        <w:spacing w:line="300" w:lineRule="auto"/>
        <w:ind w:firstLine="420" w:firstLineChars="200"/>
        <w:rPr>
          <w:rFonts w:ascii="宋体" w:hAnsi="宋体" w:eastAsia="宋体"/>
          <w:szCs w:val="21"/>
        </w:rPr>
      </w:pPr>
      <w:r>
        <w:rPr>
          <w:rFonts w:hint="eastAsia" w:ascii="宋体" w:hAnsi="宋体" w:eastAsia="宋体"/>
          <w:szCs w:val="21"/>
        </w:rPr>
        <w:t>（4）《水利水电工程施工测量规范》(SL 52-2015)。</w:t>
      </w:r>
      <w:bookmarkStart w:id="2877" w:name="_GoBack"/>
      <w:bookmarkEnd w:id="2877"/>
    </w:p>
    <w:p w14:paraId="067AC066">
      <w:pPr>
        <w:adjustRightInd w:val="0"/>
        <w:snapToGrid w:val="0"/>
        <w:spacing w:before="134" w:beforeLines="25" w:line="300" w:lineRule="auto"/>
        <w:outlineLvl w:val="1"/>
        <w:rPr>
          <w:rFonts w:ascii="宋体" w:hAnsi="宋体" w:eastAsia="宋体"/>
          <w:b/>
          <w:bCs/>
          <w:sz w:val="24"/>
          <w:szCs w:val="24"/>
        </w:rPr>
      </w:pPr>
      <w:bookmarkStart w:id="276" w:name="_Toc285029077"/>
      <w:bookmarkStart w:id="277" w:name="_Toc279250799"/>
      <w:bookmarkStart w:id="278" w:name="_Toc304279787"/>
      <w:bookmarkStart w:id="279" w:name="_Toc300084234"/>
      <w:bookmarkStart w:id="280" w:name="_Toc307419416"/>
      <w:bookmarkStart w:id="281" w:name="_Toc370238503"/>
      <w:bookmarkStart w:id="282" w:name="_Toc304280779"/>
      <w:bookmarkStart w:id="283" w:name="_Toc304280032"/>
      <w:bookmarkStart w:id="284" w:name="_Toc347385966"/>
      <w:bookmarkStart w:id="285" w:name="_Toc307416230"/>
      <w:bookmarkStart w:id="286" w:name="_Toc332353185"/>
      <w:bookmarkStart w:id="287" w:name="_Toc304280283"/>
      <w:bookmarkStart w:id="288" w:name="_Toc300071392"/>
      <w:bookmarkStart w:id="289" w:name="_Toc307485294"/>
      <w:bookmarkStart w:id="290" w:name="_Toc279248765"/>
      <w:bookmarkStart w:id="291" w:name="_Toc307415824"/>
      <w:bookmarkStart w:id="292" w:name="_Toc279247458"/>
      <w:bookmarkStart w:id="293" w:name="_Toc347385711"/>
      <w:bookmarkStart w:id="294" w:name="_Toc332293392"/>
      <w:bookmarkStart w:id="295" w:name="_Toc279247327"/>
      <w:bookmarkStart w:id="296" w:name="_Toc277693674"/>
      <w:bookmarkStart w:id="297" w:name="_Toc300071286"/>
      <w:bookmarkStart w:id="298" w:name="_Toc279249683"/>
      <w:bookmarkStart w:id="299" w:name="_Toc347386215"/>
      <w:bookmarkStart w:id="300" w:name="_Toc325040161"/>
      <w:bookmarkStart w:id="301" w:name="_Toc325020355"/>
      <w:bookmarkStart w:id="302" w:name="_Toc279246797"/>
      <w:bookmarkStart w:id="303" w:name="_Toc279248902"/>
      <w:bookmarkStart w:id="304" w:name="_Toc381819935"/>
      <w:bookmarkStart w:id="305" w:name="_Toc325020887"/>
      <w:bookmarkStart w:id="306" w:name="_Toc300084602"/>
      <w:bookmarkStart w:id="307" w:name="_Toc304280528"/>
      <w:bookmarkStart w:id="308" w:name="_Toc267484958"/>
      <w:bookmarkStart w:id="309" w:name="_Toc279245743"/>
      <w:bookmarkStart w:id="310" w:name="_Toc332616524"/>
      <w:bookmarkStart w:id="311" w:name="_Toc307417527"/>
      <w:bookmarkStart w:id="312" w:name="_Toc279247589"/>
      <w:bookmarkStart w:id="313" w:name="_Toc279243720"/>
      <w:bookmarkStart w:id="314" w:name="_Toc381798925"/>
      <w:r>
        <w:rPr>
          <w:rFonts w:hint="eastAsia" w:ascii="宋体" w:hAnsi="宋体" w:eastAsia="宋体"/>
          <w:b/>
          <w:bCs/>
          <w:sz w:val="24"/>
          <w:szCs w:val="24"/>
        </w:rPr>
        <w:t>2.2现场施工测量</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57B51647">
      <w:pPr>
        <w:snapToGrid w:val="0"/>
        <w:spacing w:line="300" w:lineRule="auto"/>
        <w:ind w:firstLine="420" w:firstLineChars="200"/>
        <w:rPr>
          <w:rFonts w:ascii="宋体" w:hAnsi="宋体" w:eastAsia="宋体"/>
          <w:szCs w:val="21"/>
        </w:rPr>
      </w:pPr>
      <w:bookmarkStart w:id="315" w:name="_Toc5101219"/>
      <w:bookmarkStart w:id="316" w:name="_Toc285029078"/>
      <w:bookmarkStart w:id="317" w:name="_Toc4502246"/>
      <w:bookmarkStart w:id="318" w:name="_Toc300071393"/>
      <w:bookmarkStart w:id="319" w:name="_Toc307415825"/>
      <w:bookmarkStart w:id="320" w:name="_Toc300084235"/>
      <w:r>
        <w:rPr>
          <w:rFonts w:hint="eastAsia" w:ascii="宋体" w:hAnsi="宋体" w:eastAsia="宋体"/>
          <w:szCs w:val="21"/>
        </w:rPr>
        <w:t>承包人应按本合同通用合同条款第8.1～8.4款的规定执行。</w:t>
      </w:r>
    </w:p>
    <w:bookmarkEnd w:id="315"/>
    <w:bookmarkEnd w:id="316"/>
    <w:bookmarkEnd w:id="317"/>
    <w:bookmarkEnd w:id="318"/>
    <w:bookmarkEnd w:id="319"/>
    <w:bookmarkEnd w:id="320"/>
    <w:p w14:paraId="28BF0105">
      <w:pPr>
        <w:adjustRightInd w:val="0"/>
        <w:snapToGrid w:val="0"/>
        <w:spacing w:before="134" w:beforeLines="25" w:line="300" w:lineRule="auto"/>
        <w:outlineLvl w:val="1"/>
        <w:rPr>
          <w:rFonts w:ascii="宋体" w:hAnsi="宋体" w:eastAsia="宋体"/>
          <w:b/>
          <w:bCs/>
          <w:sz w:val="24"/>
          <w:szCs w:val="24"/>
        </w:rPr>
      </w:pPr>
      <w:bookmarkStart w:id="321" w:name="_Toc307419417"/>
      <w:bookmarkStart w:id="322" w:name="_Toc279246798"/>
      <w:bookmarkStart w:id="323" w:name="_Toc279247328"/>
      <w:bookmarkStart w:id="324" w:name="_Toc347385712"/>
      <w:bookmarkStart w:id="325" w:name="_Toc300084237"/>
      <w:bookmarkStart w:id="326" w:name="_Toc304280780"/>
      <w:bookmarkStart w:id="327" w:name="_Toc304280529"/>
      <w:bookmarkStart w:id="328" w:name="_Toc307416231"/>
      <w:bookmarkStart w:id="329" w:name="_Toc381798926"/>
      <w:bookmarkStart w:id="330" w:name="_Toc300071395"/>
      <w:bookmarkStart w:id="331" w:name="_Toc267484959"/>
      <w:bookmarkStart w:id="332" w:name="_Toc304280033"/>
      <w:bookmarkStart w:id="333" w:name="_Toc279245744"/>
      <w:bookmarkStart w:id="334" w:name="_Toc279248766"/>
      <w:bookmarkStart w:id="335" w:name="_Toc279249684"/>
      <w:bookmarkStart w:id="336" w:name="_Toc279248903"/>
      <w:bookmarkStart w:id="337" w:name="_Toc285029080"/>
      <w:bookmarkStart w:id="338" w:name="_Toc304280284"/>
      <w:bookmarkStart w:id="339" w:name="_Toc325040162"/>
      <w:bookmarkStart w:id="340" w:name="_Toc325020356"/>
      <w:bookmarkStart w:id="341" w:name="_Toc307415827"/>
      <w:bookmarkStart w:id="342" w:name="_Toc325020888"/>
      <w:bookmarkStart w:id="343" w:name="_Toc370238504"/>
      <w:bookmarkStart w:id="344" w:name="_Toc279247459"/>
      <w:bookmarkStart w:id="345" w:name="_Toc304279788"/>
      <w:bookmarkStart w:id="346" w:name="_Toc277693675"/>
      <w:bookmarkStart w:id="347" w:name="_Toc307485295"/>
      <w:bookmarkStart w:id="348" w:name="_Toc279250800"/>
      <w:bookmarkStart w:id="349" w:name="_Toc332616525"/>
      <w:bookmarkStart w:id="350" w:name="_Toc307417528"/>
      <w:bookmarkStart w:id="351" w:name="_Toc347385967"/>
      <w:bookmarkStart w:id="352" w:name="_Toc279247590"/>
      <w:bookmarkStart w:id="353" w:name="_Toc279243721"/>
      <w:bookmarkStart w:id="354" w:name="_Toc332293393"/>
      <w:bookmarkStart w:id="355" w:name="_Toc332353186"/>
      <w:bookmarkStart w:id="356" w:name="_Toc347386216"/>
      <w:bookmarkStart w:id="357" w:name="_Toc381819936"/>
      <w:bookmarkStart w:id="358" w:name="_Toc300071287"/>
      <w:bookmarkStart w:id="359" w:name="_Toc300084603"/>
      <w:r>
        <w:rPr>
          <w:rFonts w:hint="eastAsia" w:ascii="宋体" w:hAnsi="宋体" w:eastAsia="宋体"/>
          <w:b/>
          <w:bCs/>
          <w:sz w:val="24"/>
          <w:szCs w:val="24"/>
        </w:rPr>
        <w:t>2.3现场试验</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7F07F0F3">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承包人应按本合同通用合同条款第14.2款、第14.3款的规定执行。</w:t>
      </w:r>
    </w:p>
    <w:p w14:paraId="13612426">
      <w:pPr>
        <w:adjustRightInd w:val="0"/>
        <w:snapToGrid w:val="0"/>
        <w:spacing w:before="134" w:beforeLines="25" w:line="300" w:lineRule="auto"/>
        <w:outlineLvl w:val="1"/>
        <w:rPr>
          <w:rFonts w:ascii="宋体" w:hAnsi="宋体" w:eastAsia="宋体"/>
          <w:b/>
          <w:bCs/>
          <w:sz w:val="24"/>
          <w:szCs w:val="24"/>
        </w:rPr>
      </w:pPr>
      <w:bookmarkStart w:id="360" w:name="_Toc279249685"/>
      <w:bookmarkStart w:id="361" w:name="_Toc285029083"/>
      <w:bookmarkStart w:id="362" w:name="_Toc279248904"/>
      <w:bookmarkStart w:id="363" w:name="_Toc279247460"/>
      <w:bookmarkStart w:id="364" w:name="_Toc347385968"/>
      <w:bookmarkStart w:id="365" w:name="_Toc307419418"/>
      <w:bookmarkStart w:id="366" w:name="_Toc279250801"/>
      <w:bookmarkStart w:id="367" w:name="_Toc300084240"/>
      <w:bookmarkStart w:id="368" w:name="_Toc279245745"/>
      <w:bookmarkStart w:id="369" w:name="_Toc279246799"/>
      <w:bookmarkStart w:id="370" w:name="_Toc300084604"/>
      <w:bookmarkStart w:id="371" w:name="_Toc304280285"/>
      <w:bookmarkStart w:id="372" w:name="_Toc381819937"/>
      <w:bookmarkStart w:id="373" w:name="_Toc304280034"/>
      <w:bookmarkStart w:id="374" w:name="_Toc307416232"/>
      <w:bookmarkStart w:id="375" w:name="_Toc332616526"/>
      <w:bookmarkStart w:id="376" w:name="_Toc279247591"/>
      <w:bookmarkStart w:id="377" w:name="_Toc279247329"/>
      <w:bookmarkStart w:id="378" w:name="_Toc381798927"/>
      <w:bookmarkStart w:id="379" w:name="_Toc304280781"/>
      <w:bookmarkStart w:id="380" w:name="_Toc277693676"/>
      <w:bookmarkStart w:id="381" w:name="_Toc347385713"/>
      <w:bookmarkStart w:id="382" w:name="_Toc325020889"/>
      <w:bookmarkStart w:id="383" w:name="_Toc304279789"/>
      <w:bookmarkStart w:id="384" w:name="_Toc304280530"/>
      <w:bookmarkStart w:id="385" w:name="_Toc300071288"/>
      <w:bookmarkStart w:id="386" w:name="_Toc347386217"/>
      <w:bookmarkStart w:id="387" w:name="_Toc279248767"/>
      <w:bookmarkStart w:id="388" w:name="_Toc332353187"/>
      <w:bookmarkStart w:id="389" w:name="_Toc307485296"/>
      <w:bookmarkStart w:id="390" w:name="_Toc370238505"/>
      <w:bookmarkStart w:id="391" w:name="_Toc332293394"/>
      <w:bookmarkStart w:id="392" w:name="_Toc307415830"/>
      <w:bookmarkStart w:id="393" w:name="_Toc279243722"/>
      <w:bookmarkStart w:id="394" w:name="_Toc267484960"/>
      <w:bookmarkStart w:id="395" w:name="_Toc307417529"/>
      <w:bookmarkStart w:id="396" w:name="_Toc325020357"/>
      <w:bookmarkStart w:id="397" w:name="_Toc325040163"/>
      <w:bookmarkStart w:id="398" w:name="_Toc300071398"/>
      <w:r>
        <w:rPr>
          <w:rFonts w:hint="eastAsia" w:ascii="宋体" w:hAnsi="宋体" w:eastAsia="宋体"/>
          <w:b/>
          <w:bCs/>
          <w:sz w:val="24"/>
          <w:szCs w:val="24"/>
        </w:rPr>
        <w:t>2.4施工交通</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34E61560">
      <w:pPr>
        <w:snapToGrid w:val="0"/>
        <w:spacing w:before="134" w:beforeLines="25" w:line="300" w:lineRule="auto"/>
        <w:ind w:firstLine="210" w:firstLineChars="100"/>
        <w:outlineLvl w:val="2"/>
        <w:rPr>
          <w:rFonts w:ascii="宋体" w:hAnsi="宋体" w:eastAsia="宋体"/>
          <w:b/>
          <w:bCs/>
          <w:szCs w:val="21"/>
        </w:rPr>
      </w:pPr>
      <w:bookmarkStart w:id="399" w:name="_Toc381819938"/>
      <w:bookmarkStart w:id="400" w:name="_Toc300071399"/>
      <w:bookmarkStart w:id="401" w:name="_Toc285029084"/>
      <w:bookmarkStart w:id="402" w:name="_Toc300084241"/>
      <w:bookmarkStart w:id="403" w:name="_Toc307415831"/>
      <w:bookmarkStart w:id="404" w:name="_Toc381798928"/>
      <w:r>
        <w:rPr>
          <w:rFonts w:hint="eastAsia" w:ascii="宋体" w:hAnsi="宋体" w:eastAsia="宋体"/>
          <w:b/>
          <w:bCs/>
          <w:szCs w:val="21"/>
        </w:rPr>
        <w:t>2.4.1场内施工道路</w:t>
      </w:r>
      <w:bookmarkEnd w:id="399"/>
      <w:bookmarkEnd w:id="400"/>
      <w:bookmarkEnd w:id="401"/>
      <w:bookmarkEnd w:id="402"/>
      <w:bookmarkEnd w:id="403"/>
      <w:bookmarkEnd w:id="404"/>
    </w:p>
    <w:p w14:paraId="6B67A189">
      <w:pPr>
        <w:snapToGrid w:val="0"/>
        <w:spacing w:line="300" w:lineRule="auto"/>
        <w:ind w:firstLine="420" w:firstLineChars="200"/>
        <w:rPr>
          <w:rFonts w:ascii="宋体" w:hAnsi="宋体" w:eastAsia="宋体"/>
          <w:szCs w:val="21"/>
        </w:rPr>
      </w:pPr>
      <w:r>
        <w:rPr>
          <w:rFonts w:hint="eastAsia" w:ascii="宋体" w:hAnsi="宋体" w:eastAsia="宋体"/>
          <w:szCs w:val="21"/>
        </w:rPr>
        <w:t>除本合同约定由发包人提供的施工道路外，承包人应负责修建本合同施工区内自发包人提供的道路至各施工点的全部施工道路、桥涵、交通隧道和停车场，并在合同实施期间负责管理和维护（包括管理和维护发包人提供的施工道路）。</w:t>
      </w:r>
    </w:p>
    <w:p w14:paraId="66413A92">
      <w:pPr>
        <w:snapToGrid w:val="0"/>
        <w:spacing w:before="134" w:beforeLines="25" w:line="300" w:lineRule="auto"/>
        <w:ind w:firstLine="210" w:firstLineChars="100"/>
        <w:outlineLvl w:val="2"/>
        <w:rPr>
          <w:rFonts w:ascii="宋体" w:hAnsi="宋体" w:eastAsia="宋体"/>
          <w:b/>
          <w:bCs/>
          <w:szCs w:val="21"/>
        </w:rPr>
      </w:pPr>
      <w:bookmarkStart w:id="405" w:name="_Toc381819939"/>
      <w:bookmarkStart w:id="406" w:name="_Toc381798929"/>
      <w:r>
        <w:rPr>
          <w:rFonts w:hint="eastAsia" w:ascii="宋体" w:hAnsi="宋体" w:eastAsia="宋体"/>
          <w:b/>
          <w:bCs/>
          <w:szCs w:val="21"/>
        </w:rPr>
        <w:t>2.4.2场外公共交通</w:t>
      </w:r>
      <w:bookmarkEnd w:id="405"/>
      <w:bookmarkEnd w:id="406"/>
    </w:p>
    <w:p w14:paraId="2C1F541A">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承包人应按本合同通用合同条款第7.3～7.5款的规定执行。</w:t>
      </w:r>
    </w:p>
    <w:p w14:paraId="64357813">
      <w:pPr>
        <w:adjustRightInd w:val="0"/>
        <w:snapToGrid w:val="0"/>
        <w:spacing w:before="134" w:beforeLines="25" w:line="300" w:lineRule="auto"/>
        <w:outlineLvl w:val="1"/>
        <w:rPr>
          <w:rFonts w:ascii="宋体" w:hAnsi="宋体" w:eastAsia="宋体"/>
          <w:b/>
          <w:bCs/>
          <w:sz w:val="24"/>
          <w:szCs w:val="24"/>
        </w:rPr>
      </w:pPr>
      <w:bookmarkStart w:id="407" w:name="_Toc307485297"/>
      <w:bookmarkStart w:id="408" w:name="_Toc370238506"/>
      <w:bookmarkStart w:id="409" w:name="_Toc300071289"/>
      <w:bookmarkStart w:id="410" w:name="_Toc279250802"/>
      <w:bookmarkStart w:id="411" w:name="_Toc267484961"/>
      <w:bookmarkStart w:id="412" w:name="_Toc307415832"/>
      <w:bookmarkStart w:id="413" w:name="_Toc279243723"/>
      <w:bookmarkStart w:id="414" w:name="_Toc307416233"/>
      <w:bookmarkStart w:id="415" w:name="_Toc300071400"/>
      <w:bookmarkStart w:id="416" w:name="_Toc381798930"/>
      <w:bookmarkStart w:id="417" w:name="_Toc279249686"/>
      <w:bookmarkStart w:id="418" w:name="_Toc279248768"/>
      <w:bookmarkStart w:id="419" w:name="_Toc279247592"/>
      <w:bookmarkStart w:id="420" w:name="_Toc279247330"/>
      <w:bookmarkStart w:id="421" w:name="_Toc325020890"/>
      <w:bookmarkStart w:id="422" w:name="_Toc347386218"/>
      <w:bookmarkStart w:id="423" w:name="_Toc304280286"/>
      <w:bookmarkStart w:id="424" w:name="_Toc307417530"/>
      <w:bookmarkStart w:id="425" w:name="_Toc347385969"/>
      <w:bookmarkStart w:id="426" w:name="_Toc279247461"/>
      <w:bookmarkStart w:id="427" w:name="_Toc279246800"/>
      <w:bookmarkStart w:id="428" w:name="_Toc279245746"/>
      <w:bookmarkStart w:id="429" w:name="_Toc307419419"/>
      <w:bookmarkStart w:id="430" w:name="_Toc304280035"/>
      <w:bookmarkStart w:id="431" w:name="_Toc304279790"/>
      <w:bookmarkStart w:id="432" w:name="_Toc332616527"/>
      <w:bookmarkStart w:id="433" w:name="_Toc300084242"/>
      <w:bookmarkStart w:id="434" w:name="_Toc381819940"/>
      <w:bookmarkStart w:id="435" w:name="_Toc277693677"/>
      <w:bookmarkStart w:id="436" w:name="_Toc285029085"/>
      <w:bookmarkStart w:id="437" w:name="_Toc325020358"/>
      <w:bookmarkStart w:id="438" w:name="_Toc325040164"/>
      <w:bookmarkStart w:id="439" w:name="_Toc300084605"/>
      <w:bookmarkStart w:id="440" w:name="_Toc332353188"/>
      <w:bookmarkStart w:id="441" w:name="_Toc279248905"/>
      <w:bookmarkStart w:id="442" w:name="_Toc304280782"/>
      <w:bookmarkStart w:id="443" w:name="_Toc347385714"/>
      <w:bookmarkStart w:id="444" w:name="_Toc304280531"/>
      <w:bookmarkStart w:id="445" w:name="_Toc332293395"/>
      <w:r>
        <w:rPr>
          <w:rFonts w:hint="eastAsia" w:ascii="宋体" w:hAnsi="宋体" w:eastAsia="宋体"/>
          <w:b/>
          <w:bCs/>
          <w:sz w:val="24"/>
          <w:szCs w:val="24"/>
        </w:rPr>
        <w:t>2.5施工供电</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14:paraId="756D3108">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承包人应按本合同通用合同条款第7.3～7.5款的规定执行。</w:t>
      </w:r>
    </w:p>
    <w:p w14:paraId="0BC73E7E">
      <w:pPr>
        <w:adjustRightInd w:val="0"/>
        <w:snapToGrid w:val="0"/>
        <w:spacing w:before="134" w:beforeLines="25" w:line="300" w:lineRule="auto"/>
        <w:outlineLvl w:val="1"/>
        <w:rPr>
          <w:rFonts w:ascii="宋体" w:hAnsi="宋体" w:eastAsia="宋体"/>
          <w:b/>
          <w:bCs/>
          <w:sz w:val="24"/>
          <w:szCs w:val="24"/>
        </w:rPr>
      </w:pPr>
      <w:bookmarkStart w:id="446" w:name="_Toc279249687"/>
      <w:bookmarkStart w:id="447" w:name="_Toc307419420"/>
      <w:bookmarkStart w:id="448" w:name="_Toc279245747"/>
      <w:bookmarkStart w:id="449" w:name="_Toc347385970"/>
      <w:bookmarkStart w:id="450" w:name="_Toc300084606"/>
      <w:bookmarkStart w:id="451" w:name="_Toc304280287"/>
      <w:bookmarkStart w:id="452" w:name="_Toc279248769"/>
      <w:bookmarkStart w:id="453" w:name="_Toc300084243"/>
      <w:bookmarkStart w:id="454" w:name="_Toc277693678"/>
      <w:bookmarkStart w:id="455" w:name="_Toc381819941"/>
      <w:bookmarkStart w:id="456" w:name="_Toc307485298"/>
      <w:bookmarkStart w:id="457" w:name="_Toc304280036"/>
      <w:bookmarkStart w:id="458" w:name="_Toc332616528"/>
      <w:bookmarkStart w:id="459" w:name="_Toc325020359"/>
      <w:bookmarkStart w:id="460" w:name="_Toc267484962"/>
      <w:bookmarkStart w:id="461" w:name="_Toc332353189"/>
      <w:bookmarkStart w:id="462" w:name="_Toc370238507"/>
      <w:bookmarkStart w:id="463" w:name="_Toc381798931"/>
      <w:bookmarkStart w:id="464" w:name="_Toc325040165"/>
      <w:bookmarkStart w:id="465" w:name="_Toc325020891"/>
      <w:bookmarkStart w:id="466" w:name="_Toc279247593"/>
      <w:bookmarkStart w:id="467" w:name="_Toc279246801"/>
      <w:bookmarkStart w:id="468" w:name="_Toc279248906"/>
      <w:bookmarkStart w:id="469" w:name="_Toc304280783"/>
      <w:bookmarkStart w:id="470" w:name="_Toc300071290"/>
      <w:bookmarkStart w:id="471" w:name="_Toc307415833"/>
      <w:bookmarkStart w:id="472" w:name="_Toc285029086"/>
      <w:bookmarkStart w:id="473" w:name="_Toc300071401"/>
      <w:bookmarkStart w:id="474" w:name="_Toc304280532"/>
      <w:bookmarkStart w:id="475" w:name="_Toc307416234"/>
      <w:bookmarkStart w:id="476" w:name="_Toc304279791"/>
      <w:bookmarkStart w:id="477" w:name="_Toc332293396"/>
      <w:bookmarkStart w:id="478" w:name="_Toc347385715"/>
      <w:bookmarkStart w:id="479" w:name="_Toc307417531"/>
      <w:bookmarkStart w:id="480" w:name="_Toc279243724"/>
      <w:bookmarkStart w:id="481" w:name="_Toc279250803"/>
      <w:bookmarkStart w:id="482" w:name="_Toc279247331"/>
      <w:bookmarkStart w:id="483" w:name="_Toc347386219"/>
      <w:bookmarkStart w:id="484" w:name="_Toc279247462"/>
      <w:r>
        <w:rPr>
          <w:rFonts w:hint="eastAsia" w:ascii="宋体" w:hAnsi="宋体" w:eastAsia="宋体"/>
          <w:b/>
          <w:bCs/>
          <w:sz w:val="24"/>
          <w:szCs w:val="24"/>
        </w:rPr>
        <w:t>2.6施工供水</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20AF18FD">
      <w:pPr>
        <w:snapToGrid w:val="0"/>
        <w:spacing w:line="300" w:lineRule="auto"/>
        <w:ind w:firstLine="420" w:firstLineChars="200"/>
        <w:rPr>
          <w:rFonts w:ascii="宋体" w:hAnsi="宋体" w:eastAsia="宋体"/>
          <w:szCs w:val="21"/>
        </w:rPr>
      </w:pPr>
      <w:r>
        <w:rPr>
          <w:rFonts w:hint="eastAsia" w:ascii="宋体" w:hAnsi="宋体" w:eastAsia="宋体"/>
          <w:szCs w:val="21"/>
        </w:rPr>
        <w:t>施工、生活用水由承包人自行解决，水质应符合GB5749-2006有关的规定。</w:t>
      </w:r>
    </w:p>
    <w:p w14:paraId="417C0CC4">
      <w:pPr>
        <w:adjustRightInd w:val="0"/>
        <w:snapToGrid w:val="0"/>
        <w:spacing w:before="134" w:beforeLines="25" w:line="300" w:lineRule="auto"/>
        <w:outlineLvl w:val="1"/>
        <w:rPr>
          <w:rFonts w:ascii="宋体" w:hAnsi="宋体" w:eastAsia="宋体"/>
          <w:b/>
          <w:bCs/>
          <w:sz w:val="24"/>
          <w:szCs w:val="24"/>
        </w:rPr>
      </w:pPr>
      <w:bookmarkStart w:id="485" w:name="_Toc381819942"/>
      <w:bookmarkStart w:id="486" w:name="_Toc266975310"/>
      <w:bookmarkStart w:id="487" w:name="_Toc381798932"/>
      <w:bookmarkStart w:id="488" w:name="_Toc370238508"/>
      <w:bookmarkStart w:id="489" w:name="_Toc307419421"/>
      <w:bookmarkStart w:id="490" w:name="_Toc300084607"/>
      <w:bookmarkStart w:id="491" w:name="_Toc267484963"/>
      <w:bookmarkStart w:id="492" w:name="_Toc279247463"/>
      <w:bookmarkStart w:id="493" w:name="_Toc279247332"/>
      <w:bookmarkStart w:id="494" w:name="_Toc347386220"/>
      <w:bookmarkStart w:id="495" w:name="_Toc347385971"/>
      <w:bookmarkStart w:id="496" w:name="_Toc307485299"/>
      <w:bookmarkStart w:id="497" w:name="_Toc285029087"/>
      <w:bookmarkStart w:id="498" w:name="_Toc277693679"/>
      <w:bookmarkStart w:id="499" w:name="_Toc304279792"/>
      <w:bookmarkStart w:id="500" w:name="_Toc279247594"/>
      <w:bookmarkStart w:id="501" w:name="_Toc304280533"/>
      <w:bookmarkStart w:id="502" w:name="_Toc300071402"/>
      <w:bookmarkStart w:id="503" w:name="_Toc279250804"/>
      <w:bookmarkStart w:id="504" w:name="_Toc300071291"/>
      <w:bookmarkStart w:id="505" w:name="_Toc279245748"/>
      <w:bookmarkStart w:id="506" w:name="_Toc307415834"/>
      <w:bookmarkStart w:id="507" w:name="_Toc325040166"/>
      <w:bookmarkStart w:id="508" w:name="_Toc332353190"/>
      <w:bookmarkStart w:id="509" w:name="_Toc307417532"/>
      <w:bookmarkStart w:id="510" w:name="_Toc279249688"/>
      <w:bookmarkStart w:id="511" w:name="_Toc279248907"/>
      <w:bookmarkStart w:id="512" w:name="_Toc300084244"/>
      <w:bookmarkStart w:id="513" w:name="_Toc347385716"/>
      <w:bookmarkStart w:id="514" w:name="_Toc279246802"/>
      <w:bookmarkStart w:id="515" w:name="_Toc304280288"/>
      <w:bookmarkStart w:id="516" w:name="_Toc304280784"/>
      <w:bookmarkStart w:id="517" w:name="_Toc332293397"/>
      <w:bookmarkStart w:id="518" w:name="_Toc279243725"/>
      <w:bookmarkStart w:id="519" w:name="_Toc279248770"/>
      <w:bookmarkStart w:id="520" w:name="_Toc332616529"/>
      <w:bookmarkStart w:id="521" w:name="_Toc307416235"/>
      <w:bookmarkStart w:id="522" w:name="_Toc325020892"/>
      <w:bookmarkStart w:id="523" w:name="_Toc325020360"/>
      <w:bookmarkStart w:id="524" w:name="_Toc304280037"/>
      <w:r>
        <w:rPr>
          <w:rFonts w:hint="eastAsia" w:ascii="宋体" w:hAnsi="宋体" w:eastAsia="宋体"/>
          <w:b/>
          <w:bCs/>
          <w:sz w:val="24"/>
          <w:szCs w:val="24"/>
        </w:rPr>
        <w:t>2.7施工供风</w:t>
      </w:r>
      <w:bookmarkEnd w:id="485"/>
      <w:bookmarkEnd w:id="486"/>
      <w:bookmarkEnd w:id="487"/>
      <w:bookmarkEnd w:id="488"/>
    </w:p>
    <w:p w14:paraId="09722970">
      <w:pPr>
        <w:snapToGrid w:val="0"/>
        <w:spacing w:line="300" w:lineRule="auto"/>
        <w:ind w:firstLine="420" w:firstLineChars="200"/>
        <w:rPr>
          <w:rFonts w:ascii="宋体" w:hAnsi="宋体" w:eastAsia="宋体"/>
          <w:szCs w:val="21"/>
        </w:rPr>
      </w:pPr>
      <w:r>
        <w:rPr>
          <w:rFonts w:hint="eastAsia" w:ascii="宋体" w:hAnsi="宋体" w:eastAsia="宋体"/>
          <w:szCs w:val="21"/>
        </w:rPr>
        <w:t>承包人应负责提供本合同工程所需的施工供风，包括负责施工供风系统的设计、建造、运行管理和维护。</w:t>
      </w:r>
    </w:p>
    <w:p w14:paraId="41A0DD87">
      <w:pPr>
        <w:adjustRightInd w:val="0"/>
        <w:snapToGrid w:val="0"/>
        <w:spacing w:before="134" w:beforeLines="25" w:line="300" w:lineRule="auto"/>
        <w:outlineLvl w:val="1"/>
        <w:rPr>
          <w:rFonts w:ascii="宋体" w:hAnsi="宋体" w:eastAsia="宋体"/>
          <w:b/>
          <w:bCs/>
          <w:sz w:val="24"/>
          <w:szCs w:val="24"/>
        </w:rPr>
      </w:pPr>
      <w:bookmarkStart w:id="525" w:name="_Toc381798933"/>
      <w:bookmarkStart w:id="526" w:name="_Toc381819943"/>
      <w:bookmarkStart w:id="527" w:name="_Toc370238509"/>
      <w:r>
        <w:rPr>
          <w:rFonts w:hint="eastAsia" w:ascii="宋体" w:hAnsi="宋体" w:eastAsia="宋体"/>
          <w:b/>
          <w:bCs/>
          <w:sz w:val="24"/>
          <w:szCs w:val="24"/>
        </w:rPr>
        <w:t>2.8施工照明</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14:paraId="6A16DAA9">
      <w:pPr>
        <w:snapToGrid w:val="0"/>
        <w:spacing w:line="300" w:lineRule="auto"/>
        <w:ind w:firstLine="420" w:firstLineChars="200"/>
        <w:rPr>
          <w:rFonts w:ascii="宋体" w:hAnsi="宋体" w:eastAsia="宋体"/>
          <w:szCs w:val="21"/>
        </w:rPr>
      </w:pPr>
      <w:r>
        <w:rPr>
          <w:rFonts w:hint="eastAsia" w:ascii="宋体" w:hAnsi="宋体" w:eastAsia="宋体"/>
          <w:szCs w:val="21"/>
        </w:rPr>
        <w:t>(1)承包人应负责设计、施工、采购、安装、管理和维修其工程所有施工作业区、办公区和生活区以及相关的道路、桥涵、交通隧道（包括施工支洞）在内的施工区照明线路和照明设施。各地下洞室施工作业区照明度应符合《水工建筑物地下开挖工程施工规范》(SL378-2007)第12.3.10条的规定。</w:t>
      </w:r>
    </w:p>
    <w:p w14:paraId="784225F6">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(2)承包人应按监理人指示，为进入现场工作的其它承包人施工和生活用电提供方便。</w:t>
      </w:r>
    </w:p>
    <w:p w14:paraId="6F184442">
      <w:pPr>
        <w:adjustRightInd w:val="0"/>
        <w:snapToGrid w:val="0"/>
        <w:spacing w:before="134" w:beforeLines="25" w:line="300" w:lineRule="auto"/>
        <w:outlineLvl w:val="1"/>
        <w:rPr>
          <w:rFonts w:ascii="宋体" w:hAnsi="宋体" w:eastAsia="宋体"/>
          <w:b/>
          <w:bCs/>
          <w:sz w:val="24"/>
          <w:szCs w:val="24"/>
        </w:rPr>
      </w:pPr>
      <w:bookmarkStart w:id="528" w:name="_Toc381819944"/>
      <w:bookmarkStart w:id="529" w:name="_Toc370238510"/>
      <w:bookmarkStart w:id="530" w:name="_Toc381798934"/>
      <w:r>
        <w:rPr>
          <w:rFonts w:hint="eastAsia" w:ascii="宋体" w:hAnsi="宋体" w:eastAsia="宋体"/>
          <w:b/>
          <w:bCs/>
          <w:sz w:val="24"/>
          <w:szCs w:val="24"/>
        </w:rPr>
        <w:t>2.9施工通信和邮政服务</w:t>
      </w:r>
      <w:bookmarkEnd w:id="528"/>
      <w:bookmarkEnd w:id="529"/>
      <w:bookmarkEnd w:id="530"/>
    </w:p>
    <w:p w14:paraId="01672CBE">
      <w:pPr>
        <w:snapToGrid w:val="0"/>
        <w:spacing w:line="300" w:lineRule="auto"/>
        <w:ind w:firstLine="420" w:firstLineChars="200"/>
        <w:rPr>
          <w:rFonts w:ascii="宋体" w:hAnsi="宋体" w:eastAsia="宋体"/>
          <w:szCs w:val="21"/>
        </w:rPr>
      </w:pPr>
      <w:r>
        <w:rPr>
          <w:rFonts w:hint="eastAsia" w:ascii="宋体" w:hAnsi="宋体" w:eastAsia="宋体"/>
          <w:szCs w:val="21"/>
        </w:rPr>
        <w:t>(1)除合同另有约定外，施工现场通信接口及一切通信设施均由承包人自行解决。</w:t>
      </w:r>
    </w:p>
    <w:p w14:paraId="1768E3D2">
      <w:pPr>
        <w:snapToGrid w:val="0"/>
        <w:spacing w:line="300" w:lineRule="auto"/>
        <w:ind w:firstLine="420" w:firstLineChars="200"/>
        <w:rPr>
          <w:rFonts w:ascii="宋体" w:hAnsi="宋体" w:eastAsia="宋体"/>
          <w:szCs w:val="21"/>
        </w:rPr>
      </w:pPr>
      <w:r>
        <w:rPr>
          <w:rFonts w:hint="eastAsia" w:ascii="宋体" w:hAnsi="宋体" w:eastAsia="宋体"/>
          <w:szCs w:val="21"/>
        </w:rPr>
        <w:t>(2)承包人应自行负责设计、施工、采购、安装、管理和维修其施工现场内部的通信服务设施。承包人应为发包人和其它承包人使用其内部通信设施提供方便。</w:t>
      </w:r>
    </w:p>
    <w:p w14:paraId="127F80CC">
      <w:pPr>
        <w:snapToGrid w:val="0"/>
        <w:spacing w:line="300" w:lineRule="auto"/>
        <w:ind w:firstLine="420" w:firstLineChars="200"/>
        <w:rPr>
          <w:rFonts w:ascii="宋体" w:hAnsi="宋体" w:eastAsia="宋体"/>
          <w:szCs w:val="21"/>
        </w:rPr>
      </w:pPr>
      <w:r>
        <w:rPr>
          <w:rFonts w:hint="eastAsia" w:ascii="宋体" w:hAnsi="宋体" w:eastAsia="宋体"/>
          <w:szCs w:val="21"/>
        </w:rPr>
        <w:t>(3)承包人应自行与当地邮政部门协商解决其施工现场邮政服务事宜。</w:t>
      </w:r>
    </w:p>
    <w:p w14:paraId="3E97AE22">
      <w:pPr>
        <w:adjustRightInd w:val="0"/>
        <w:snapToGrid w:val="0"/>
        <w:spacing w:before="134" w:beforeLines="25" w:line="300" w:lineRule="auto"/>
        <w:outlineLvl w:val="1"/>
        <w:rPr>
          <w:rFonts w:ascii="宋体" w:hAnsi="宋体" w:eastAsia="宋体"/>
          <w:b/>
          <w:bCs/>
          <w:sz w:val="24"/>
          <w:szCs w:val="24"/>
        </w:rPr>
      </w:pPr>
      <w:bookmarkStart w:id="531" w:name="_Toc381798935"/>
      <w:bookmarkStart w:id="532" w:name="_Toc370238511"/>
      <w:bookmarkStart w:id="533" w:name="_Toc381819945"/>
      <w:r>
        <w:rPr>
          <w:rFonts w:hint="eastAsia" w:ascii="宋体" w:hAnsi="宋体" w:eastAsia="宋体"/>
          <w:b/>
          <w:bCs/>
          <w:sz w:val="24"/>
          <w:szCs w:val="24"/>
        </w:rPr>
        <w:t>2.10砂石料场开采加工系统</w:t>
      </w:r>
      <w:bookmarkEnd w:id="531"/>
      <w:bookmarkEnd w:id="532"/>
      <w:bookmarkEnd w:id="533"/>
    </w:p>
    <w:p w14:paraId="486DDAA5">
      <w:pPr>
        <w:snapToGrid w:val="0"/>
        <w:spacing w:before="134" w:beforeLines="25" w:line="300" w:lineRule="auto"/>
        <w:ind w:firstLine="210" w:firstLineChars="100"/>
        <w:outlineLvl w:val="2"/>
        <w:rPr>
          <w:rFonts w:ascii="宋体" w:hAnsi="宋体" w:eastAsia="宋体"/>
          <w:b/>
          <w:bCs/>
          <w:szCs w:val="21"/>
        </w:rPr>
      </w:pPr>
      <w:bookmarkStart w:id="534" w:name="_Toc381798936"/>
      <w:bookmarkStart w:id="535" w:name="_Toc381819946"/>
      <w:r>
        <w:rPr>
          <w:rFonts w:hint="eastAsia" w:ascii="宋体" w:hAnsi="宋体" w:eastAsia="宋体"/>
          <w:b/>
          <w:bCs/>
          <w:szCs w:val="21"/>
        </w:rPr>
        <w:t>2.10.1承包人自建砂石料加工系统</w:t>
      </w:r>
      <w:bookmarkEnd w:id="534"/>
      <w:bookmarkEnd w:id="535"/>
    </w:p>
    <w:p w14:paraId="5CCC122A">
      <w:pPr>
        <w:snapToGrid w:val="0"/>
        <w:spacing w:line="300" w:lineRule="auto"/>
        <w:ind w:firstLine="420" w:firstLineChars="200"/>
        <w:rPr>
          <w:rFonts w:ascii="宋体" w:hAnsi="宋体" w:eastAsia="宋体"/>
          <w:szCs w:val="21"/>
        </w:rPr>
      </w:pPr>
      <w:r>
        <w:rPr>
          <w:rFonts w:hint="eastAsia" w:ascii="宋体" w:hAnsi="宋体" w:eastAsia="宋体"/>
          <w:szCs w:val="21"/>
        </w:rPr>
        <w:t>(1)承包人应负责提供本合同工程施工所需的全部砂石料，并负责砂石料加工系统的设计和施工以及开采加工设备的采购、安装、调试、运行、管理和维护。</w:t>
      </w:r>
    </w:p>
    <w:p w14:paraId="719EDE78">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(2)承包人应按批准的施工进度计划和各种砂石料和土料的需用量确定各项加工设备的生产能力和规模，进行加工、储存和供料平衡，并应满足高峰用量的要求。</w:t>
      </w:r>
    </w:p>
    <w:p w14:paraId="4C7BDF07">
      <w:pPr>
        <w:snapToGrid w:val="0"/>
        <w:spacing w:before="134" w:beforeLines="25" w:line="300" w:lineRule="auto"/>
        <w:ind w:firstLine="210" w:firstLineChars="100"/>
        <w:outlineLvl w:val="2"/>
        <w:rPr>
          <w:rFonts w:ascii="宋体" w:hAnsi="宋体" w:eastAsia="宋体"/>
          <w:b/>
          <w:bCs/>
          <w:szCs w:val="21"/>
        </w:rPr>
      </w:pPr>
      <w:bookmarkStart w:id="536" w:name="_Toc381798937"/>
      <w:bookmarkStart w:id="537" w:name="_Toc381819947"/>
      <w:r>
        <w:rPr>
          <w:rFonts w:hint="eastAsia" w:ascii="宋体" w:hAnsi="宋体" w:eastAsia="宋体"/>
          <w:b/>
          <w:bCs/>
          <w:szCs w:val="21"/>
        </w:rPr>
        <w:t>2.10.2发包人提供砂石料</w:t>
      </w:r>
      <w:bookmarkEnd w:id="536"/>
      <w:bookmarkEnd w:id="537"/>
    </w:p>
    <w:p w14:paraId="5441B601">
      <w:pPr>
        <w:snapToGrid w:val="0"/>
        <w:spacing w:line="300" w:lineRule="auto"/>
        <w:ind w:firstLine="420" w:firstLineChars="200"/>
        <w:rPr>
          <w:rFonts w:ascii="宋体" w:hAnsi="宋体" w:eastAsia="宋体"/>
          <w:szCs w:val="21"/>
        </w:rPr>
      </w:pPr>
      <w:r>
        <w:rPr>
          <w:rFonts w:hint="eastAsia" w:ascii="宋体" w:hAnsi="宋体" w:eastAsia="宋体"/>
          <w:szCs w:val="21"/>
        </w:rPr>
        <w:t>(1)发包人应按合同约定的质量标准提供砂石料。承包人应按技术条款的规定和施工图纸的要求，对发包人提供的砂石料进行抽样检验，确认合格后，才能使用。</w:t>
      </w:r>
    </w:p>
    <w:p w14:paraId="1BC7DFDA">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(2)承包人应按施工进度计划，在每年底前10天和每月底前5天向监理人提交下一年度和下一月度的砂石料需用计划。经监理人确认后，作为供货人供应砂石料的依据。</w:t>
      </w:r>
    </w:p>
    <w:p w14:paraId="72AFD85F">
      <w:pPr>
        <w:snapToGrid w:val="0"/>
        <w:spacing w:line="300" w:lineRule="auto"/>
        <w:ind w:firstLine="420" w:firstLineChars="200"/>
        <w:rPr>
          <w:rFonts w:ascii="宋体" w:hAnsi="宋体" w:eastAsia="宋体"/>
          <w:szCs w:val="21"/>
        </w:rPr>
      </w:pPr>
      <w:r>
        <w:rPr>
          <w:rFonts w:hint="eastAsia" w:ascii="宋体" w:hAnsi="宋体" w:eastAsia="宋体"/>
          <w:szCs w:val="21"/>
        </w:rPr>
        <w:t>(3)若供货人延误供应砂石料，应由发包人对承包人承担延误供货的责任，承包人有权根据对其工期的影响和工程损失情况向发包人提出索赔。</w:t>
      </w:r>
    </w:p>
    <w:p w14:paraId="67731D3C">
      <w:pPr>
        <w:adjustRightInd w:val="0"/>
        <w:snapToGrid w:val="0"/>
        <w:spacing w:before="134" w:beforeLines="25" w:line="300" w:lineRule="auto"/>
        <w:outlineLvl w:val="1"/>
        <w:rPr>
          <w:rFonts w:ascii="宋体" w:hAnsi="宋体" w:eastAsia="宋体"/>
          <w:b/>
          <w:bCs/>
          <w:sz w:val="24"/>
          <w:szCs w:val="24"/>
        </w:rPr>
      </w:pPr>
      <w:bookmarkStart w:id="538" w:name="_Toc381819948"/>
      <w:bookmarkStart w:id="539" w:name="_Toc381798938"/>
      <w:bookmarkStart w:id="540" w:name="_Toc370238512"/>
      <w:r>
        <w:rPr>
          <w:rFonts w:hint="eastAsia" w:ascii="宋体" w:hAnsi="宋体" w:eastAsia="宋体"/>
          <w:b/>
          <w:bCs/>
          <w:sz w:val="24"/>
          <w:szCs w:val="24"/>
        </w:rPr>
        <w:t>2.11混凝土生产系统</w:t>
      </w:r>
      <w:bookmarkEnd w:id="538"/>
      <w:bookmarkEnd w:id="539"/>
      <w:bookmarkEnd w:id="540"/>
    </w:p>
    <w:p w14:paraId="7221BE3A">
      <w:pPr>
        <w:snapToGrid w:val="0"/>
        <w:spacing w:before="134" w:beforeLines="25" w:line="300" w:lineRule="auto"/>
        <w:ind w:firstLine="210" w:firstLineChars="100"/>
        <w:outlineLvl w:val="2"/>
        <w:rPr>
          <w:rFonts w:ascii="宋体" w:hAnsi="宋体" w:eastAsia="宋体"/>
          <w:b/>
          <w:bCs/>
          <w:szCs w:val="21"/>
        </w:rPr>
      </w:pPr>
      <w:bookmarkStart w:id="541" w:name="_Toc381819949"/>
      <w:bookmarkStart w:id="542" w:name="_Toc381798939"/>
      <w:r>
        <w:rPr>
          <w:rFonts w:hint="eastAsia" w:ascii="宋体" w:hAnsi="宋体" w:eastAsia="宋体"/>
          <w:b/>
          <w:bCs/>
          <w:szCs w:val="21"/>
        </w:rPr>
        <w:t>2.11.1承包人自建混凝土生产系统</w:t>
      </w:r>
      <w:bookmarkEnd w:id="541"/>
      <w:bookmarkEnd w:id="542"/>
    </w:p>
    <w:p w14:paraId="15B8659C">
      <w:pPr>
        <w:snapToGrid w:val="0"/>
        <w:spacing w:line="300" w:lineRule="auto"/>
        <w:ind w:firstLine="420" w:firstLineChars="200"/>
        <w:rPr>
          <w:rFonts w:ascii="宋体" w:hAnsi="宋体" w:eastAsia="宋体"/>
          <w:szCs w:val="21"/>
        </w:rPr>
      </w:pPr>
      <w:r>
        <w:rPr>
          <w:rFonts w:hint="eastAsia" w:ascii="宋体" w:hAnsi="宋体" w:eastAsia="宋体"/>
          <w:szCs w:val="21"/>
        </w:rPr>
        <w:t>(1)若合同约定，由承包人自建混凝土生产系统，则承包人应按批准的施工总布置规划，进行混凝土生产系统（包括混凝土骨料储存系统）的设计和施工（包括场地的开挖、回填与平整）、混凝土浇筑设备和设施的采购、安装、调试、运行管理和维修，以及混凝土骨料储存和混凝土的拌和、运输等。承包人的混凝土生产系统还应做好场地排水和弃渣处理，以及防止污染环境等措施。</w:t>
      </w:r>
    </w:p>
    <w:p w14:paraId="4298FFA5">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(2)承包人应按施工图纸和本合同技术条款规定的温控要求，负责混凝土制冷（热）系统的设计和施工，并负责制冷（热）设备的采购、安装、调试、运行管理和维修。</w:t>
      </w:r>
    </w:p>
    <w:p w14:paraId="49474CD2">
      <w:pPr>
        <w:snapToGrid w:val="0"/>
        <w:spacing w:before="134" w:beforeLines="25" w:line="300" w:lineRule="auto"/>
        <w:ind w:firstLine="210" w:firstLineChars="100"/>
        <w:outlineLvl w:val="2"/>
        <w:rPr>
          <w:rFonts w:ascii="宋体" w:hAnsi="宋体" w:eastAsia="宋体"/>
          <w:b/>
          <w:bCs/>
          <w:szCs w:val="21"/>
        </w:rPr>
      </w:pPr>
      <w:bookmarkStart w:id="543" w:name="_Toc381819950"/>
      <w:bookmarkStart w:id="544" w:name="_Toc381798940"/>
      <w:r>
        <w:rPr>
          <w:rFonts w:hint="eastAsia" w:ascii="宋体" w:hAnsi="宋体" w:eastAsia="宋体"/>
          <w:b/>
          <w:bCs/>
          <w:szCs w:val="21"/>
        </w:rPr>
        <w:t>2.11.2发包人供应混凝土</w:t>
      </w:r>
      <w:bookmarkEnd w:id="543"/>
      <w:bookmarkEnd w:id="544"/>
    </w:p>
    <w:p w14:paraId="538A4F1B">
      <w:pPr>
        <w:snapToGrid w:val="0"/>
        <w:spacing w:line="300" w:lineRule="auto"/>
        <w:ind w:firstLine="420" w:firstLineChars="200"/>
        <w:rPr>
          <w:rFonts w:ascii="宋体" w:hAnsi="宋体" w:eastAsia="宋体"/>
          <w:szCs w:val="21"/>
        </w:rPr>
      </w:pPr>
      <w:r>
        <w:rPr>
          <w:rFonts w:hint="eastAsia" w:ascii="宋体" w:hAnsi="宋体" w:eastAsia="宋体"/>
          <w:szCs w:val="21"/>
        </w:rPr>
        <w:t>(1)发包人可向承包人供应本工程施工所需的各种混凝土，并与承包人签订混凝土供货协议。但发包人应对其混凝土的供货质量和供货进度承担责任。</w:t>
      </w:r>
    </w:p>
    <w:p w14:paraId="3B70C663">
      <w:pPr>
        <w:snapToGrid w:val="0"/>
        <w:spacing w:line="300" w:lineRule="auto"/>
        <w:ind w:firstLine="420" w:firstLineChars="200"/>
        <w:rPr>
          <w:rFonts w:ascii="宋体" w:hAnsi="宋体" w:eastAsia="宋体"/>
          <w:szCs w:val="21"/>
        </w:rPr>
      </w:pPr>
      <w:r>
        <w:rPr>
          <w:rFonts w:hint="eastAsia" w:ascii="宋体" w:hAnsi="宋体" w:eastAsia="宋体"/>
          <w:szCs w:val="21"/>
        </w:rPr>
        <w:t>(2)承包人应对拌和混凝土的水泥、砂石料、掺合料，以及混凝土的质量进行试验和抽样检验。若抽样检验结果证明混凝土质量不合格，承包人有权拒绝接受。</w:t>
      </w:r>
    </w:p>
    <w:p w14:paraId="7BE4AD21">
      <w:pPr>
        <w:snapToGrid w:val="0"/>
        <w:spacing w:line="300" w:lineRule="auto"/>
        <w:ind w:firstLine="420" w:firstLineChars="200"/>
        <w:rPr>
          <w:rFonts w:ascii="宋体" w:hAnsi="宋体" w:eastAsia="宋体"/>
          <w:szCs w:val="21"/>
        </w:rPr>
      </w:pPr>
      <w:r>
        <w:rPr>
          <w:rFonts w:hint="eastAsia" w:ascii="宋体" w:hAnsi="宋体" w:eastAsia="宋体"/>
          <w:szCs w:val="21"/>
        </w:rPr>
        <w:t>(3)承包人应按批准的施工进度计划，在每年底前10天和每月底前5天向监理人提交下一年度和下一月度的混凝土需用计划。经监理人确认后，作为发包人提供混凝土的依据。若承包人未按规定提交混凝土需用计划，则应由承包人自行承担由此影响施工的责任。</w:t>
      </w:r>
    </w:p>
    <w:p w14:paraId="7AB6A91F">
      <w:pPr>
        <w:snapToGrid w:val="0"/>
        <w:spacing w:line="300" w:lineRule="auto"/>
        <w:ind w:firstLine="420" w:firstLineChars="200"/>
        <w:rPr>
          <w:rFonts w:ascii="宋体" w:hAnsi="宋体" w:eastAsia="宋体"/>
          <w:szCs w:val="21"/>
        </w:rPr>
      </w:pPr>
      <w:r>
        <w:rPr>
          <w:rFonts w:hint="eastAsia" w:ascii="宋体" w:hAnsi="宋体" w:eastAsia="宋体"/>
          <w:szCs w:val="21"/>
        </w:rPr>
        <w:t>(4)若发包人延误供应合格的混凝土，应由发包人承担延误供货责任，承包人有权根据对其工期的影响和工程损失情况向发包人提出索赔。</w:t>
      </w:r>
    </w:p>
    <w:p w14:paraId="5C53BBC4">
      <w:pPr>
        <w:adjustRightInd w:val="0"/>
        <w:snapToGrid w:val="0"/>
        <w:spacing w:before="134" w:beforeLines="25" w:line="300" w:lineRule="auto"/>
        <w:outlineLvl w:val="1"/>
        <w:rPr>
          <w:rFonts w:ascii="宋体" w:hAnsi="宋体" w:eastAsia="宋体"/>
          <w:b/>
          <w:bCs/>
          <w:sz w:val="24"/>
          <w:szCs w:val="24"/>
        </w:rPr>
      </w:pPr>
      <w:bookmarkStart w:id="545" w:name="_Toc325040167"/>
      <w:bookmarkStart w:id="546" w:name="_Toc307416236"/>
      <w:bookmarkStart w:id="547" w:name="_Toc304280289"/>
      <w:bookmarkStart w:id="548" w:name="_Toc325020361"/>
      <w:bookmarkStart w:id="549" w:name="_Toc332616530"/>
      <w:bookmarkStart w:id="550" w:name="_Toc279248772"/>
      <w:bookmarkStart w:id="551" w:name="_Toc279247334"/>
      <w:bookmarkStart w:id="552" w:name="_Toc277693681"/>
      <w:bookmarkStart w:id="553" w:name="_Toc300071403"/>
      <w:bookmarkStart w:id="554" w:name="_Toc332293398"/>
      <w:bookmarkStart w:id="555" w:name="_Toc279250806"/>
      <w:bookmarkStart w:id="556" w:name="_Toc347386221"/>
      <w:bookmarkStart w:id="557" w:name="_Toc325020893"/>
      <w:bookmarkStart w:id="558" w:name="_Toc381819951"/>
      <w:bookmarkStart w:id="559" w:name="_Toc279245750"/>
      <w:bookmarkStart w:id="560" w:name="_Toc304280534"/>
      <w:bookmarkStart w:id="561" w:name="_Toc347385972"/>
      <w:bookmarkStart w:id="562" w:name="_Toc304280785"/>
      <w:bookmarkStart w:id="563" w:name="_Toc307417533"/>
      <w:bookmarkStart w:id="564" w:name="_Toc279247465"/>
      <w:bookmarkStart w:id="565" w:name="_Toc279246804"/>
      <w:bookmarkStart w:id="566" w:name="_Toc267484965"/>
      <w:bookmarkStart w:id="567" w:name="_Toc347385717"/>
      <w:bookmarkStart w:id="568" w:name="_Toc304280038"/>
      <w:bookmarkStart w:id="569" w:name="_Toc300071292"/>
      <w:bookmarkStart w:id="570" w:name="_Toc279248909"/>
      <w:bookmarkStart w:id="571" w:name="_Toc285029088"/>
      <w:bookmarkStart w:id="572" w:name="_Toc307415835"/>
      <w:bookmarkStart w:id="573" w:name="_Toc300084245"/>
      <w:bookmarkStart w:id="574" w:name="_Toc332353191"/>
      <w:bookmarkStart w:id="575" w:name="_Toc381798941"/>
      <w:bookmarkStart w:id="576" w:name="_Toc307485300"/>
      <w:bookmarkStart w:id="577" w:name="_Toc279247596"/>
      <w:bookmarkStart w:id="578" w:name="_Toc304279793"/>
      <w:bookmarkStart w:id="579" w:name="_Toc370238513"/>
      <w:bookmarkStart w:id="580" w:name="_Toc307419422"/>
      <w:bookmarkStart w:id="581" w:name="_Toc279249690"/>
      <w:bookmarkStart w:id="582" w:name="_Toc300084608"/>
      <w:bookmarkStart w:id="583" w:name="_Toc279243727"/>
      <w:r>
        <w:rPr>
          <w:rFonts w:hint="eastAsia" w:ascii="宋体" w:hAnsi="宋体" w:eastAsia="宋体"/>
          <w:b/>
          <w:bCs/>
          <w:sz w:val="24"/>
          <w:szCs w:val="24"/>
        </w:rPr>
        <w:t>2.12临时工厂设施</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14:paraId="3519A4CB">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承包人应按批准的施工总进度和施工图纸的要求，修建以下临时工厂设施，并各工厂设施施工前，将临时工厂设施的设计文件提交监理人批准。</w:t>
      </w:r>
    </w:p>
    <w:p w14:paraId="20EF916C">
      <w:pPr>
        <w:snapToGrid w:val="0"/>
        <w:spacing w:line="300" w:lineRule="auto"/>
        <w:ind w:firstLine="420" w:firstLineChars="200"/>
        <w:rPr>
          <w:rFonts w:ascii="宋体" w:hAnsi="宋体" w:eastAsia="宋体"/>
          <w:szCs w:val="21"/>
        </w:rPr>
      </w:pPr>
      <w:r>
        <w:rPr>
          <w:rFonts w:hint="eastAsia" w:ascii="宋体" w:hAnsi="宋体" w:eastAsia="宋体"/>
          <w:szCs w:val="21"/>
        </w:rPr>
        <w:t>(1)钢筋加工厂；</w:t>
      </w:r>
    </w:p>
    <w:p w14:paraId="6338CE9A">
      <w:pPr>
        <w:snapToGrid w:val="0"/>
        <w:spacing w:line="300" w:lineRule="auto"/>
        <w:ind w:firstLine="420" w:firstLineChars="200"/>
        <w:rPr>
          <w:rFonts w:ascii="宋体" w:hAnsi="宋体" w:eastAsia="宋体"/>
          <w:szCs w:val="21"/>
        </w:rPr>
      </w:pPr>
      <w:r>
        <w:rPr>
          <w:rFonts w:hint="eastAsia" w:ascii="宋体" w:hAnsi="宋体" w:eastAsia="宋体"/>
          <w:szCs w:val="21"/>
        </w:rPr>
        <w:t>(2)木材加工厂；</w:t>
      </w:r>
    </w:p>
    <w:p w14:paraId="6A9F824A">
      <w:pPr>
        <w:snapToGrid w:val="0"/>
        <w:spacing w:line="300" w:lineRule="auto"/>
        <w:ind w:firstLine="420" w:firstLineChars="200"/>
        <w:rPr>
          <w:rFonts w:ascii="宋体" w:hAnsi="宋体" w:eastAsia="宋体"/>
          <w:szCs w:val="21"/>
        </w:rPr>
      </w:pPr>
      <w:r>
        <w:rPr>
          <w:rFonts w:hint="eastAsia" w:ascii="宋体" w:hAnsi="宋体" w:eastAsia="宋体"/>
          <w:szCs w:val="21"/>
        </w:rPr>
        <w:t>(3)混凝土构件预制工厂；</w:t>
      </w:r>
    </w:p>
    <w:p w14:paraId="16C40255">
      <w:pPr>
        <w:snapToGrid w:val="0"/>
        <w:spacing w:line="300" w:lineRule="auto"/>
        <w:ind w:firstLine="420" w:firstLineChars="200"/>
        <w:rPr>
          <w:rFonts w:ascii="宋体" w:hAnsi="宋体" w:eastAsia="宋体"/>
          <w:szCs w:val="21"/>
        </w:rPr>
      </w:pPr>
      <w:r>
        <w:rPr>
          <w:rFonts w:hint="eastAsia" w:ascii="宋体" w:hAnsi="宋体" w:eastAsia="宋体"/>
          <w:szCs w:val="21"/>
        </w:rPr>
        <w:t>(4)机械修配工厂；</w:t>
      </w:r>
    </w:p>
    <w:p w14:paraId="5E370D3A">
      <w:pPr>
        <w:snapToGrid w:val="0"/>
        <w:spacing w:line="300" w:lineRule="auto"/>
        <w:ind w:firstLine="420" w:firstLineChars="200"/>
        <w:rPr>
          <w:rFonts w:ascii="宋体" w:hAnsi="宋体" w:eastAsia="宋体"/>
          <w:szCs w:val="21"/>
        </w:rPr>
      </w:pPr>
      <w:r>
        <w:rPr>
          <w:rFonts w:hint="eastAsia" w:ascii="宋体" w:hAnsi="宋体" w:eastAsia="宋体"/>
          <w:szCs w:val="21"/>
        </w:rPr>
        <w:t>(5)汽车保养站；</w:t>
      </w:r>
    </w:p>
    <w:p w14:paraId="1EAAFEA8">
      <w:pPr>
        <w:snapToGrid w:val="0"/>
        <w:spacing w:line="300" w:lineRule="auto"/>
        <w:ind w:firstLine="420" w:firstLineChars="200"/>
        <w:rPr>
          <w:rFonts w:ascii="宋体" w:hAnsi="宋体" w:eastAsia="宋体"/>
          <w:szCs w:val="21"/>
        </w:rPr>
      </w:pPr>
      <w:r>
        <w:rPr>
          <w:rFonts w:hint="eastAsia" w:ascii="宋体" w:hAnsi="宋体" w:eastAsia="宋体"/>
          <w:szCs w:val="21"/>
        </w:rPr>
        <w:t>(6)压力钢管和钢结构加工厂(包括预装配场地)。</w:t>
      </w:r>
    </w:p>
    <w:p w14:paraId="27A3E66E">
      <w:pPr>
        <w:adjustRightInd w:val="0"/>
        <w:snapToGrid w:val="0"/>
        <w:spacing w:before="134" w:beforeLines="25" w:line="300" w:lineRule="auto"/>
        <w:outlineLvl w:val="1"/>
        <w:rPr>
          <w:rFonts w:ascii="宋体" w:hAnsi="宋体" w:eastAsia="宋体"/>
          <w:b/>
          <w:bCs/>
          <w:sz w:val="24"/>
          <w:szCs w:val="24"/>
        </w:rPr>
      </w:pPr>
      <w:bookmarkStart w:id="584" w:name="_Toc300071404"/>
      <w:bookmarkStart w:id="585" w:name="_Toc304280290"/>
      <w:bookmarkStart w:id="586" w:name="_Toc307415836"/>
      <w:bookmarkStart w:id="587" w:name="_Toc332616531"/>
      <w:bookmarkStart w:id="588" w:name="_Toc370238514"/>
      <w:bookmarkStart w:id="589" w:name="_Toc279243728"/>
      <w:bookmarkStart w:id="590" w:name="_Toc304280535"/>
      <w:bookmarkStart w:id="591" w:name="_Toc332353192"/>
      <w:bookmarkStart w:id="592" w:name="_Toc332293399"/>
      <w:bookmarkStart w:id="593" w:name="_Toc279245751"/>
      <w:bookmarkStart w:id="594" w:name="_Toc279248773"/>
      <w:bookmarkStart w:id="595" w:name="_Toc279246805"/>
      <w:bookmarkStart w:id="596" w:name="_Toc279249691"/>
      <w:bookmarkStart w:id="597" w:name="_Toc307417534"/>
      <w:bookmarkStart w:id="598" w:name="_Toc381798942"/>
      <w:bookmarkStart w:id="599" w:name="_Toc300084609"/>
      <w:bookmarkStart w:id="600" w:name="_Toc279247597"/>
      <w:bookmarkStart w:id="601" w:name="_Toc304279794"/>
      <w:bookmarkStart w:id="602" w:name="_Toc304280039"/>
      <w:bookmarkStart w:id="603" w:name="_Toc279247335"/>
      <w:bookmarkStart w:id="604" w:name="_Toc300071293"/>
      <w:bookmarkStart w:id="605" w:name="_Toc347386222"/>
      <w:bookmarkStart w:id="606" w:name="_Toc325020894"/>
      <w:bookmarkStart w:id="607" w:name="_Toc325020362"/>
      <w:bookmarkStart w:id="608" w:name="_Toc307485301"/>
      <w:bookmarkStart w:id="609" w:name="_Toc279250807"/>
      <w:bookmarkStart w:id="610" w:name="_Toc285029089"/>
      <w:bookmarkStart w:id="611" w:name="_Toc347385973"/>
      <w:bookmarkStart w:id="612" w:name="_Toc307416237"/>
      <w:bookmarkStart w:id="613" w:name="_Toc279248910"/>
      <w:bookmarkStart w:id="614" w:name="_Toc347385718"/>
      <w:bookmarkStart w:id="615" w:name="_Toc307419423"/>
      <w:bookmarkStart w:id="616" w:name="_Toc267484966"/>
      <w:bookmarkStart w:id="617" w:name="_Toc300084246"/>
      <w:bookmarkStart w:id="618" w:name="_Toc325040168"/>
      <w:bookmarkStart w:id="619" w:name="_Toc304280786"/>
      <w:bookmarkStart w:id="620" w:name="_Toc277693682"/>
      <w:bookmarkStart w:id="621" w:name="_Toc279247466"/>
      <w:bookmarkStart w:id="622" w:name="_Toc381819952"/>
      <w:r>
        <w:rPr>
          <w:rFonts w:hint="eastAsia" w:ascii="宋体" w:hAnsi="宋体" w:eastAsia="宋体"/>
          <w:b/>
          <w:bCs/>
          <w:sz w:val="24"/>
          <w:szCs w:val="24"/>
        </w:rPr>
        <w:t>2.13仓库和堆、存料场</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794B354E">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（1）承包人应按批准的施工组织设计和合同进度计划的要求，修建本工程的仓库和堆、存料场，并在开始施工前，将仓库和堆、存料场的设计图纸与文件提交监理人批准。</w:t>
      </w:r>
    </w:p>
    <w:p w14:paraId="2114FE32">
      <w:pPr>
        <w:snapToGrid w:val="0"/>
        <w:spacing w:line="300" w:lineRule="auto"/>
        <w:ind w:firstLine="420" w:firstLineChars="200"/>
        <w:rPr>
          <w:rFonts w:ascii="宋体" w:hAnsi="宋体" w:eastAsia="宋体"/>
          <w:szCs w:val="21"/>
        </w:rPr>
      </w:pPr>
      <w:r>
        <w:rPr>
          <w:rFonts w:hint="eastAsia" w:ascii="宋体" w:hAnsi="宋体" w:eastAsia="宋体"/>
          <w:szCs w:val="21"/>
        </w:rPr>
        <w:t>（2）承包人应负责本合同工程所需的各项材料和设备仓库的设计、修建、管理和维护。</w:t>
      </w:r>
    </w:p>
    <w:p w14:paraId="53275B1E">
      <w:pPr>
        <w:snapToGrid w:val="0"/>
        <w:spacing w:line="300" w:lineRule="auto"/>
        <w:ind w:firstLine="420" w:firstLineChars="200"/>
        <w:rPr>
          <w:rFonts w:ascii="宋体" w:hAnsi="宋体" w:eastAsia="宋体"/>
          <w:szCs w:val="21"/>
        </w:rPr>
      </w:pPr>
      <w:r>
        <w:rPr>
          <w:rFonts w:hint="eastAsia" w:ascii="宋体" w:hAnsi="宋体" w:eastAsia="宋体"/>
          <w:szCs w:val="21"/>
        </w:rPr>
        <w:t>（3）除合同另有约定外，储存炸药、雷管和油料等特殊材料仓库应按监理人批准的地点进行布置和修建，并应严格遵守国家有关安全管理的规定。</w:t>
      </w:r>
    </w:p>
    <w:p w14:paraId="26B21276">
      <w:pPr>
        <w:adjustRightInd w:val="0"/>
        <w:snapToGrid w:val="0"/>
        <w:spacing w:before="134" w:beforeLines="25" w:line="300" w:lineRule="auto"/>
        <w:outlineLvl w:val="1"/>
        <w:rPr>
          <w:rFonts w:ascii="宋体" w:hAnsi="宋体" w:eastAsia="宋体"/>
          <w:b/>
          <w:bCs/>
          <w:sz w:val="24"/>
          <w:szCs w:val="24"/>
        </w:rPr>
      </w:pPr>
      <w:bookmarkStart w:id="623" w:name="_Toc279245752"/>
      <w:bookmarkStart w:id="624" w:name="_Toc325040169"/>
      <w:bookmarkStart w:id="625" w:name="_Toc307416238"/>
      <w:bookmarkStart w:id="626" w:name="_Toc279248774"/>
      <w:bookmarkStart w:id="627" w:name="_Toc347385719"/>
      <w:bookmarkStart w:id="628" w:name="_Toc279248911"/>
      <w:bookmarkStart w:id="629" w:name="_Toc381819953"/>
      <w:bookmarkStart w:id="630" w:name="_Toc277693683"/>
      <w:bookmarkStart w:id="631" w:name="_Toc347386223"/>
      <w:bookmarkStart w:id="632" w:name="_Toc307417535"/>
      <w:bookmarkStart w:id="633" w:name="_Toc279246806"/>
      <w:bookmarkStart w:id="634" w:name="_Toc300084247"/>
      <w:bookmarkStart w:id="635" w:name="_Toc381798943"/>
      <w:bookmarkStart w:id="636" w:name="_Toc279243729"/>
      <w:bookmarkStart w:id="637" w:name="_Toc279247467"/>
      <w:bookmarkStart w:id="638" w:name="_Toc325020363"/>
      <w:bookmarkStart w:id="639" w:name="_Toc307419424"/>
      <w:bookmarkStart w:id="640" w:name="_Toc304280291"/>
      <w:bookmarkStart w:id="641" w:name="_Toc304280040"/>
      <w:bookmarkStart w:id="642" w:name="_Toc267484967"/>
      <w:bookmarkStart w:id="643" w:name="_Toc300071294"/>
      <w:bookmarkStart w:id="644" w:name="_Toc285029090"/>
      <w:bookmarkStart w:id="645" w:name="_Toc325020895"/>
      <w:bookmarkStart w:id="646" w:name="_Toc304280536"/>
      <w:bookmarkStart w:id="647" w:name="_Toc279249692"/>
      <w:bookmarkStart w:id="648" w:name="_Toc332353193"/>
      <w:bookmarkStart w:id="649" w:name="_Toc300071405"/>
      <w:bookmarkStart w:id="650" w:name="_Toc279250808"/>
      <w:bookmarkStart w:id="651" w:name="_Toc332616532"/>
      <w:bookmarkStart w:id="652" w:name="_Toc279247336"/>
      <w:bookmarkStart w:id="653" w:name="_Toc347385974"/>
      <w:bookmarkStart w:id="654" w:name="_Toc304279795"/>
      <w:bookmarkStart w:id="655" w:name="_Toc304280787"/>
      <w:bookmarkStart w:id="656" w:name="_Toc307485302"/>
      <w:bookmarkStart w:id="657" w:name="_Toc370238515"/>
      <w:bookmarkStart w:id="658" w:name="_Toc307415837"/>
      <w:bookmarkStart w:id="659" w:name="_Toc300084610"/>
      <w:bookmarkStart w:id="660" w:name="_Toc332293400"/>
      <w:bookmarkStart w:id="661" w:name="_Toc279247598"/>
      <w:r>
        <w:rPr>
          <w:rFonts w:hint="eastAsia" w:ascii="宋体" w:hAnsi="宋体" w:eastAsia="宋体"/>
          <w:b/>
          <w:bCs/>
          <w:sz w:val="24"/>
          <w:szCs w:val="24"/>
        </w:rPr>
        <w:t>2.14弃渣场</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498AF693">
      <w:pPr>
        <w:snapToGrid w:val="0"/>
        <w:spacing w:line="300" w:lineRule="auto"/>
        <w:ind w:firstLine="420" w:firstLineChars="200"/>
        <w:rPr>
          <w:rFonts w:ascii="宋体" w:hAnsi="宋体" w:eastAsia="宋体"/>
          <w:szCs w:val="21"/>
        </w:rPr>
      </w:pPr>
      <w:r>
        <w:rPr>
          <w:rFonts w:hint="eastAsia" w:ascii="宋体" w:hAnsi="宋体" w:eastAsia="宋体"/>
          <w:szCs w:val="21"/>
        </w:rPr>
        <w:t>承包人应按监理人批准的环境保护措施计划，在弃渣场周围及场地内设置防洪和排水设施，防止冲刷弃渣，造成水土流失。</w:t>
      </w:r>
    </w:p>
    <w:p w14:paraId="4D234F1E">
      <w:pPr>
        <w:adjustRightInd w:val="0"/>
        <w:snapToGrid w:val="0"/>
        <w:spacing w:before="134" w:beforeLines="25" w:line="300" w:lineRule="auto"/>
        <w:outlineLvl w:val="1"/>
        <w:rPr>
          <w:rFonts w:ascii="宋体" w:hAnsi="宋体" w:eastAsia="宋体"/>
          <w:b/>
          <w:bCs/>
          <w:sz w:val="24"/>
          <w:szCs w:val="24"/>
        </w:rPr>
      </w:pPr>
      <w:bookmarkStart w:id="662" w:name="_Toc304279796"/>
      <w:bookmarkStart w:id="663" w:name="_Toc332293401"/>
      <w:bookmarkStart w:id="664" w:name="_Toc325020896"/>
      <w:bookmarkStart w:id="665" w:name="_Toc307485303"/>
      <w:bookmarkStart w:id="666" w:name="_Toc279247599"/>
      <w:bookmarkStart w:id="667" w:name="_Toc307416239"/>
      <w:bookmarkStart w:id="668" w:name="_Toc347385975"/>
      <w:bookmarkStart w:id="669" w:name="_Toc279248775"/>
      <w:bookmarkStart w:id="670" w:name="_Toc347386224"/>
      <w:bookmarkStart w:id="671" w:name="_Toc304280788"/>
      <w:bookmarkStart w:id="672" w:name="_Toc307415838"/>
      <w:bookmarkStart w:id="673" w:name="_Toc325040170"/>
      <w:bookmarkStart w:id="674" w:name="_Toc300084611"/>
      <w:bookmarkStart w:id="675" w:name="_Toc381798944"/>
      <w:bookmarkStart w:id="676" w:name="_Toc307419425"/>
      <w:bookmarkStart w:id="677" w:name="_Toc370238516"/>
      <w:bookmarkStart w:id="678" w:name="_Toc279247468"/>
      <w:bookmarkStart w:id="679" w:name="_Toc325020364"/>
      <w:bookmarkStart w:id="680" w:name="_Toc347385720"/>
      <w:bookmarkStart w:id="681" w:name="_Toc300071406"/>
      <w:bookmarkStart w:id="682" w:name="_Toc279245753"/>
      <w:bookmarkStart w:id="683" w:name="_Toc279246807"/>
      <w:bookmarkStart w:id="684" w:name="_Toc279248912"/>
      <w:bookmarkStart w:id="685" w:name="_Toc279243730"/>
      <w:bookmarkStart w:id="686" w:name="_Toc307417536"/>
      <w:bookmarkStart w:id="687" w:name="_Toc267484968"/>
      <w:bookmarkStart w:id="688" w:name="_Toc300084248"/>
      <w:bookmarkStart w:id="689" w:name="_Toc304280041"/>
      <w:bookmarkStart w:id="690" w:name="_Toc277693684"/>
      <w:bookmarkStart w:id="691" w:name="_Toc279250809"/>
      <w:bookmarkStart w:id="692" w:name="_Toc285029091"/>
      <w:bookmarkStart w:id="693" w:name="_Toc332616533"/>
      <w:bookmarkStart w:id="694" w:name="_Toc279249693"/>
      <w:bookmarkStart w:id="695" w:name="_Toc332353194"/>
      <w:bookmarkStart w:id="696" w:name="_Toc279247337"/>
      <w:bookmarkStart w:id="697" w:name="_Toc304280537"/>
      <w:bookmarkStart w:id="698" w:name="_Toc381819954"/>
      <w:bookmarkStart w:id="699" w:name="_Toc304280292"/>
      <w:bookmarkStart w:id="700" w:name="_Toc300071295"/>
      <w:r>
        <w:rPr>
          <w:rFonts w:hint="eastAsia" w:ascii="宋体" w:hAnsi="宋体" w:eastAsia="宋体"/>
          <w:b/>
          <w:bCs/>
          <w:sz w:val="24"/>
          <w:szCs w:val="24"/>
        </w:rPr>
        <w:t>2.15临时生产管理和生活设施</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14:paraId="4ED9C72B">
      <w:pPr>
        <w:snapToGrid w:val="0"/>
        <w:spacing w:before="134" w:beforeLines="25" w:line="300" w:lineRule="auto"/>
        <w:ind w:firstLine="210" w:firstLineChars="100"/>
        <w:outlineLvl w:val="2"/>
        <w:rPr>
          <w:rFonts w:ascii="宋体" w:hAnsi="宋体" w:eastAsia="宋体"/>
          <w:b/>
          <w:bCs/>
          <w:szCs w:val="21"/>
        </w:rPr>
      </w:pPr>
      <w:bookmarkStart w:id="701" w:name="_Toc381798945"/>
      <w:bookmarkStart w:id="702" w:name="_Toc381819955"/>
      <w:r>
        <w:rPr>
          <w:rFonts w:hint="eastAsia" w:ascii="宋体" w:hAnsi="宋体" w:eastAsia="宋体"/>
          <w:b/>
          <w:bCs/>
          <w:szCs w:val="21"/>
        </w:rPr>
        <w:t>2.15.1承包人临时生产管理和生活设施</w:t>
      </w:r>
      <w:bookmarkEnd w:id="701"/>
      <w:bookmarkEnd w:id="702"/>
    </w:p>
    <w:p w14:paraId="30D49AB6">
      <w:pPr>
        <w:snapToGrid w:val="0"/>
        <w:spacing w:line="300" w:lineRule="auto"/>
        <w:ind w:firstLine="420" w:firstLineChars="200"/>
        <w:rPr>
          <w:rFonts w:ascii="宋体" w:hAnsi="宋体" w:eastAsia="宋体"/>
          <w:szCs w:val="21"/>
        </w:rPr>
      </w:pPr>
      <w:r>
        <w:rPr>
          <w:rFonts w:hint="eastAsia" w:ascii="宋体" w:hAnsi="宋体" w:eastAsia="宋体"/>
          <w:szCs w:val="21"/>
        </w:rPr>
        <w:t>(1) 除合同另有约定外，承包人应负责其施工需要的全部临时生产管理与生活设施的设计、建造及其设备的采购、安装、管理和维护等。</w:t>
      </w:r>
    </w:p>
    <w:p w14:paraId="4D3D0CAA">
      <w:pPr>
        <w:snapToGrid w:val="0"/>
        <w:spacing w:line="300" w:lineRule="auto"/>
        <w:ind w:firstLine="420" w:firstLineChars="200"/>
        <w:rPr>
          <w:rFonts w:ascii="宋体" w:hAnsi="宋体" w:eastAsia="宋体"/>
          <w:szCs w:val="21"/>
        </w:rPr>
      </w:pPr>
      <w:r>
        <w:rPr>
          <w:rFonts w:hint="eastAsia" w:ascii="宋体" w:hAnsi="宋体" w:eastAsia="宋体"/>
          <w:szCs w:val="21"/>
        </w:rPr>
        <w:t>(2)承包人应在收到开工通知后的 3天内，按发包人批准的施工规划总布置，向监理人编制一份临时生产管理和生活设施的布置和房屋建筑物设计的图纸和文件提交监理人批准。</w:t>
      </w:r>
    </w:p>
    <w:p w14:paraId="0CB1B601">
      <w:pPr>
        <w:snapToGrid w:val="0"/>
        <w:spacing w:before="134" w:beforeLines="25" w:line="300" w:lineRule="auto"/>
        <w:ind w:firstLine="210" w:firstLineChars="100"/>
        <w:outlineLvl w:val="2"/>
        <w:rPr>
          <w:rFonts w:ascii="宋体" w:hAnsi="宋体" w:eastAsia="宋体"/>
          <w:b/>
          <w:bCs/>
          <w:szCs w:val="21"/>
        </w:rPr>
      </w:pPr>
      <w:bookmarkStart w:id="703" w:name="_Toc381819956"/>
      <w:bookmarkStart w:id="704" w:name="_Toc381798946"/>
      <w:r>
        <w:rPr>
          <w:rFonts w:hint="eastAsia" w:ascii="宋体" w:hAnsi="宋体" w:eastAsia="宋体"/>
          <w:b/>
          <w:bCs/>
          <w:szCs w:val="21"/>
        </w:rPr>
        <w:t>2.15.2发包人提供临时生产管理和生活设施</w:t>
      </w:r>
      <w:bookmarkEnd w:id="703"/>
      <w:bookmarkEnd w:id="704"/>
    </w:p>
    <w:p w14:paraId="60A33042">
      <w:pPr>
        <w:snapToGrid w:val="0"/>
        <w:spacing w:line="300" w:lineRule="auto"/>
        <w:ind w:firstLine="420" w:firstLineChars="200"/>
        <w:rPr>
          <w:rFonts w:ascii="宋体" w:hAnsi="宋体" w:eastAsia="宋体"/>
          <w:szCs w:val="21"/>
        </w:rPr>
      </w:pPr>
      <w:r>
        <w:rPr>
          <w:rFonts w:hint="eastAsia" w:ascii="宋体" w:hAnsi="宋体" w:eastAsia="宋体"/>
          <w:szCs w:val="21"/>
        </w:rPr>
        <w:t>发包人可将已建成的办公管理和生活房屋建筑及其设施提供给承包人使用。具体管理办法由发包人和承包人另行签订协议。</w:t>
      </w:r>
    </w:p>
    <w:p w14:paraId="422725FD">
      <w:pPr>
        <w:adjustRightInd w:val="0"/>
        <w:snapToGrid w:val="0"/>
        <w:spacing w:before="134" w:beforeLines="25" w:line="300" w:lineRule="auto"/>
        <w:outlineLvl w:val="1"/>
        <w:rPr>
          <w:rFonts w:ascii="宋体" w:hAnsi="宋体" w:eastAsia="宋体"/>
          <w:b/>
          <w:bCs/>
          <w:sz w:val="24"/>
          <w:szCs w:val="24"/>
        </w:rPr>
      </w:pPr>
      <w:bookmarkStart w:id="705" w:name="_Toc307419426"/>
      <w:bookmarkStart w:id="706" w:name="_Toc279247469"/>
      <w:bookmarkStart w:id="707" w:name="_Toc332353195"/>
      <w:bookmarkStart w:id="708" w:name="_Toc300071407"/>
      <w:bookmarkStart w:id="709" w:name="_Toc347385721"/>
      <w:bookmarkStart w:id="710" w:name="_Toc332616534"/>
      <w:bookmarkStart w:id="711" w:name="_Toc307417537"/>
      <w:bookmarkStart w:id="712" w:name="_Toc300084249"/>
      <w:bookmarkStart w:id="713" w:name="_Toc347386225"/>
      <w:bookmarkStart w:id="714" w:name="_Toc279243731"/>
      <w:bookmarkStart w:id="715" w:name="_Toc279249694"/>
      <w:bookmarkStart w:id="716" w:name="_Toc325020365"/>
      <w:bookmarkStart w:id="717" w:name="_Toc300084612"/>
      <w:bookmarkStart w:id="718" w:name="_Toc307416240"/>
      <w:bookmarkStart w:id="719" w:name="_Toc347385976"/>
      <w:bookmarkStart w:id="720" w:name="_Toc304279797"/>
      <w:bookmarkStart w:id="721" w:name="_Toc307485304"/>
      <w:bookmarkStart w:id="722" w:name="_Toc381819957"/>
      <w:bookmarkStart w:id="723" w:name="_Toc325040171"/>
      <w:bookmarkStart w:id="724" w:name="_Toc279248913"/>
      <w:bookmarkStart w:id="725" w:name="_Toc332293402"/>
      <w:bookmarkStart w:id="726" w:name="_Toc277693685"/>
      <w:bookmarkStart w:id="727" w:name="_Toc279250810"/>
      <w:bookmarkStart w:id="728" w:name="_Toc285029092"/>
      <w:bookmarkStart w:id="729" w:name="_Toc304280789"/>
      <w:bookmarkStart w:id="730" w:name="_Toc325020897"/>
      <w:bookmarkStart w:id="731" w:name="_Toc279247338"/>
      <w:bookmarkStart w:id="732" w:name="_Toc267484969"/>
      <w:bookmarkStart w:id="733" w:name="_Toc279245754"/>
      <w:bookmarkStart w:id="734" w:name="_Toc304280538"/>
      <w:bookmarkStart w:id="735" w:name="_Toc381798947"/>
      <w:bookmarkStart w:id="736" w:name="_Toc370238517"/>
      <w:bookmarkStart w:id="737" w:name="_Toc304280293"/>
      <w:bookmarkStart w:id="738" w:name="_Toc279248776"/>
      <w:bookmarkStart w:id="739" w:name="_Toc279246808"/>
      <w:bookmarkStart w:id="740" w:name="_Toc279247600"/>
      <w:bookmarkStart w:id="741" w:name="_Toc300071296"/>
      <w:bookmarkStart w:id="742" w:name="_Toc304280042"/>
      <w:r>
        <w:rPr>
          <w:rFonts w:hint="eastAsia" w:ascii="宋体" w:hAnsi="宋体" w:eastAsia="宋体"/>
          <w:b/>
          <w:bCs/>
          <w:sz w:val="24"/>
          <w:szCs w:val="24"/>
        </w:rPr>
        <w:t>2.16计量和支付</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14:paraId="7C37356E">
      <w:pPr>
        <w:snapToGrid w:val="0"/>
        <w:spacing w:before="134" w:beforeLines="25" w:line="300" w:lineRule="auto"/>
        <w:ind w:firstLine="210" w:firstLineChars="100"/>
        <w:outlineLvl w:val="2"/>
        <w:rPr>
          <w:rFonts w:ascii="宋体" w:hAnsi="宋体" w:eastAsia="宋体"/>
          <w:b/>
          <w:bCs/>
          <w:szCs w:val="21"/>
        </w:rPr>
      </w:pPr>
      <w:bookmarkStart w:id="743" w:name="_Toc381819958"/>
      <w:bookmarkStart w:id="744" w:name="_Toc300084250"/>
      <w:bookmarkStart w:id="745" w:name="_Toc300071408"/>
      <w:bookmarkStart w:id="746" w:name="_Toc285029093"/>
      <w:bookmarkStart w:id="747" w:name="_Toc381798948"/>
      <w:r>
        <w:rPr>
          <w:rFonts w:hint="eastAsia" w:ascii="宋体" w:hAnsi="宋体" w:eastAsia="宋体"/>
          <w:b/>
          <w:bCs/>
          <w:szCs w:val="21"/>
        </w:rPr>
        <w:t>2.16.1现场施工测量</w:t>
      </w:r>
      <w:bookmarkEnd w:id="743"/>
      <w:bookmarkEnd w:id="744"/>
      <w:bookmarkEnd w:id="745"/>
      <w:bookmarkEnd w:id="746"/>
      <w:bookmarkEnd w:id="747"/>
    </w:p>
    <w:p w14:paraId="47C2578B">
      <w:pPr>
        <w:snapToGrid w:val="0"/>
        <w:spacing w:line="300" w:lineRule="auto"/>
        <w:ind w:firstLine="420" w:firstLineChars="200"/>
        <w:rPr>
          <w:rFonts w:ascii="宋体" w:hAnsi="宋体" w:eastAsia="宋体"/>
          <w:szCs w:val="21"/>
        </w:rPr>
      </w:pPr>
      <w:r>
        <w:rPr>
          <w:rFonts w:hint="eastAsia" w:ascii="宋体" w:hAnsi="宋体" w:eastAsia="宋体"/>
          <w:szCs w:val="21"/>
        </w:rPr>
        <w:t>现场施工测量(包括根据合同约定由承包人测设的施工控制网、工程施工阶段的全部施工测量放样工作等)所需费用摊销在相应单价子目中。发包人不另行支付。</w:t>
      </w:r>
    </w:p>
    <w:p w14:paraId="36B6C9D1">
      <w:pPr>
        <w:snapToGrid w:val="0"/>
        <w:spacing w:before="134" w:beforeLines="25" w:line="300" w:lineRule="auto"/>
        <w:ind w:firstLine="210" w:firstLineChars="100"/>
        <w:outlineLvl w:val="2"/>
        <w:rPr>
          <w:rFonts w:ascii="宋体" w:hAnsi="宋体" w:eastAsia="宋体"/>
          <w:b/>
          <w:bCs/>
          <w:szCs w:val="21"/>
        </w:rPr>
      </w:pPr>
      <w:bookmarkStart w:id="748" w:name="_Toc285029094"/>
      <w:bookmarkStart w:id="749" w:name="_Toc300084251"/>
      <w:bookmarkStart w:id="750" w:name="_Toc381798949"/>
      <w:bookmarkStart w:id="751" w:name="_Toc300071409"/>
      <w:bookmarkStart w:id="752" w:name="_Toc381819959"/>
      <w:r>
        <w:rPr>
          <w:rFonts w:hint="eastAsia" w:ascii="宋体" w:hAnsi="宋体" w:eastAsia="宋体"/>
          <w:b/>
          <w:bCs/>
          <w:szCs w:val="21"/>
        </w:rPr>
        <w:t>2.16.2现场试验</w:t>
      </w:r>
      <w:bookmarkEnd w:id="748"/>
      <w:bookmarkEnd w:id="749"/>
      <w:bookmarkEnd w:id="750"/>
      <w:bookmarkEnd w:id="751"/>
      <w:bookmarkEnd w:id="752"/>
    </w:p>
    <w:p w14:paraId="1555FB0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(1)现场室内试验</w:t>
      </w:r>
    </w:p>
    <w:p w14:paraId="2024BAEB">
      <w:pPr>
        <w:snapToGrid w:val="0"/>
        <w:spacing w:line="300" w:lineRule="auto"/>
        <w:ind w:firstLine="420" w:firstLineChars="200"/>
        <w:rPr>
          <w:rFonts w:ascii="宋体" w:hAnsi="宋体" w:eastAsia="宋体"/>
          <w:szCs w:val="21"/>
        </w:rPr>
      </w:pPr>
      <w:r>
        <w:rPr>
          <w:rFonts w:hint="eastAsia" w:ascii="宋体" w:hAnsi="宋体" w:eastAsia="宋体"/>
          <w:szCs w:val="21"/>
        </w:rPr>
        <w:t>承包人现场试验室的建设费用，均包含在《工程量清单》相应项目的工程单价中，发包人不另行支付。</w:t>
      </w:r>
    </w:p>
    <w:p w14:paraId="2FDEC0E4">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(2)现场工艺试验</w:t>
      </w:r>
    </w:p>
    <w:p w14:paraId="6AF84DE7">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除合同另有约定外，现场工艺试验所需费用，均包含在《工程量清单》相应项目的工程单价中，发包人不另行支付。</w:t>
      </w:r>
    </w:p>
    <w:p w14:paraId="10302896">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(3)现场生产性试验</w:t>
      </w:r>
    </w:p>
    <w:p w14:paraId="1B8034BA">
      <w:pPr>
        <w:snapToGrid w:val="0"/>
        <w:spacing w:line="300" w:lineRule="auto"/>
        <w:ind w:firstLine="420" w:firstLineChars="200"/>
        <w:rPr>
          <w:rFonts w:ascii="宋体" w:hAnsi="宋体" w:eastAsia="宋体"/>
          <w:szCs w:val="21"/>
        </w:rPr>
      </w:pPr>
      <w:r>
        <w:rPr>
          <w:rFonts w:hint="eastAsia" w:ascii="宋体" w:hAnsi="宋体" w:eastAsia="宋体"/>
          <w:szCs w:val="21"/>
        </w:rPr>
        <w:t>各项生产性试验费用均包含在《工程量清单》相应项目的工程单价中，发包人不另行支付。</w:t>
      </w:r>
    </w:p>
    <w:p w14:paraId="3DE075AD">
      <w:pPr>
        <w:snapToGrid w:val="0"/>
        <w:spacing w:before="134" w:beforeLines="25" w:line="300" w:lineRule="auto"/>
        <w:ind w:firstLine="210" w:firstLineChars="100"/>
        <w:outlineLvl w:val="2"/>
        <w:rPr>
          <w:rFonts w:ascii="宋体" w:hAnsi="宋体" w:eastAsia="宋体"/>
          <w:b/>
          <w:bCs/>
          <w:szCs w:val="21"/>
        </w:rPr>
      </w:pPr>
      <w:bookmarkStart w:id="753" w:name="_Toc381798950"/>
      <w:bookmarkStart w:id="754" w:name="_Toc285029095"/>
      <w:bookmarkStart w:id="755" w:name="_Toc300071410"/>
      <w:bookmarkStart w:id="756" w:name="_Toc381819960"/>
      <w:bookmarkStart w:id="757" w:name="_Toc300084252"/>
      <w:r>
        <w:rPr>
          <w:rFonts w:hint="eastAsia" w:ascii="宋体" w:hAnsi="宋体" w:eastAsia="宋体"/>
          <w:b/>
          <w:bCs/>
          <w:szCs w:val="21"/>
        </w:rPr>
        <w:t>2.16.3施工交通设施</w:t>
      </w:r>
      <w:bookmarkEnd w:id="753"/>
      <w:bookmarkEnd w:id="754"/>
      <w:bookmarkEnd w:id="755"/>
      <w:bookmarkEnd w:id="756"/>
      <w:bookmarkEnd w:id="757"/>
    </w:p>
    <w:p w14:paraId="151F4996">
      <w:pPr>
        <w:snapToGrid w:val="0"/>
        <w:spacing w:line="300" w:lineRule="auto"/>
        <w:ind w:firstLine="420" w:firstLineChars="200"/>
        <w:rPr>
          <w:rFonts w:ascii="宋体" w:hAnsi="宋体" w:eastAsia="宋体"/>
          <w:szCs w:val="21"/>
        </w:rPr>
      </w:pPr>
      <w:r>
        <w:rPr>
          <w:rFonts w:hint="eastAsia" w:ascii="宋体" w:hAnsi="宋体" w:eastAsia="宋体"/>
          <w:szCs w:val="21"/>
        </w:rPr>
        <w:t>(1)除合同另有约定外，承包人根据合同要求完成场内施工道路的建设和施工期的管理维护工作所需的费用均包含在《工程量清单》相应项目的工程单价中，发包人不另行支付。</w:t>
      </w:r>
    </w:p>
    <w:p w14:paraId="4456993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(2)场外公共交通的费用，除合同约定由承包人为场外公共交通修建和（或）维护的临时设施外，承包人在施工场地外的一切交通费用，均由承包人自行承担，发包人不另行支付。</w:t>
      </w:r>
    </w:p>
    <w:p w14:paraId="6D816FB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(3)承包人承担的超大、超重件的运输费用，均由承包人自行负责，发包人不另行支付。超大、超重件的尺寸或重量超出合同约定的限度时，增加的费用由发包人承担。</w:t>
      </w:r>
    </w:p>
    <w:p w14:paraId="2ADD86B4">
      <w:pPr>
        <w:snapToGrid w:val="0"/>
        <w:spacing w:before="134" w:beforeLines="25" w:line="300" w:lineRule="auto"/>
        <w:ind w:firstLine="210" w:firstLineChars="100"/>
        <w:outlineLvl w:val="2"/>
        <w:rPr>
          <w:rFonts w:ascii="宋体" w:hAnsi="宋体" w:eastAsia="宋体"/>
          <w:b/>
          <w:bCs/>
          <w:szCs w:val="21"/>
        </w:rPr>
      </w:pPr>
      <w:bookmarkStart w:id="758" w:name="_Toc285029096"/>
      <w:bookmarkStart w:id="759" w:name="_Toc381798951"/>
      <w:bookmarkStart w:id="760" w:name="_Toc381819961"/>
      <w:bookmarkStart w:id="761" w:name="_Toc300084253"/>
      <w:bookmarkStart w:id="762" w:name="_Toc300071411"/>
      <w:r>
        <w:rPr>
          <w:rFonts w:hint="eastAsia" w:ascii="宋体" w:hAnsi="宋体" w:eastAsia="宋体"/>
          <w:b/>
          <w:bCs/>
          <w:szCs w:val="21"/>
        </w:rPr>
        <w:t>2.16.4施工及生活供电设施</w:t>
      </w:r>
      <w:bookmarkEnd w:id="758"/>
      <w:bookmarkEnd w:id="759"/>
      <w:bookmarkEnd w:id="760"/>
      <w:bookmarkEnd w:id="761"/>
      <w:bookmarkEnd w:id="762"/>
    </w:p>
    <w:p w14:paraId="5DA619A4">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除合同另有约定外，承包人根据合同要求完成施工用电设施的建设、移设和拆除工作所需的费用，</w:t>
      </w:r>
      <w:bookmarkStart w:id="763" w:name="_Toc285029097"/>
      <w:bookmarkStart w:id="764" w:name="_Toc300071412"/>
      <w:bookmarkStart w:id="765" w:name="_Toc300084254"/>
      <w:r>
        <w:rPr>
          <w:rFonts w:hint="eastAsia" w:ascii="宋体" w:hAnsi="宋体" w:eastAsia="宋体"/>
          <w:szCs w:val="21"/>
        </w:rPr>
        <w:t>均包含在《工程量清单》相应项目的工程单价中，发包人不另行支付。</w:t>
      </w:r>
    </w:p>
    <w:p w14:paraId="335BFCB9">
      <w:pPr>
        <w:snapToGrid w:val="0"/>
        <w:spacing w:before="134" w:beforeLines="25" w:line="300" w:lineRule="auto"/>
        <w:ind w:firstLine="210" w:firstLineChars="100"/>
        <w:outlineLvl w:val="2"/>
        <w:rPr>
          <w:rFonts w:ascii="宋体" w:hAnsi="宋体" w:eastAsia="宋体"/>
          <w:b/>
          <w:bCs/>
          <w:szCs w:val="21"/>
        </w:rPr>
      </w:pPr>
      <w:bookmarkStart w:id="766" w:name="_Toc381819962"/>
      <w:bookmarkStart w:id="767" w:name="_Toc381798952"/>
      <w:r>
        <w:rPr>
          <w:rFonts w:hint="eastAsia" w:ascii="宋体" w:hAnsi="宋体" w:eastAsia="宋体"/>
          <w:b/>
          <w:bCs/>
          <w:szCs w:val="21"/>
        </w:rPr>
        <w:t>2.16.5施工及生活供水设施</w:t>
      </w:r>
      <w:bookmarkEnd w:id="763"/>
      <w:bookmarkEnd w:id="764"/>
      <w:bookmarkEnd w:id="765"/>
      <w:bookmarkEnd w:id="766"/>
      <w:bookmarkEnd w:id="767"/>
    </w:p>
    <w:p w14:paraId="7FE04F0F">
      <w:pPr>
        <w:snapToGrid w:val="0"/>
        <w:spacing w:line="300" w:lineRule="auto"/>
        <w:ind w:firstLine="420" w:firstLineChars="200"/>
        <w:rPr>
          <w:rFonts w:ascii="宋体" w:hAnsi="宋体" w:eastAsia="宋体"/>
          <w:szCs w:val="21"/>
        </w:rPr>
      </w:pPr>
      <w:bookmarkStart w:id="768" w:name="_Toc381819963"/>
      <w:bookmarkStart w:id="769" w:name="_Toc381798953"/>
      <w:r>
        <w:rPr>
          <w:rFonts w:hint="eastAsia" w:ascii="宋体" w:hAnsi="宋体" w:eastAsia="宋体"/>
          <w:szCs w:val="21"/>
        </w:rPr>
        <w:t>除合同另有约定外，承包人根据合同要求完成施工及生活供水设施的建设、移设和拆除工作所需的费用，</w:t>
      </w:r>
      <w:bookmarkStart w:id="770" w:name="_Toc300071413"/>
      <w:bookmarkStart w:id="771" w:name="_Toc285029098"/>
      <w:bookmarkStart w:id="772" w:name="_Toc300084255"/>
      <w:r>
        <w:rPr>
          <w:rFonts w:hint="eastAsia" w:ascii="宋体" w:hAnsi="宋体" w:eastAsia="宋体"/>
          <w:szCs w:val="21"/>
        </w:rPr>
        <w:t>均包含在《工程量清单》相应项目的工程单价中，发包人不另行支付。</w:t>
      </w:r>
      <w:bookmarkEnd w:id="768"/>
      <w:bookmarkEnd w:id="769"/>
    </w:p>
    <w:p w14:paraId="788BFBAE">
      <w:pPr>
        <w:snapToGrid w:val="0"/>
        <w:spacing w:before="134" w:beforeLines="25" w:line="300" w:lineRule="auto"/>
        <w:ind w:firstLine="210" w:firstLineChars="100"/>
        <w:outlineLvl w:val="2"/>
        <w:rPr>
          <w:rFonts w:ascii="宋体" w:hAnsi="宋体" w:eastAsia="宋体"/>
          <w:b/>
          <w:bCs/>
          <w:szCs w:val="21"/>
        </w:rPr>
      </w:pPr>
      <w:bookmarkStart w:id="773" w:name="_Toc381819964"/>
      <w:bookmarkStart w:id="774" w:name="_Toc381798954"/>
      <w:r>
        <w:rPr>
          <w:rFonts w:hint="eastAsia" w:ascii="宋体" w:hAnsi="宋体" w:eastAsia="宋体"/>
          <w:b/>
          <w:bCs/>
          <w:szCs w:val="21"/>
        </w:rPr>
        <w:t>2.16.6施工供风设施</w:t>
      </w:r>
      <w:bookmarkEnd w:id="773"/>
      <w:bookmarkEnd w:id="774"/>
    </w:p>
    <w:p w14:paraId="72FB3F32">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除合同另有约定外，承包人根据合同要求完成施工供风设施的建设、移设和拆除工作所需的费用均包含在《工程量清单》相应项目的工程单价中，发包人不另行支付。</w:t>
      </w:r>
    </w:p>
    <w:p w14:paraId="638805F9">
      <w:pPr>
        <w:snapToGrid w:val="0"/>
        <w:spacing w:before="134" w:beforeLines="25" w:line="300" w:lineRule="auto"/>
        <w:ind w:firstLine="210" w:firstLineChars="100"/>
        <w:outlineLvl w:val="2"/>
        <w:rPr>
          <w:rFonts w:ascii="宋体" w:hAnsi="宋体" w:eastAsia="宋体"/>
          <w:b/>
          <w:bCs/>
          <w:szCs w:val="21"/>
        </w:rPr>
      </w:pPr>
      <w:bookmarkStart w:id="775" w:name="_Toc381819965"/>
      <w:bookmarkStart w:id="776" w:name="_Toc381798955"/>
      <w:r>
        <w:rPr>
          <w:rFonts w:hint="eastAsia" w:ascii="宋体" w:hAnsi="宋体" w:eastAsia="宋体"/>
          <w:b/>
          <w:bCs/>
          <w:szCs w:val="21"/>
        </w:rPr>
        <w:t>2.16.7施工照明设施</w:t>
      </w:r>
      <w:bookmarkEnd w:id="770"/>
      <w:bookmarkEnd w:id="771"/>
      <w:bookmarkEnd w:id="772"/>
      <w:bookmarkEnd w:id="775"/>
      <w:bookmarkEnd w:id="776"/>
    </w:p>
    <w:p w14:paraId="641CD188">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除合同另有约定外，承包人根据合同要求完成施工照明设施的建设、移置、维护管理和拆除工作所需的费用，均包含在《工程量清单》相应项目的工程单价中，发包人不另行支付。</w:t>
      </w:r>
    </w:p>
    <w:p w14:paraId="3E947B35">
      <w:pPr>
        <w:snapToGrid w:val="0"/>
        <w:spacing w:before="134" w:beforeLines="25" w:line="300" w:lineRule="auto"/>
        <w:ind w:firstLine="210" w:firstLineChars="100"/>
        <w:outlineLvl w:val="2"/>
        <w:rPr>
          <w:rFonts w:ascii="宋体" w:hAnsi="宋体" w:eastAsia="宋体"/>
          <w:b/>
          <w:bCs/>
          <w:szCs w:val="21"/>
        </w:rPr>
      </w:pPr>
      <w:bookmarkStart w:id="777" w:name="_Toc381798956"/>
      <w:bookmarkStart w:id="778" w:name="_Toc381819966"/>
      <w:bookmarkStart w:id="779" w:name="_Toc285029099"/>
      <w:bookmarkStart w:id="780" w:name="_Toc300071414"/>
      <w:bookmarkStart w:id="781" w:name="_Toc300084256"/>
      <w:r>
        <w:rPr>
          <w:rFonts w:hint="eastAsia" w:ascii="宋体" w:hAnsi="宋体" w:eastAsia="宋体"/>
          <w:b/>
          <w:bCs/>
          <w:szCs w:val="21"/>
        </w:rPr>
        <w:t>2.16.8施工通信和邮政设施</w:t>
      </w:r>
      <w:bookmarkEnd w:id="777"/>
      <w:bookmarkEnd w:id="778"/>
    </w:p>
    <w:p w14:paraId="4493C37F">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除合同另有约定外，承包人根据合同要求完成现场施工通信和邮政设施的建设、移设、维护管理和拆除工作所需的费用均包含在《工程量清单》相应项目的工程单价中，发包人不另行支付。</w:t>
      </w:r>
    </w:p>
    <w:p w14:paraId="0A471219">
      <w:pPr>
        <w:snapToGrid w:val="0"/>
        <w:spacing w:before="134" w:beforeLines="25" w:line="300" w:lineRule="auto"/>
        <w:ind w:firstLine="210" w:firstLineChars="100"/>
        <w:outlineLvl w:val="2"/>
        <w:rPr>
          <w:rFonts w:ascii="宋体" w:hAnsi="宋体" w:eastAsia="宋体"/>
          <w:b/>
          <w:bCs/>
          <w:szCs w:val="21"/>
        </w:rPr>
      </w:pPr>
      <w:bookmarkStart w:id="782" w:name="_Toc381798957"/>
      <w:bookmarkStart w:id="783" w:name="_Toc381819967"/>
      <w:r>
        <w:rPr>
          <w:rFonts w:hint="eastAsia" w:ascii="宋体" w:hAnsi="宋体" w:eastAsia="宋体"/>
          <w:b/>
          <w:bCs/>
          <w:szCs w:val="21"/>
        </w:rPr>
        <w:t>2.16.9砂石料生产系统</w:t>
      </w:r>
      <w:bookmarkEnd w:id="782"/>
      <w:bookmarkEnd w:id="783"/>
    </w:p>
    <w:p w14:paraId="12CC41CF">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除合同另有约定外，承包人根据合同要求完成砂石料生产系统的建设和拆除工作所需的费用均包含在《工程量清单》相应项目的工程单价中，发包人不另行支付。</w:t>
      </w:r>
    </w:p>
    <w:p w14:paraId="633C232A">
      <w:pPr>
        <w:snapToGrid w:val="0"/>
        <w:spacing w:before="134" w:beforeLines="25" w:line="300" w:lineRule="auto"/>
        <w:ind w:firstLine="210" w:firstLineChars="100"/>
        <w:outlineLvl w:val="2"/>
        <w:rPr>
          <w:rFonts w:ascii="宋体" w:hAnsi="宋体" w:eastAsia="宋体"/>
          <w:b/>
          <w:bCs/>
          <w:szCs w:val="21"/>
        </w:rPr>
      </w:pPr>
      <w:bookmarkStart w:id="784" w:name="_Toc381819968"/>
      <w:bookmarkStart w:id="785" w:name="_Toc381798958"/>
      <w:r>
        <w:rPr>
          <w:rFonts w:hint="eastAsia" w:ascii="宋体" w:hAnsi="宋体" w:eastAsia="宋体"/>
          <w:b/>
          <w:bCs/>
          <w:szCs w:val="21"/>
        </w:rPr>
        <w:t>2.16.10 混凝土生产系统</w:t>
      </w:r>
      <w:bookmarkEnd w:id="784"/>
      <w:bookmarkEnd w:id="785"/>
    </w:p>
    <w:p w14:paraId="781CCB5F">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除合同另有约定外，承包人根据合同要求完成混凝土生产系统的建设和拆除工作所需的费用包含在《工程量清单》相应项目的工程单价中，发包人不另行支付。</w:t>
      </w:r>
    </w:p>
    <w:p w14:paraId="4397992E">
      <w:pPr>
        <w:snapToGrid w:val="0"/>
        <w:spacing w:before="134" w:beforeLines="25" w:line="300" w:lineRule="auto"/>
        <w:ind w:firstLine="210" w:firstLineChars="100"/>
        <w:outlineLvl w:val="2"/>
        <w:rPr>
          <w:rFonts w:ascii="宋体" w:hAnsi="宋体" w:eastAsia="宋体"/>
          <w:b/>
          <w:bCs/>
          <w:szCs w:val="21"/>
        </w:rPr>
      </w:pPr>
      <w:bookmarkStart w:id="786" w:name="_Toc381798959"/>
      <w:bookmarkStart w:id="787" w:name="_Toc381819969"/>
      <w:r>
        <w:rPr>
          <w:rFonts w:hint="eastAsia" w:ascii="宋体" w:hAnsi="宋体" w:eastAsia="宋体"/>
          <w:b/>
          <w:bCs/>
          <w:szCs w:val="21"/>
        </w:rPr>
        <w:t>2.16.11附属加工厂</w:t>
      </w:r>
      <w:bookmarkEnd w:id="779"/>
      <w:bookmarkEnd w:id="780"/>
      <w:bookmarkEnd w:id="781"/>
      <w:bookmarkEnd w:id="786"/>
      <w:bookmarkEnd w:id="787"/>
    </w:p>
    <w:p w14:paraId="60DCD33D">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除合同另有约定外，承包人根据合同要求完成附属加工厂的建设、维护管理和拆除工作所需的费用，</w:t>
      </w:r>
      <w:bookmarkStart w:id="788" w:name="_Toc300084257"/>
      <w:bookmarkStart w:id="789" w:name="_Toc300071415"/>
      <w:bookmarkStart w:id="790" w:name="_Toc285029100"/>
      <w:r>
        <w:rPr>
          <w:rFonts w:hint="eastAsia" w:ascii="宋体" w:hAnsi="宋体" w:eastAsia="宋体"/>
          <w:szCs w:val="21"/>
        </w:rPr>
        <w:t>均包含在《工程量清单》相应项目的工程单价中，发包人不另行支付。</w:t>
      </w:r>
    </w:p>
    <w:p w14:paraId="7550F0E2">
      <w:pPr>
        <w:snapToGrid w:val="0"/>
        <w:spacing w:before="134" w:beforeLines="25" w:line="300" w:lineRule="auto"/>
        <w:ind w:firstLine="210" w:firstLineChars="100"/>
        <w:outlineLvl w:val="2"/>
        <w:rPr>
          <w:rFonts w:ascii="宋体" w:hAnsi="宋体" w:eastAsia="宋体"/>
          <w:b/>
          <w:bCs/>
          <w:szCs w:val="21"/>
        </w:rPr>
      </w:pPr>
      <w:bookmarkStart w:id="791" w:name="_Toc381819970"/>
      <w:bookmarkStart w:id="792" w:name="_Toc381798960"/>
      <w:r>
        <w:rPr>
          <w:rFonts w:hint="eastAsia" w:ascii="宋体" w:hAnsi="宋体" w:eastAsia="宋体"/>
          <w:b/>
          <w:bCs/>
          <w:szCs w:val="21"/>
        </w:rPr>
        <w:t>2.16.12仓库和存料场</w:t>
      </w:r>
      <w:bookmarkEnd w:id="788"/>
      <w:bookmarkEnd w:id="789"/>
      <w:bookmarkEnd w:id="790"/>
      <w:bookmarkEnd w:id="791"/>
      <w:bookmarkEnd w:id="792"/>
    </w:p>
    <w:p w14:paraId="2C3E82A0">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除合同另有约定外，承包人根据合同要求完成仓库或存料场的建设、维护管理和拆除工作所需的费用，均包含在《工程量清单》相应项目的工程单价中，发包人不另行支付。</w:t>
      </w:r>
    </w:p>
    <w:p w14:paraId="47B875A4">
      <w:pPr>
        <w:snapToGrid w:val="0"/>
        <w:spacing w:before="134" w:beforeLines="25" w:line="300" w:lineRule="auto"/>
        <w:ind w:firstLine="210" w:firstLineChars="100"/>
        <w:outlineLvl w:val="2"/>
        <w:rPr>
          <w:rFonts w:ascii="宋体" w:hAnsi="宋体" w:eastAsia="宋体"/>
          <w:b/>
          <w:bCs/>
          <w:szCs w:val="21"/>
        </w:rPr>
      </w:pPr>
      <w:bookmarkStart w:id="793" w:name="_Toc285029101"/>
      <w:bookmarkStart w:id="794" w:name="_Toc300084258"/>
      <w:bookmarkStart w:id="795" w:name="_Toc381798961"/>
      <w:bookmarkStart w:id="796" w:name="_Toc381819971"/>
      <w:bookmarkStart w:id="797" w:name="_Toc300071416"/>
      <w:r>
        <w:rPr>
          <w:rFonts w:hint="eastAsia" w:ascii="宋体" w:hAnsi="宋体" w:eastAsia="宋体"/>
          <w:b/>
          <w:bCs/>
          <w:szCs w:val="21"/>
        </w:rPr>
        <w:t>2.16.13弃渣场</w:t>
      </w:r>
      <w:bookmarkEnd w:id="793"/>
      <w:bookmarkEnd w:id="794"/>
      <w:bookmarkEnd w:id="795"/>
      <w:bookmarkEnd w:id="796"/>
      <w:bookmarkEnd w:id="797"/>
    </w:p>
    <w:p w14:paraId="34EF5B6C">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除合同另有约定外，承包人根据合同要求完成弃渣场的建设和维护管理等工作所需的费用，</w:t>
      </w:r>
      <w:bookmarkStart w:id="798" w:name="_Toc300071417"/>
      <w:bookmarkStart w:id="799" w:name="_Toc300084259"/>
      <w:bookmarkStart w:id="800" w:name="_Toc285029102"/>
      <w:r>
        <w:rPr>
          <w:rFonts w:hint="eastAsia" w:ascii="宋体" w:hAnsi="宋体" w:eastAsia="宋体"/>
          <w:szCs w:val="21"/>
        </w:rPr>
        <w:t>均包含在《工程量清单》相应项目的工程单价中，发包人不另行支付。</w:t>
      </w:r>
    </w:p>
    <w:p w14:paraId="498DD12A">
      <w:pPr>
        <w:snapToGrid w:val="0"/>
        <w:spacing w:before="134" w:beforeLines="25" w:line="300" w:lineRule="auto"/>
        <w:ind w:firstLine="210" w:firstLineChars="100"/>
        <w:outlineLvl w:val="2"/>
        <w:rPr>
          <w:rFonts w:ascii="宋体" w:hAnsi="宋体" w:eastAsia="宋体"/>
          <w:b/>
          <w:bCs/>
          <w:szCs w:val="21"/>
        </w:rPr>
      </w:pPr>
      <w:bookmarkStart w:id="801" w:name="_Toc381819972"/>
      <w:bookmarkStart w:id="802" w:name="_Toc381798962"/>
      <w:r>
        <w:rPr>
          <w:rFonts w:hint="eastAsia" w:ascii="宋体" w:hAnsi="宋体" w:eastAsia="宋体"/>
          <w:b/>
          <w:bCs/>
          <w:szCs w:val="21"/>
        </w:rPr>
        <w:t>2.16.14临时生产管理和生活设施</w:t>
      </w:r>
      <w:bookmarkEnd w:id="798"/>
      <w:bookmarkEnd w:id="799"/>
      <w:bookmarkEnd w:id="800"/>
      <w:bookmarkEnd w:id="801"/>
      <w:bookmarkEnd w:id="802"/>
    </w:p>
    <w:p w14:paraId="751EA6AA">
      <w:pPr>
        <w:snapToGrid w:val="0"/>
        <w:spacing w:line="300" w:lineRule="auto"/>
        <w:ind w:firstLine="420" w:firstLineChars="200"/>
        <w:rPr>
          <w:rFonts w:ascii="宋体" w:hAnsi="宋体" w:eastAsia="宋体"/>
          <w:szCs w:val="21"/>
        </w:rPr>
      </w:pPr>
      <w:r>
        <w:rPr>
          <w:rFonts w:hint="eastAsia" w:ascii="宋体" w:hAnsi="宋体" w:eastAsia="宋体"/>
          <w:szCs w:val="21"/>
        </w:rPr>
        <w:t>除合同另有约定外，承包人根据合同要求完成临时生产管理和生活设施的建设、移设、维护管理和拆除工作所需的费用，包含在《工程量清单》相应项目的工程单价中，发包人不另行支付。</w:t>
      </w:r>
    </w:p>
    <w:p w14:paraId="121079A6">
      <w:pPr>
        <w:snapToGrid w:val="0"/>
        <w:spacing w:before="134" w:beforeLines="25" w:line="300" w:lineRule="auto"/>
        <w:ind w:firstLine="210" w:firstLineChars="100"/>
        <w:outlineLvl w:val="2"/>
        <w:rPr>
          <w:rFonts w:ascii="宋体" w:hAnsi="宋体" w:eastAsia="宋体"/>
          <w:b/>
          <w:bCs/>
          <w:szCs w:val="21"/>
        </w:rPr>
      </w:pPr>
      <w:bookmarkStart w:id="803" w:name="_Toc285029103"/>
      <w:bookmarkStart w:id="804" w:name="_Toc300071418"/>
      <w:bookmarkStart w:id="805" w:name="_Toc300084260"/>
      <w:bookmarkStart w:id="806" w:name="_Toc381798963"/>
      <w:bookmarkStart w:id="807" w:name="_Toc381819973"/>
      <w:r>
        <w:rPr>
          <w:rFonts w:hint="eastAsia" w:ascii="宋体" w:hAnsi="宋体" w:eastAsia="宋体"/>
          <w:b/>
          <w:bCs/>
          <w:szCs w:val="21"/>
        </w:rPr>
        <w:t>2.16.15其它临时设施</w:t>
      </w:r>
      <w:bookmarkEnd w:id="803"/>
      <w:bookmarkEnd w:id="804"/>
      <w:bookmarkEnd w:id="805"/>
      <w:bookmarkEnd w:id="806"/>
      <w:bookmarkEnd w:id="807"/>
    </w:p>
    <w:p w14:paraId="17835F17">
      <w:pPr>
        <w:snapToGrid w:val="0"/>
        <w:spacing w:line="300" w:lineRule="auto"/>
        <w:ind w:firstLine="420" w:firstLineChars="200"/>
        <w:rPr>
          <w:rFonts w:ascii="宋体" w:hAnsi="宋体" w:eastAsia="宋体"/>
          <w:szCs w:val="21"/>
        </w:rPr>
      </w:pPr>
      <w:r>
        <w:rPr>
          <w:rFonts w:hint="eastAsia" w:ascii="宋体" w:hAnsi="宋体" w:eastAsia="宋体"/>
          <w:szCs w:val="21"/>
        </w:rPr>
        <w:t>本工程与交通、电力、市政、通讯等的所有交叉工程的协调、补偿等费用包含在相应永久工程项目的工程单价或总价中，发包人不另行支付。</w:t>
      </w:r>
    </w:p>
    <w:p w14:paraId="75356630">
      <w:pPr>
        <w:snapToGrid w:val="0"/>
        <w:spacing w:line="300" w:lineRule="auto"/>
        <w:ind w:firstLine="420" w:firstLineChars="200"/>
        <w:rPr>
          <w:rFonts w:ascii="宋体" w:hAnsi="宋体" w:eastAsia="宋体"/>
          <w:szCs w:val="21"/>
        </w:rPr>
      </w:pPr>
      <w:r>
        <w:rPr>
          <w:rFonts w:hint="eastAsia" w:ascii="宋体" w:hAnsi="宋体" w:eastAsia="宋体"/>
          <w:szCs w:val="21"/>
        </w:rPr>
        <w:t>未列入《工程量清单》的其它临时设施，承包人据合同要求完成这些设施的建设、移置、维护管理和拆除工作所需的费用，包含在相应永久工程项目的工程单价或总价中，发包人不另行支付。</w:t>
      </w:r>
    </w:p>
    <w:p w14:paraId="04C904B5">
      <w:pPr>
        <w:pStyle w:val="3"/>
        <w:keepNext w:val="0"/>
        <w:keepLines w:val="0"/>
        <w:spacing w:before="0" w:after="0" w:line="480" w:lineRule="auto"/>
        <w:jc w:val="center"/>
        <w:rPr>
          <w:rFonts w:ascii="宋体" w:hAnsi="宋体" w:eastAsia="宋体" w:cs="宋体"/>
          <w:sz w:val="28"/>
          <w:szCs w:val="28"/>
        </w:rPr>
      </w:pPr>
      <w:bookmarkStart w:id="808" w:name="_Toc307417538"/>
      <w:bookmarkStart w:id="809" w:name="_Toc347386226"/>
      <w:bookmarkStart w:id="810" w:name="_Toc370238518"/>
      <w:bookmarkStart w:id="811" w:name="_Toc285029104"/>
      <w:bookmarkStart w:id="812" w:name="_Toc300071419"/>
      <w:bookmarkStart w:id="813" w:name="_Toc304279798"/>
      <w:bookmarkStart w:id="814" w:name="_Toc304280043"/>
      <w:bookmarkStart w:id="815" w:name="_Toc304280294"/>
      <w:bookmarkStart w:id="816" w:name="_Toc325040172"/>
      <w:bookmarkStart w:id="817" w:name="_Toc307416241"/>
      <w:bookmarkStart w:id="818" w:name="_Toc332353196"/>
      <w:bookmarkStart w:id="819" w:name="_Toc300084261"/>
      <w:bookmarkStart w:id="820" w:name="_Toc304280790"/>
      <w:bookmarkStart w:id="821" w:name="_Toc347385977"/>
      <w:bookmarkStart w:id="822" w:name="_Toc325020366"/>
      <w:bookmarkStart w:id="823" w:name="_Toc300084613"/>
      <w:bookmarkStart w:id="824" w:name="_Toc332293403"/>
      <w:bookmarkStart w:id="825" w:name="_Toc300071297"/>
      <w:bookmarkStart w:id="826" w:name="_Toc304280539"/>
      <w:bookmarkStart w:id="827" w:name="_Toc332616535"/>
      <w:bookmarkStart w:id="828" w:name="_Toc325020898"/>
      <w:bookmarkStart w:id="829" w:name="_Toc381872039"/>
      <w:bookmarkStart w:id="830" w:name="_Toc347385722"/>
      <w:bookmarkStart w:id="831" w:name="_Toc307419427"/>
      <w:bookmarkStart w:id="832" w:name="_Toc307485305"/>
      <w:r>
        <w:rPr>
          <w:sz w:val="24"/>
        </w:rPr>
        <w:br w:type="page"/>
      </w:r>
      <w:bookmarkStart w:id="833" w:name="_Toc15645"/>
      <w:r>
        <w:rPr>
          <w:rFonts w:hint="eastAsia" w:ascii="宋体" w:hAnsi="宋体" w:eastAsia="宋体" w:cs="宋体"/>
          <w:sz w:val="28"/>
          <w:szCs w:val="28"/>
        </w:rPr>
        <w:t>第3节 施工安全措施</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14:paraId="50C1C85A">
      <w:pPr>
        <w:adjustRightInd w:val="0"/>
        <w:snapToGrid w:val="0"/>
        <w:spacing w:before="134" w:beforeLines="25" w:line="300" w:lineRule="auto"/>
        <w:outlineLvl w:val="1"/>
        <w:rPr>
          <w:rFonts w:ascii="宋体" w:hAnsi="宋体" w:eastAsia="宋体"/>
          <w:b/>
          <w:bCs/>
          <w:sz w:val="24"/>
          <w:szCs w:val="24"/>
        </w:rPr>
      </w:pPr>
      <w:bookmarkStart w:id="834" w:name="_Toc279246810"/>
      <w:bookmarkStart w:id="835" w:name="_Toc304280295"/>
      <w:bookmarkStart w:id="836" w:name="_Toc347386227"/>
      <w:bookmarkStart w:id="837" w:name="_Toc332616536"/>
      <w:bookmarkStart w:id="838" w:name="_Toc279247602"/>
      <w:bookmarkStart w:id="839" w:name="_Toc347385723"/>
      <w:bookmarkStart w:id="840" w:name="_Toc300084262"/>
      <w:bookmarkStart w:id="841" w:name="_Toc381798964"/>
      <w:bookmarkStart w:id="842" w:name="_Toc279247340"/>
      <w:bookmarkStart w:id="843" w:name="_Toc279243733"/>
      <w:bookmarkStart w:id="844" w:name="_Toc267484971"/>
      <w:bookmarkStart w:id="845" w:name="_Toc325040173"/>
      <w:bookmarkStart w:id="846" w:name="_Toc370238519"/>
      <w:bookmarkStart w:id="847" w:name="_Toc300084614"/>
      <w:bookmarkStart w:id="848" w:name="_Toc279250812"/>
      <w:bookmarkStart w:id="849" w:name="_Toc307419428"/>
      <w:bookmarkStart w:id="850" w:name="_Toc279245756"/>
      <w:bookmarkStart w:id="851" w:name="_Toc307417539"/>
      <w:bookmarkStart w:id="852" w:name="_Toc300071420"/>
      <w:bookmarkStart w:id="853" w:name="_Toc381819974"/>
      <w:bookmarkStart w:id="854" w:name="_Toc304280540"/>
      <w:bookmarkStart w:id="855" w:name="_Toc279249696"/>
      <w:bookmarkStart w:id="856" w:name="_Toc279247471"/>
      <w:bookmarkStart w:id="857" w:name="_Toc325020899"/>
      <w:bookmarkStart w:id="858" w:name="_Toc332293404"/>
      <w:bookmarkStart w:id="859" w:name="_Toc300071298"/>
      <w:bookmarkStart w:id="860" w:name="_Toc304280044"/>
      <w:bookmarkStart w:id="861" w:name="_Toc277693687"/>
      <w:bookmarkStart w:id="862" w:name="_Toc304280791"/>
      <w:bookmarkStart w:id="863" w:name="_Toc325020367"/>
      <w:bookmarkStart w:id="864" w:name="_Toc347385978"/>
      <w:bookmarkStart w:id="865" w:name="_Toc332353197"/>
      <w:bookmarkStart w:id="866" w:name="_Toc279248778"/>
      <w:bookmarkStart w:id="867" w:name="_Toc307416242"/>
      <w:bookmarkStart w:id="868" w:name="_Toc307485306"/>
      <w:bookmarkStart w:id="869" w:name="_Toc285029105"/>
      <w:bookmarkStart w:id="870" w:name="_Toc279248915"/>
      <w:bookmarkStart w:id="871" w:name="_Toc304279799"/>
      <w:r>
        <w:rPr>
          <w:rFonts w:hint="eastAsia" w:ascii="宋体" w:hAnsi="宋体" w:eastAsia="宋体"/>
          <w:b/>
          <w:bCs/>
          <w:sz w:val="24"/>
          <w:szCs w:val="24"/>
        </w:rPr>
        <w:t>3.1一般规定</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14:paraId="0B592596">
      <w:pPr>
        <w:snapToGrid w:val="0"/>
        <w:spacing w:before="134" w:beforeLines="25" w:line="300" w:lineRule="auto"/>
        <w:ind w:firstLine="210" w:firstLineChars="100"/>
        <w:outlineLvl w:val="2"/>
        <w:rPr>
          <w:rFonts w:ascii="宋体" w:hAnsi="宋体" w:eastAsia="宋体"/>
          <w:b/>
          <w:bCs/>
          <w:szCs w:val="21"/>
        </w:rPr>
      </w:pPr>
      <w:bookmarkStart w:id="872" w:name="_Toc381819975"/>
      <w:bookmarkStart w:id="873" w:name="_Toc300071421"/>
      <w:bookmarkStart w:id="874" w:name="_Toc285029106"/>
      <w:bookmarkStart w:id="875" w:name="_Toc381798965"/>
      <w:bookmarkStart w:id="876" w:name="_Toc300084263"/>
      <w:r>
        <w:rPr>
          <w:rFonts w:hint="eastAsia" w:ascii="宋体" w:hAnsi="宋体" w:eastAsia="宋体"/>
          <w:b/>
          <w:bCs/>
          <w:szCs w:val="21"/>
        </w:rPr>
        <w:t>3.1.1应用范围</w:t>
      </w:r>
      <w:bookmarkEnd w:id="872"/>
      <w:bookmarkEnd w:id="873"/>
      <w:bookmarkEnd w:id="874"/>
      <w:bookmarkEnd w:id="875"/>
      <w:bookmarkEnd w:id="876"/>
    </w:p>
    <w:p w14:paraId="4D6BC4B3">
      <w:pPr>
        <w:snapToGrid w:val="0"/>
        <w:spacing w:line="300" w:lineRule="auto"/>
        <w:ind w:firstLine="420" w:firstLineChars="200"/>
        <w:rPr>
          <w:rFonts w:ascii="宋体" w:hAnsi="宋体" w:eastAsia="宋体"/>
          <w:szCs w:val="21"/>
        </w:rPr>
      </w:pPr>
      <w:r>
        <w:rPr>
          <w:rFonts w:hint="eastAsia" w:ascii="宋体" w:hAnsi="宋体" w:eastAsia="宋体"/>
          <w:szCs w:val="21"/>
        </w:rPr>
        <w:t>本章适用于水利工程施工现场的安全管理工作包括：现场施工劳动保护、照明、场内交通、消防、洪水和气象灾害保护、施工安全监测等。</w:t>
      </w:r>
    </w:p>
    <w:p w14:paraId="4B1E4070">
      <w:pPr>
        <w:snapToGrid w:val="0"/>
        <w:spacing w:before="134" w:beforeLines="25" w:line="300" w:lineRule="auto"/>
        <w:ind w:firstLine="210" w:firstLineChars="100"/>
        <w:outlineLvl w:val="2"/>
        <w:rPr>
          <w:rFonts w:ascii="宋体" w:hAnsi="宋体" w:eastAsia="宋体"/>
          <w:b/>
          <w:bCs/>
          <w:szCs w:val="21"/>
        </w:rPr>
      </w:pPr>
      <w:bookmarkStart w:id="877" w:name="_Toc300071422"/>
      <w:bookmarkStart w:id="878" w:name="_Toc300084264"/>
      <w:bookmarkStart w:id="879" w:name="_Toc381819976"/>
      <w:bookmarkStart w:id="880" w:name="_Toc381798966"/>
      <w:bookmarkStart w:id="881" w:name="_Toc285029107"/>
      <w:r>
        <w:rPr>
          <w:rFonts w:hint="eastAsia" w:ascii="宋体" w:hAnsi="宋体" w:eastAsia="宋体"/>
          <w:b/>
          <w:bCs/>
          <w:szCs w:val="21"/>
        </w:rPr>
        <w:t>3.1.2承包人责任</w:t>
      </w:r>
      <w:bookmarkEnd w:id="877"/>
      <w:bookmarkEnd w:id="878"/>
      <w:bookmarkEnd w:id="879"/>
      <w:bookmarkEnd w:id="880"/>
      <w:bookmarkEnd w:id="881"/>
    </w:p>
    <w:p w14:paraId="54D84B99">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（1）承包人应按本合同通用合同条款第9.2款的约定和《水利水电工程施工通用安全技术规程》(SL398-2007)的规定履行其安全施工职责，对本工程的施工安全负责。</w:t>
      </w:r>
    </w:p>
    <w:p w14:paraId="474E46AF">
      <w:pPr>
        <w:snapToGrid w:val="0"/>
        <w:spacing w:line="300" w:lineRule="auto"/>
        <w:ind w:firstLine="420" w:firstLineChars="200"/>
        <w:rPr>
          <w:rFonts w:ascii="宋体" w:hAnsi="宋体" w:eastAsia="宋体"/>
          <w:szCs w:val="21"/>
        </w:rPr>
      </w:pPr>
      <w:r>
        <w:rPr>
          <w:rFonts w:hint="eastAsia" w:ascii="宋体" w:hAnsi="宋体" w:eastAsia="宋体"/>
          <w:szCs w:val="21"/>
        </w:rPr>
        <w:t>（2）承包人应坚持“安全第一，预防为主”的方针，建立、健全安全生产责任制度，制定各项安全生产规章制度和操作规程，建立完善的施工安全生产设施，健全安全生产保证体系，加强监督管理，切实保障全体人员的生命和财产安全。</w:t>
      </w:r>
    </w:p>
    <w:p w14:paraId="0BC76AEC">
      <w:pPr>
        <w:snapToGrid w:val="0"/>
        <w:spacing w:line="300" w:lineRule="auto"/>
        <w:ind w:firstLine="420" w:firstLineChars="200"/>
        <w:rPr>
          <w:rFonts w:ascii="宋体" w:hAnsi="宋体" w:eastAsia="宋体"/>
          <w:szCs w:val="21"/>
        </w:rPr>
      </w:pPr>
      <w:r>
        <w:rPr>
          <w:rFonts w:hint="eastAsia" w:ascii="宋体" w:hAnsi="宋体" w:eastAsia="宋体"/>
          <w:szCs w:val="21"/>
        </w:rPr>
        <w:t>（3）承包人应加强对职工进行施工安全教育，应按本章第3.2节规定的内容，编印安全保护手册发给全体职工。工人上岗前应进行安全操作的培训和考核。合格者才准上岗。</w:t>
      </w:r>
    </w:p>
    <w:p w14:paraId="6547C791">
      <w:pPr>
        <w:snapToGrid w:val="0"/>
        <w:spacing w:line="300" w:lineRule="auto"/>
        <w:ind w:firstLine="420" w:firstLineChars="200"/>
        <w:rPr>
          <w:rFonts w:ascii="宋体" w:hAnsi="宋体" w:eastAsia="宋体"/>
          <w:szCs w:val="21"/>
        </w:rPr>
      </w:pPr>
      <w:r>
        <w:rPr>
          <w:rFonts w:hint="eastAsia" w:ascii="宋体" w:hAnsi="宋体" w:eastAsia="宋体"/>
          <w:szCs w:val="21"/>
        </w:rPr>
        <w:t>（4）承包人必须遵守国家颁布的有关安全规程。若承包人责任区内发生重大安全事故时，承包人应立即报告发包人，并在事故发生后 12～24 小时内提交事故情况的书面</w:t>
      </w:r>
    </w:p>
    <w:p w14:paraId="5646342C">
      <w:pPr>
        <w:snapToGrid w:val="0"/>
        <w:spacing w:line="300" w:lineRule="auto"/>
        <w:ind w:firstLine="420" w:firstLineChars="200"/>
        <w:rPr>
          <w:rFonts w:ascii="宋体" w:hAnsi="宋体" w:eastAsia="宋体"/>
          <w:szCs w:val="21"/>
        </w:rPr>
      </w:pPr>
      <w:r>
        <w:rPr>
          <w:rFonts w:hint="eastAsia" w:ascii="宋体" w:hAnsi="宋体" w:eastAsia="宋体"/>
          <w:szCs w:val="21"/>
        </w:rPr>
        <w:t>（5）承包人应为施工作业人员配置必需的劳动保护用品。承包人应对其施工安全措施不到位而发生的安全事故承担责任。</w:t>
      </w:r>
    </w:p>
    <w:p w14:paraId="4EFAD771">
      <w:pPr>
        <w:snapToGrid w:val="0"/>
        <w:spacing w:line="300" w:lineRule="auto"/>
        <w:ind w:firstLine="420" w:firstLineChars="200"/>
        <w:rPr>
          <w:rFonts w:ascii="宋体" w:hAnsi="宋体" w:eastAsia="宋体"/>
          <w:szCs w:val="21"/>
        </w:rPr>
      </w:pPr>
      <w:r>
        <w:rPr>
          <w:rFonts w:hint="eastAsia" w:ascii="宋体" w:hAnsi="宋体" w:eastAsia="宋体"/>
          <w:szCs w:val="21"/>
        </w:rPr>
        <w:t>（6）承包人应负责全部施工作业的安全检查，建立专门的安全检查机构，配备专职的安检人员，进行经常性的安全生产检查，并及时作好安全记录。</w:t>
      </w:r>
    </w:p>
    <w:p w14:paraId="3089455E">
      <w:pPr>
        <w:snapToGrid w:val="0"/>
        <w:spacing w:before="134" w:beforeLines="25" w:line="300" w:lineRule="auto"/>
        <w:ind w:firstLine="210" w:firstLineChars="100"/>
        <w:outlineLvl w:val="2"/>
        <w:rPr>
          <w:rFonts w:ascii="宋体" w:hAnsi="宋体" w:eastAsia="宋体"/>
          <w:b/>
          <w:bCs/>
          <w:szCs w:val="21"/>
        </w:rPr>
      </w:pPr>
      <w:bookmarkStart w:id="882" w:name="_Toc300084265"/>
      <w:bookmarkStart w:id="883" w:name="_Toc381798967"/>
      <w:bookmarkStart w:id="884" w:name="_Toc285029108"/>
      <w:bookmarkStart w:id="885" w:name="_Toc300071423"/>
      <w:bookmarkStart w:id="886" w:name="_Toc381819977"/>
      <w:r>
        <w:rPr>
          <w:rFonts w:hint="eastAsia" w:ascii="宋体" w:hAnsi="宋体" w:eastAsia="宋体"/>
          <w:b/>
          <w:bCs/>
          <w:szCs w:val="21"/>
        </w:rPr>
        <w:t>3.1.3主要提交件</w:t>
      </w:r>
      <w:bookmarkEnd w:id="882"/>
      <w:bookmarkEnd w:id="883"/>
      <w:bookmarkEnd w:id="884"/>
      <w:bookmarkEnd w:id="885"/>
      <w:bookmarkEnd w:id="886"/>
    </w:p>
    <w:p w14:paraId="34D53B3F">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本工程开工前10天，根据《中华人民共和国安全生产法》、《中华人民共和国消防法》、《中华人民共和国道路交通安全法》、《中华人民共和国传染病防治法》、《水利工程建设安全生产管理规定》等国家行业和地方有关法规，以及本章第3.2.1条规定的内容和要求，编制一份施工安全措施计划，提交监理人批准。</w:t>
      </w:r>
    </w:p>
    <w:p w14:paraId="3FCADDAC">
      <w:pPr>
        <w:snapToGrid w:val="0"/>
        <w:spacing w:line="300" w:lineRule="auto"/>
        <w:ind w:firstLine="420" w:firstLineChars="200"/>
        <w:rPr>
          <w:rFonts w:ascii="宋体" w:hAnsi="宋体" w:eastAsia="宋体"/>
          <w:szCs w:val="21"/>
        </w:rPr>
      </w:pPr>
      <w:r>
        <w:rPr>
          <w:rFonts w:hint="eastAsia" w:ascii="宋体" w:hAnsi="宋体" w:eastAsia="宋体"/>
          <w:szCs w:val="21"/>
        </w:rPr>
        <w:t>（2）承包人应在每年、每季和每月的进度报告中，按本章规定的各项安全工作内容，详细说明本工程安全措施计划的实施情况，以及按规定的格式提交安全检查和事故处理记录。</w:t>
      </w:r>
    </w:p>
    <w:p w14:paraId="386105B9">
      <w:pPr>
        <w:snapToGrid w:val="0"/>
        <w:spacing w:before="134" w:beforeLines="25" w:line="300" w:lineRule="auto"/>
        <w:ind w:firstLine="210" w:firstLineChars="100"/>
        <w:outlineLvl w:val="2"/>
        <w:rPr>
          <w:rFonts w:ascii="宋体" w:hAnsi="宋体" w:eastAsia="宋体"/>
          <w:b/>
          <w:bCs/>
          <w:szCs w:val="21"/>
        </w:rPr>
      </w:pPr>
      <w:bookmarkStart w:id="887" w:name="_Toc381798968"/>
      <w:bookmarkStart w:id="888" w:name="_Toc300084266"/>
      <w:bookmarkStart w:id="889" w:name="_Toc381819978"/>
      <w:bookmarkStart w:id="890" w:name="_Toc285029109"/>
      <w:bookmarkStart w:id="891" w:name="_Toc300071424"/>
      <w:r>
        <w:rPr>
          <w:rFonts w:hint="eastAsia" w:ascii="宋体" w:hAnsi="宋体" w:eastAsia="宋体"/>
          <w:b/>
          <w:bCs/>
          <w:szCs w:val="21"/>
        </w:rPr>
        <w:t>3.1.4引用的法律法规</w:t>
      </w:r>
      <w:bookmarkEnd w:id="887"/>
      <w:bookmarkEnd w:id="888"/>
      <w:bookmarkEnd w:id="889"/>
      <w:bookmarkEnd w:id="890"/>
      <w:bookmarkEnd w:id="891"/>
    </w:p>
    <w:p w14:paraId="65FDE1E1">
      <w:pPr>
        <w:snapToGrid w:val="0"/>
        <w:spacing w:line="300" w:lineRule="auto"/>
        <w:ind w:firstLine="420" w:firstLineChars="200"/>
        <w:rPr>
          <w:rFonts w:ascii="宋体" w:hAnsi="宋体" w:eastAsia="宋体"/>
          <w:szCs w:val="21"/>
        </w:rPr>
      </w:pPr>
      <w:r>
        <w:rPr>
          <w:rFonts w:hint="eastAsia" w:ascii="宋体" w:hAnsi="宋体" w:eastAsia="宋体"/>
          <w:szCs w:val="21"/>
        </w:rPr>
        <w:t>(1)《水利工程建设安全生产管理规定》；</w:t>
      </w:r>
    </w:p>
    <w:p w14:paraId="25591EAA">
      <w:pPr>
        <w:snapToGrid w:val="0"/>
        <w:spacing w:line="300" w:lineRule="auto"/>
        <w:ind w:firstLine="420" w:firstLineChars="200"/>
        <w:rPr>
          <w:rFonts w:ascii="宋体" w:hAnsi="宋体" w:eastAsia="宋体"/>
          <w:szCs w:val="21"/>
        </w:rPr>
      </w:pPr>
      <w:r>
        <w:rPr>
          <w:rFonts w:hint="eastAsia" w:ascii="宋体" w:hAnsi="宋体" w:eastAsia="宋体"/>
          <w:szCs w:val="21"/>
        </w:rPr>
        <w:t>(2)《安全技术措施计划的项目总名称表》；</w:t>
      </w:r>
    </w:p>
    <w:p w14:paraId="0CBA18E4">
      <w:pPr>
        <w:snapToGrid w:val="0"/>
        <w:spacing w:line="300" w:lineRule="auto"/>
        <w:ind w:firstLine="420" w:firstLineChars="200"/>
        <w:rPr>
          <w:rFonts w:ascii="宋体" w:hAnsi="宋体" w:eastAsia="宋体"/>
          <w:szCs w:val="21"/>
        </w:rPr>
      </w:pPr>
      <w:r>
        <w:rPr>
          <w:rFonts w:hint="eastAsia" w:ascii="宋体" w:hAnsi="宋体" w:eastAsia="宋体"/>
          <w:szCs w:val="21"/>
        </w:rPr>
        <w:t>(3)《中华人民共和国道路交通安全法》；</w:t>
      </w:r>
    </w:p>
    <w:p w14:paraId="4381964E">
      <w:pPr>
        <w:snapToGrid w:val="0"/>
        <w:spacing w:line="300" w:lineRule="auto"/>
        <w:ind w:firstLine="420" w:firstLineChars="200"/>
        <w:rPr>
          <w:rFonts w:ascii="宋体" w:hAnsi="宋体" w:eastAsia="宋体"/>
          <w:szCs w:val="21"/>
        </w:rPr>
      </w:pPr>
      <w:r>
        <w:rPr>
          <w:rFonts w:hint="eastAsia" w:ascii="宋体" w:hAnsi="宋体" w:eastAsia="宋体"/>
          <w:szCs w:val="21"/>
        </w:rPr>
        <w:t>(4)《中华人民共和国安全生产法》；</w:t>
      </w:r>
    </w:p>
    <w:p w14:paraId="3464BCB1">
      <w:pPr>
        <w:snapToGrid w:val="0"/>
        <w:spacing w:line="300" w:lineRule="auto"/>
        <w:ind w:firstLine="420" w:firstLineChars="200"/>
        <w:rPr>
          <w:rFonts w:ascii="宋体" w:hAnsi="宋体" w:eastAsia="宋体"/>
          <w:szCs w:val="21"/>
        </w:rPr>
      </w:pPr>
      <w:r>
        <w:rPr>
          <w:rFonts w:hint="eastAsia" w:ascii="宋体" w:hAnsi="宋体" w:eastAsia="宋体"/>
          <w:szCs w:val="21"/>
        </w:rPr>
        <w:t>(5)《中华人民共和国消防法》；</w:t>
      </w:r>
    </w:p>
    <w:p w14:paraId="130E7F83">
      <w:pPr>
        <w:snapToGrid w:val="0"/>
        <w:spacing w:line="300" w:lineRule="auto"/>
        <w:ind w:firstLine="420" w:firstLineChars="200"/>
        <w:rPr>
          <w:rFonts w:ascii="宋体" w:hAnsi="宋体" w:eastAsia="宋体"/>
          <w:szCs w:val="21"/>
        </w:rPr>
      </w:pPr>
      <w:r>
        <w:rPr>
          <w:rFonts w:hint="eastAsia" w:ascii="宋体" w:hAnsi="宋体" w:eastAsia="宋体"/>
          <w:szCs w:val="21"/>
        </w:rPr>
        <w:t>(6)《中华人民共和国传染病防治法实施办法》；</w:t>
      </w:r>
    </w:p>
    <w:p w14:paraId="3E8E6F1D">
      <w:pPr>
        <w:snapToGrid w:val="0"/>
        <w:spacing w:line="300" w:lineRule="auto"/>
        <w:ind w:firstLine="420" w:firstLineChars="200"/>
        <w:rPr>
          <w:rFonts w:ascii="宋体" w:hAnsi="宋体" w:eastAsia="宋体"/>
          <w:szCs w:val="21"/>
        </w:rPr>
      </w:pPr>
      <w:r>
        <w:rPr>
          <w:rFonts w:hint="eastAsia" w:ascii="宋体" w:hAnsi="宋体" w:eastAsia="宋体"/>
          <w:szCs w:val="21"/>
        </w:rPr>
        <w:t>(7)《中华人民共和国食品卫生法》；</w:t>
      </w:r>
    </w:p>
    <w:p w14:paraId="4426D432">
      <w:pPr>
        <w:snapToGrid w:val="0"/>
        <w:spacing w:line="300" w:lineRule="auto"/>
        <w:ind w:firstLine="420" w:firstLineChars="200"/>
        <w:rPr>
          <w:rFonts w:ascii="宋体" w:hAnsi="宋体" w:eastAsia="宋体"/>
          <w:szCs w:val="21"/>
        </w:rPr>
      </w:pPr>
      <w:r>
        <w:rPr>
          <w:rFonts w:hint="eastAsia" w:ascii="宋体" w:hAnsi="宋体" w:eastAsia="宋体"/>
          <w:szCs w:val="21"/>
        </w:rPr>
        <w:t>(8)《中华人民共和国劳动法》。</w:t>
      </w:r>
    </w:p>
    <w:p w14:paraId="704CCC9B">
      <w:pPr>
        <w:snapToGrid w:val="0"/>
        <w:spacing w:before="134" w:beforeLines="25" w:line="300" w:lineRule="auto"/>
        <w:ind w:firstLine="210" w:firstLineChars="100"/>
        <w:outlineLvl w:val="2"/>
        <w:rPr>
          <w:rFonts w:ascii="宋体" w:hAnsi="宋体" w:eastAsia="宋体"/>
          <w:b/>
          <w:bCs/>
          <w:szCs w:val="21"/>
        </w:rPr>
      </w:pPr>
      <w:bookmarkStart w:id="892" w:name="_Toc285029110"/>
      <w:bookmarkStart w:id="893" w:name="_Toc381819979"/>
      <w:bookmarkStart w:id="894" w:name="_Toc300084267"/>
      <w:bookmarkStart w:id="895" w:name="_Toc381798969"/>
      <w:bookmarkStart w:id="896" w:name="_Toc300071425"/>
      <w:r>
        <w:rPr>
          <w:rFonts w:hint="eastAsia" w:ascii="宋体" w:hAnsi="宋体" w:eastAsia="宋体"/>
          <w:b/>
          <w:bCs/>
          <w:szCs w:val="21"/>
        </w:rPr>
        <w:t>3.1.5引用标准</w:t>
      </w:r>
      <w:bookmarkEnd w:id="892"/>
      <w:bookmarkEnd w:id="893"/>
      <w:bookmarkEnd w:id="894"/>
      <w:bookmarkEnd w:id="895"/>
      <w:bookmarkEnd w:id="896"/>
    </w:p>
    <w:p w14:paraId="0EB6CCC1">
      <w:pPr>
        <w:snapToGrid w:val="0"/>
        <w:spacing w:line="300" w:lineRule="auto"/>
        <w:ind w:firstLine="420" w:firstLineChars="200"/>
        <w:rPr>
          <w:rFonts w:ascii="宋体" w:hAnsi="宋体" w:eastAsia="宋体"/>
          <w:szCs w:val="21"/>
        </w:rPr>
      </w:pPr>
      <w:bookmarkStart w:id="897" w:name="_Toc325020900"/>
      <w:bookmarkStart w:id="898" w:name="_Toc279247603"/>
      <w:bookmarkStart w:id="899" w:name="_Toc304280792"/>
      <w:bookmarkStart w:id="900" w:name="_Toc279247472"/>
      <w:bookmarkStart w:id="901" w:name="_Toc279247341"/>
      <w:bookmarkStart w:id="902" w:name="_Toc285029111"/>
      <w:bookmarkStart w:id="903" w:name="_Toc300084268"/>
      <w:bookmarkStart w:id="904" w:name="_Toc370238520"/>
      <w:bookmarkStart w:id="905" w:name="_Toc300071426"/>
      <w:bookmarkStart w:id="906" w:name="_Toc347385724"/>
      <w:bookmarkStart w:id="907" w:name="_Toc279248916"/>
      <w:bookmarkStart w:id="908" w:name="_Toc304280541"/>
      <w:bookmarkStart w:id="909" w:name="_Toc300071299"/>
      <w:bookmarkStart w:id="910" w:name="_Toc332293405"/>
      <w:bookmarkStart w:id="911" w:name="_Toc332616537"/>
      <w:bookmarkStart w:id="912" w:name="_Toc279243734"/>
      <w:bookmarkStart w:id="913" w:name="_Toc347386228"/>
      <w:bookmarkStart w:id="914" w:name="_Toc307419429"/>
      <w:bookmarkStart w:id="915" w:name="_Toc279246811"/>
      <w:bookmarkStart w:id="916" w:name="_Toc279245757"/>
      <w:bookmarkStart w:id="917" w:name="_Toc279248779"/>
      <w:bookmarkStart w:id="918" w:name="_Toc325040174"/>
      <w:bookmarkStart w:id="919" w:name="_Toc307416243"/>
      <w:bookmarkStart w:id="920" w:name="_Toc267484972"/>
      <w:bookmarkStart w:id="921" w:name="_Toc307417540"/>
      <w:bookmarkStart w:id="922" w:name="_Toc279250813"/>
      <w:bookmarkStart w:id="923" w:name="_Toc277693688"/>
      <w:bookmarkStart w:id="924" w:name="_Toc279249697"/>
      <w:bookmarkStart w:id="925" w:name="_Toc325020368"/>
      <w:bookmarkStart w:id="926" w:name="_Toc304279800"/>
      <w:bookmarkStart w:id="927" w:name="_Toc307485307"/>
      <w:bookmarkStart w:id="928" w:name="_Toc300084615"/>
      <w:bookmarkStart w:id="929" w:name="_Toc304280296"/>
      <w:bookmarkStart w:id="930" w:name="_Toc332353198"/>
      <w:bookmarkStart w:id="931" w:name="_Toc347385979"/>
      <w:bookmarkStart w:id="932" w:name="_Toc304280045"/>
      <w:r>
        <w:rPr>
          <w:rFonts w:hint="eastAsia" w:ascii="宋体" w:hAnsi="宋体" w:eastAsia="宋体"/>
          <w:szCs w:val="21"/>
        </w:rPr>
        <w:t>(1)《水利工程建设安全生产管理规定》；</w:t>
      </w:r>
    </w:p>
    <w:p w14:paraId="6998D2A5">
      <w:pPr>
        <w:snapToGrid w:val="0"/>
        <w:spacing w:line="300" w:lineRule="auto"/>
        <w:ind w:firstLine="420" w:firstLineChars="200"/>
        <w:rPr>
          <w:rFonts w:ascii="宋体" w:hAnsi="宋体" w:eastAsia="宋体"/>
          <w:szCs w:val="21"/>
        </w:rPr>
      </w:pPr>
      <w:r>
        <w:rPr>
          <w:rFonts w:hint="eastAsia" w:ascii="宋体" w:hAnsi="宋体" w:eastAsia="宋体"/>
          <w:szCs w:val="21"/>
        </w:rPr>
        <w:t>(2)《安全技术措施计划的项目总名称表》；</w:t>
      </w:r>
    </w:p>
    <w:p w14:paraId="55E4C31D">
      <w:pPr>
        <w:snapToGrid w:val="0"/>
        <w:spacing w:line="300" w:lineRule="auto"/>
        <w:ind w:firstLine="420" w:firstLineChars="200"/>
        <w:rPr>
          <w:rFonts w:ascii="宋体" w:hAnsi="宋体" w:eastAsia="宋体"/>
          <w:szCs w:val="21"/>
        </w:rPr>
      </w:pPr>
      <w:r>
        <w:rPr>
          <w:rFonts w:hint="eastAsia" w:ascii="宋体" w:hAnsi="宋体" w:eastAsia="宋体"/>
          <w:szCs w:val="21"/>
        </w:rPr>
        <w:t>(3)《中华人民共和国道路交通安全法》；</w:t>
      </w:r>
    </w:p>
    <w:p w14:paraId="0B7142C2">
      <w:pPr>
        <w:snapToGrid w:val="0"/>
        <w:spacing w:line="300" w:lineRule="auto"/>
        <w:ind w:firstLine="420" w:firstLineChars="200"/>
        <w:rPr>
          <w:rFonts w:ascii="宋体" w:hAnsi="宋体" w:eastAsia="宋体"/>
          <w:szCs w:val="21"/>
        </w:rPr>
      </w:pPr>
      <w:r>
        <w:rPr>
          <w:rFonts w:hint="eastAsia" w:ascii="宋体" w:hAnsi="宋体" w:eastAsia="宋体"/>
          <w:szCs w:val="21"/>
        </w:rPr>
        <w:t>(4)《中华人民共和国安全生产法》；</w:t>
      </w:r>
    </w:p>
    <w:p w14:paraId="518247FF">
      <w:pPr>
        <w:snapToGrid w:val="0"/>
        <w:spacing w:line="300" w:lineRule="auto"/>
        <w:ind w:firstLine="420" w:firstLineChars="200"/>
        <w:rPr>
          <w:rFonts w:ascii="宋体" w:hAnsi="宋体" w:eastAsia="宋体"/>
          <w:szCs w:val="21"/>
        </w:rPr>
      </w:pPr>
      <w:r>
        <w:rPr>
          <w:rFonts w:hint="eastAsia" w:ascii="宋体" w:hAnsi="宋体" w:eastAsia="宋体"/>
          <w:szCs w:val="21"/>
        </w:rPr>
        <w:t>(5)《中华人民共和国消防法》；</w:t>
      </w:r>
    </w:p>
    <w:p w14:paraId="47B79795">
      <w:pPr>
        <w:snapToGrid w:val="0"/>
        <w:spacing w:line="300" w:lineRule="auto"/>
        <w:ind w:firstLine="420" w:firstLineChars="200"/>
        <w:rPr>
          <w:rFonts w:ascii="宋体" w:hAnsi="宋体" w:eastAsia="宋体"/>
          <w:szCs w:val="21"/>
        </w:rPr>
      </w:pPr>
      <w:r>
        <w:rPr>
          <w:rFonts w:hint="eastAsia" w:ascii="宋体" w:hAnsi="宋体" w:eastAsia="宋体"/>
          <w:szCs w:val="21"/>
        </w:rPr>
        <w:t>(6)《中华人民共和国传染病防治法实施办法》；</w:t>
      </w:r>
    </w:p>
    <w:p w14:paraId="3C6499FB">
      <w:pPr>
        <w:snapToGrid w:val="0"/>
        <w:spacing w:line="300" w:lineRule="auto"/>
        <w:ind w:firstLine="420" w:firstLineChars="200"/>
        <w:rPr>
          <w:rFonts w:ascii="宋体" w:hAnsi="宋体" w:eastAsia="宋体"/>
          <w:szCs w:val="21"/>
        </w:rPr>
      </w:pPr>
      <w:r>
        <w:rPr>
          <w:rFonts w:hint="eastAsia" w:ascii="宋体" w:hAnsi="宋体" w:eastAsia="宋体"/>
          <w:szCs w:val="21"/>
        </w:rPr>
        <w:t>(7)《中华人民共和国食品卫生法》；</w:t>
      </w:r>
    </w:p>
    <w:p w14:paraId="66211C57">
      <w:pPr>
        <w:snapToGrid w:val="0"/>
        <w:spacing w:line="300" w:lineRule="auto"/>
        <w:ind w:firstLine="420" w:firstLineChars="200"/>
        <w:rPr>
          <w:rFonts w:ascii="宋体" w:hAnsi="宋体" w:eastAsia="宋体"/>
          <w:szCs w:val="21"/>
        </w:rPr>
      </w:pPr>
      <w:r>
        <w:rPr>
          <w:rFonts w:hint="eastAsia" w:ascii="宋体" w:hAnsi="宋体" w:eastAsia="宋体"/>
          <w:szCs w:val="21"/>
        </w:rPr>
        <w:t>(8)《中华人民共和国劳动法》。</w:t>
      </w:r>
    </w:p>
    <w:p w14:paraId="5FF94AF9">
      <w:pPr>
        <w:adjustRightInd w:val="0"/>
        <w:snapToGrid w:val="0"/>
        <w:spacing w:before="134" w:beforeLines="25" w:line="300" w:lineRule="auto"/>
        <w:outlineLvl w:val="1"/>
        <w:rPr>
          <w:rFonts w:ascii="宋体" w:hAnsi="宋体" w:eastAsia="宋体"/>
          <w:b/>
          <w:bCs/>
          <w:sz w:val="24"/>
          <w:szCs w:val="24"/>
        </w:rPr>
      </w:pPr>
      <w:bookmarkStart w:id="933" w:name="_Toc381819980"/>
      <w:bookmarkStart w:id="934" w:name="_Toc381798970"/>
      <w:r>
        <w:rPr>
          <w:rFonts w:hint="eastAsia" w:ascii="宋体" w:hAnsi="宋体" w:eastAsia="宋体"/>
          <w:b/>
          <w:bCs/>
          <w:sz w:val="24"/>
          <w:szCs w:val="24"/>
        </w:rPr>
        <w:t>3.2施工安全措施</w:t>
      </w:r>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p>
    <w:p w14:paraId="6ACA0EDE">
      <w:pPr>
        <w:snapToGrid w:val="0"/>
        <w:spacing w:before="134" w:beforeLines="25" w:line="300" w:lineRule="auto"/>
        <w:ind w:firstLine="210" w:firstLineChars="100"/>
        <w:outlineLvl w:val="2"/>
        <w:rPr>
          <w:rFonts w:ascii="宋体" w:hAnsi="宋体" w:eastAsia="宋体"/>
          <w:b/>
          <w:bCs/>
          <w:szCs w:val="21"/>
        </w:rPr>
      </w:pPr>
      <w:bookmarkStart w:id="935" w:name="_Toc381819981"/>
      <w:bookmarkStart w:id="936" w:name="_Toc381798971"/>
      <w:bookmarkStart w:id="937" w:name="_Toc300084269"/>
      <w:bookmarkStart w:id="938" w:name="_Toc285029112"/>
      <w:bookmarkStart w:id="939" w:name="_Toc300071427"/>
      <w:r>
        <w:rPr>
          <w:rFonts w:hint="eastAsia" w:ascii="宋体" w:hAnsi="宋体" w:eastAsia="宋体"/>
          <w:b/>
          <w:bCs/>
          <w:szCs w:val="21"/>
        </w:rPr>
        <w:t>3.2.1施工安全措施计划</w:t>
      </w:r>
      <w:bookmarkEnd w:id="935"/>
      <w:bookmarkEnd w:id="936"/>
      <w:bookmarkEnd w:id="937"/>
      <w:bookmarkEnd w:id="938"/>
      <w:bookmarkEnd w:id="939"/>
    </w:p>
    <w:p w14:paraId="668545C8">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本章第3.1.3条的规定提交施工安全措施计划，其内容应包括施工安全机构的设置、专职安全人员的配备，以及防洪、防火、防毒、防噪声、防爆破烟尘、救护、警报、治安和炸药管理等。施工安全措施的项目和范围，还应符合国家颁发的《安全技术措施计划的项目总名称表》及其附录H、I、J的规定。</w:t>
      </w:r>
    </w:p>
    <w:p w14:paraId="6984B56E">
      <w:pPr>
        <w:snapToGrid w:val="0"/>
        <w:spacing w:before="134" w:beforeLines="25" w:line="300" w:lineRule="auto"/>
        <w:ind w:firstLine="210" w:firstLineChars="100"/>
        <w:outlineLvl w:val="2"/>
        <w:rPr>
          <w:rFonts w:ascii="宋体" w:hAnsi="宋体" w:eastAsia="宋体"/>
          <w:b/>
          <w:bCs/>
          <w:szCs w:val="21"/>
        </w:rPr>
      </w:pPr>
      <w:bookmarkStart w:id="940" w:name="_Toc300084270"/>
      <w:bookmarkStart w:id="941" w:name="_Toc381819982"/>
      <w:bookmarkStart w:id="942" w:name="_Toc300071428"/>
      <w:bookmarkStart w:id="943" w:name="_Toc285029113"/>
      <w:bookmarkStart w:id="944" w:name="_Toc381798972"/>
      <w:r>
        <w:rPr>
          <w:rFonts w:hint="eastAsia" w:ascii="宋体" w:hAnsi="宋体" w:eastAsia="宋体"/>
          <w:b/>
          <w:bCs/>
          <w:szCs w:val="21"/>
        </w:rPr>
        <w:t>3.2.2劳动保护</w:t>
      </w:r>
      <w:bookmarkEnd w:id="940"/>
      <w:bookmarkEnd w:id="941"/>
      <w:bookmarkEnd w:id="942"/>
      <w:bookmarkEnd w:id="943"/>
      <w:bookmarkEnd w:id="944"/>
    </w:p>
    <w:p w14:paraId="66D220A9">
      <w:pPr>
        <w:snapToGrid w:val="0"/>
        <w:spacing w:line="300" w:lineRule="auto"/>
        <w:ind w:firstLine="420" w:firstLineChars="200"/>
        <w:rPr>
          <w:rFonts w:ascii="宋体" w:hAnsi="宋体" w:eastAsia="宋体"/>
          <w:szCs w:val="21"/>
        </w:rPr>
      </w:pPr>
      <w:r>
        <w:rPr>
          <w:rFonts w:hint="eastAsia" w:ascii="宋体" w:hAnsi="宋体" w:eastAsia="宋体"/>
          <w:szCs w:val="21"/>
        </w:rPr>
        <w:t>（1）承包人应定期向所有现场施工人员发放安全帽、水鞋、雨衣、手套、手灯、防护面具和安全带等劳动保护用品，以及特殊工种作业人员的劳动保护津贴和营养补助等。</w:t>
      </w:r>
    </w:p>
    <w:p w14:paraId="6796095C">
      <w:pPr>
        <w:snapToGrid w:val="0"/>
        <w:spacing w:line="300" w:lineRule="auto"/>
        <w:ind w:firstLine="420" w:firstLineChars="200"/>
        <w:rPr>
          <w:rFonts w:ascii="宋体" w:hAnsi="宋体" w:eastAsia="宋体"/>
          <w:szCs w:val="21"/>
        </w:rPr>
      </w:pPr>
      <w:r>
        <w:rPr>
          <w:rFonts w:hint="eastAsia" w:ascii="宋体" w:hAnsi="宋体" w:eastAsia="宋体"/>
          <w:szCs w:val="21"/>
        </w:rPr>
        <w:t>（2）按《中华人民共和国劳动法》的有关规定安排现场作业人员的劳动和休息时间，加班时间不得超过《中华人民共和国劳动法》第四章的规定。</w:t>
      </w:r>
    </w:p>
    <w:p w14:paraId="17D4CE0E">
      <w:pPr>
        <w:snapToGrid w:val="0"/>
        <w:spacing w:before="134" w:beforeLines="25" w:line="300" w:lineRule="auto"/>
        <w:ind w:firstLine="210" w:firstLineChars="100"/>
        <w:outlineLvl w:val="2"/>
        <w:rPr>
          <w:rFonts w:ascii="宋体" w:hAnsi="宋体" w:eastAsia="宋体"/>
          <w:b/>
          <w:bCs/>
          <w:szCs w:val="21"/>
        </w:rPr>
      </w:pPr>
      <w:bookmarkStart w:id="945" w:name="_Toc381819983"/>
      <w:bookmarkStart w:id="946" w:name="_Toc285029114"/>
      <w:bookmarkStart w:id="947" w:name="_Toc300084271"/>
      <w:bookmarkStart w:id="948" w:name="_Toc300071429"/>
      <w:r>
        <w:rPr>
          <w:rFonts w:hint="eastAsia" w:ascii="宋体" w:hAnsi="宋体" w:eastAsia="宋体"/>
          <w:b/>
          <w:bCs/>
          <w:szCs w:val="21"/>
        </w:rPr>
        <w:t>3.2.3伤病防治和卫生保健</w:t>
      </w:r>
      <w:bookmarkEnd w:id="945"/>
      <w:bookmarkEnd w:id="946"/>
      <w:bookmarkEnd w:id="947"/>
      <w:bookmarkEnd w:id="948"/>
    </w:p>
    <w:p w14:paraId="2BD7FC8C">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（1）承包人应在施工现场设置医疗卫生机构，负责施工人员的伤病防治和卫生保健工作。</w:t>
      </w:r>
    </w:p>
    <w:p w14:paraId="6ED56DEE">
      <w:pPr>
        <w:snapToGrid w:val="0"/>
        <w:spacing w:line="300" w:lineRule="auto"/>
        <w:ind w:firstLine="420" w:firstLineChars="200"/>
        <w:rPr>
          <w:rFonts w:ascii="宋体" w:hAnsi="宋体" w:eastAsia="宋体"/>
          <w:szCs w:val="21"/>
        </w:rPr>
      </w:pPr>
      <w:r>
        <w:rPr>
          <w:rFonts w:hint="eastAsia" w:ascii="宋体" w:hAnsi="宋体" w:eastAsia="宋体"/>
          <w:szCs w:val="21"/>
        </w:rPr>
        <w:t>（2）施工人员进入生活区和作业面前，应对环境进行卫生清理，以及采取消毒、杀虫、灭鼠等卫生措施，并对饮用水进行消毒。</w:t>
      </w:r>
    </w:p>
    <w:p w14:paraId="0CAAFA12">
      <w:pPr>
        <w:snapToGrid w:val="0"/>
        <w:spacing w:line="300" w:lineRule="auto"/>
        <w:ind w:firstLine="420" w:firstLineChars="200"/>
        <w:rPr>
          <w:rFonts w:ascii="宋体" w:hAnsi="宋体" w:eastAsia="宋体"/>
          <w:szCs w:val="21"/>
        </w:rPr>
      </w:pPr>
      <w:r>
        <w:rPr>
          <w:rFonts w:hint="eastAsia" w:ascii="宋体" w:hAnsi="宋体" w:eastAsia="宋体"/>
          <w:szCs w:val="21"/>
        </w:rPr>
        <w:t>（3）及时做好病源和疫情监测。一旦发现疫情，应立即采取措施控制感染源和感染者。</w:t>
      </w:r>
    </w:p>
    <w:p w14:paraId="17052A2B">
      <w:pPr>
        <w:snapToGrid w:val="0"/>
        <w:spacing w:line="300" w:lineRule="auto"/>
        <w:ind w:firstLine="420" w:firstLineChars="200"/>
        <w:rPr>
          <w:rFonts w:ascii="宋体" w:hAnsi="宋体" w:eastAsia="宋体"/>
          <w:szCs w:val="21"/>
        </w:rPr>
      </w:pPr>
      <w:r>
        <w:rPr>
          <w:rFonts w:hint="eastAsia" w:ascii="宋体" w:hAnsi="宋体" w:eastAsia="宋体"/>
          <w:szCs w:val="21"/>
        </w:rPr>
        <w:t>（4）职工食堂应严格执行《中华人民共和国食品卫生法》的有关规定。</w:t>
      </w:r>
    </w:p>
    <w:p w14:paraId="3BB9AE92">
      <w:pPr>
        <w:snapToGrid w:val="0"/>
        <w:spacing w:line="300" w:lineRule="auto"/>
        <w:ind w:firstLine="420" w:firstLineChars="200"/>
        <w:rPr>
          <w:rFonts w:ascii="宋体" w:hAnsi="宋体" w:eastAsia="宋体"/>
          <w:szCs w:val="21"/>
        </w:rPr>
      </w:pPr>
      <w:r>
        <w:rPr>
          <w:rFonts w:hint="eastAsia" w:ascii="宋体" w:hAnsi="宋体" w:eastAsia="宋体"/>
          <w:szCs w:val="21"/>
        </w:rPr>
        <w:t>（5）所有传染病人、病原携带者和疑似病人一律不得从事易于使该病传播的工作。</w:t>
      </w:r>
    </w:p>
    <w:p w14:paraId="676E8A9C">
      <w:pPr>
        <w:snapToGrid w:val="0"/>
        <w:spacing w:before="134" w:beforeLines="25" w:line="300" w:lineRule="auto"/>
        <w:ind w:firstLine="210" w:firstLineChars="100"/>
        <w:outlineLvl w:val="2"/>
        <w:rPr>
          <w:rFonts w:ascii="宋体" w:hAnsi="宋体" w:eastAsia="宋体"/>
          <w:b/>
          <w:bCs/>
          <w:szCs w:val="21"/>
        </w:rPr>
      </w:pPr>
      <w:bookmarkStart w:id="949" w:name="_Toc381798973"/>
      <w:bookmarkStart w:id="950" w:name="_Toc300084272"/>
      <w:bookmarkStart w:id="951" w:name="_Toc285029115"/>
      <w:bookmarkStart w:id="952" w:name="_Toc381819984"/>
      <w:bookmarkStart w:id="953" w:name="_Toc300071430"/>
      <w:r>
        <w:rPr>
          <w:rFonts w:hint="eastAsia" w:ascii="宋体" w:hAnsi="宋体" w:eastAsia="宋体"/>
          <w:b/>
          <w:bCs/>
          <w:szCs w:val="21"/>
        </w:rPr>
        <w:t>3.2.4危险物品的安全管理</w:t>
      </w:r>
      <w:bookmarkEnd w:id="949"/>
      <w:bookmarkEnd w:id="950"/>
      <w:bookmarkEnd w:id="951"/>
      <w:bookmarkEnd w:id="952"/>
      <w:bookmarkEnd w:id="953"/>
    </w:p>
    <w:p w14:paraId="7B13A2FE">
      <w:pPr>
        <w:snapToGrid w:val="0"/>
        <w:spacing w:line="300" w:lineRule="auto"/>
        <w:ind w:firstLine="420" w:firstLineChars="200"/>
        <w:rPr>
          <w:rFonts w:ascii="宋体" w:hAnsi="宋体" w:eastAsia="宋体"/>
          <w:szCs w:val="21"/>
        </w:rPr>
      </w:pPr>
      <w:r>
        <w:rPr>
          <w:rFonts w:hint="eastAsia" w:ascii="宋体" w:hAnsi="宋体" w:eastAsia="宋体"/>
          <w:szCs w:val="21"/>
        </w:rPr>
        <w:t>承包人运输和存放爆破器材，应遵守SL398-2007第8.3.3条、第8.3.4条的规定；油料的运输和管理应遵守SL398-2007第11.5节的规定。</w:t>
      </w:r>
    </w:p>
    <w:p w14:paraId="33C783C5">
      <w:pPr>
        <w:snapToGrid w:val="0"/>
        <w:spacing w:before="134" w:beforeLines="25" w:line="300" w:lineRule="auto"/>
        <w:ind w:firstLine="210" w:firstLineChars="100"/>
        <w:outlineLvl w:val="2"/>
        <w:rPr>
          <w:rFonts w:ascii="宋体" w:hAnsi="宋体" w:eastAsia="宋体"/>
          <w:b/>
          <w:bCs/>
          <w:szCs w:val="21"/>
        </w:rPr>
      </w:pPr>
      <w:bookmarkStart w:id="954" w:name="_Toc300084273"/>
      <w:bookmarkStart w:id="955" w:name="_Toc300071431"/>
      <w:bookmarkStart w:id="956" w:name="_Toc285029116"/>
      <w:bookmarkStart w:id="957" w:name="_Toc381798974"/>
      <w:bookmarkStart w:id="958" w:name="_Toc381819985"/>
      <w:r>
        <w:rPr>
          <w:rFonts w:hint="eastAsia" w:ascii="宋体" w:hAnsi="宋体" w:eastAsia="宋体"/>
          <w:b/>
          <w:bCs/>
          <w:szCs w:val="21"/>
        </w:rPr>
        <w:t>3.2.5照明安全</w:t>
      </w:r>
      <w:bookmarkEnd w:id="954"/>
      <w:bookmarkEnd w:id="955"/>
      <w:bookmarkEnd w:id="956"/>
      <w:bookmarkEnd w:id="957"/>
      <w:bookmarkEnd w:id="958"/>
    </w:p>
    <w:p w14:paraId="4C13F870">
      <w:pPr>
        <w:snapToGrid w:val="0"/>
        <w:spacing w:line="300" w:lineRule="auto"/>
        <w:ind w:firstLine="420" w:firstLineChars="200"/>
        <w:rPr>
          <w:rFonts w:ascii="宋体" w:hAnsi="宋体" w:eastAsia="宋体"/>
          <w:szCs w:val="21"/>
        </w:rPr>
      </w:pPr>
      <w:r>
        <w:rPr>
          <w:rFonts w:hint="eastAsia" w:ascii="宋体" w:hAnsi="宋体" w:eastAsia="宋体"/>
          <w:szCs w:val="21"/>
        </w:rPr>
        <w:t>承包人应在施工作业区、施工道路、临时设施、办公区和生活区设置足够的照明，地下洞室的施工作业区、运输通道应布置照明设施符合SL398-2007第4.5.9～4.5.14条的规定。</w:t>
      </w:r>
    </w:p>
    <w:p w14:paraId="5E61EB32">
      <w:pPr>
        <w:snapToGrid w:val="0"/>
        <w:spacing w:before="134" w:beforeLines="25" w:line="300" w:lineRule="auto"/>
        <w:ind w:firstLine="210" w:firstLineChars="100"/>
        <w:outlineLvl w:val="2"/>
        <w:rPr>
          <w:rFonts w:ascii="宋体" w:hAnsi="宋体" w:eastAsia="宋体"/>
          <w:b/>
          <w:bCs/>
          <w:szCs w:val="21"/>
        </w:rPr>
      </w:pPr>
      <w:bookmarkStart w:id="959" w:name="_Toc381798975"/>
      <w:bookmarkStart w:id="960" w:name="_Toc300071432"/>
      <w:bookmarkStart w:id="961" w:name="_Toc285029117"/>
      <w:bookmarkStart w:id="962" w:name="_Toc381819986"/>
      <w:bookmarkStart w:id="963" w:name="_Toc300084274"/>
      <w:r>
        <w:rPr>
          <w:rFonts w:hint="eastAsia" w:ascii="宋体" w:hAnsi="宋体" w:eastAsia="宋体"/>
          <w:b/>
          <w:bCs/>
          <w:szCs w:val="21"/>
        </w:rPr>
        <w:t>3.2.6接地及防雷装置</w:t>
      </w:r>
      <w:bookmarkEnd w:id="959"/>
      <w:bookmarkEnd w:id="960"/>
      <w:bookmarkEnd w:id="961"/>
      <w:bookmarkEnd w:id="962"/>
      <w:bookmarkEnd w:id="963"/>
    </w:p>
    <w:p w14:paraId="2CE5B0A1">
      <w:pPr>
        <w:snapToGrid w:val="0"/>
        <w:spacing w:line="300" w:lineRule="auto"/>
        <w:ind w:firstLine="420" w:firstLineChars="200"/>
        <w:rPr>
          <w:rFonts w:ascii="宋体" w:hAnsi="宋体" w:eastAsia="宋体"/>
          <w:szCs w:val="21"/>
        </w:rPr>
      </w:pPr>
      <w:r>
        <w:rPr>
          <w:rFonts w:hint="eastAsia" w:ascii="宋体" w:hAnsi="宋体" w:eastAsia="宋体"/>
          <w:szCs w:val="21"/>
        </w:rPr>
        <w:t>接地及防雷装置应符合SL 398-2007第4.2节接地(接零) 与防雷规定的要求。凡可能漏电伤人或易受雷击的电器及建筑物均应设置接地或防雷装置。</w:t>
      </w:r>
    </w:p>
    <w:p w14:paraId="0D5692FC">
      <w:pPr>
        <w:snapToGrid w:val="0"/>
        <w:spacing w:before="134" w:beforeLines="25" w:line="300" w:lineRule="auto"/>
        <w:ind w:firstLine="210" w:firstLineChars="100"/>
        <w:outlineLvl w:val="2"/>
        <w:rPr>
          <w:rFonts w:ascii="宋体" w:hAnsi="宋体" w:eastAsia="宋体"/>
          <w:b/>
          <w:bCs/>
          <w:szCs w:val="21"/>
        </w:rPr>
      </w:pPr>
      <w:bookmarkStart w:id="964" w:name="_Toc381798976"/>
      <w:bookmarkStart w:id="965" w:name="_Toc300071433"/>
      <w:bookmarkStart w:id="966" w:name="_Toc381819987"/>
      <w:bookmarkStart w:id="967" w:name="_Toc300084275"/>
      <w:bookmarkStart w:id="968" w:name="_Toc285029118"/>
      <w:r>
        <w:rPr>
          <w:rFonts w:hint="eastAsia" w:ascii="宋体" w:hAnsi="宋体" w:eastAsia="宋体"/>
          <w:b/>
          <w:bCs/>
          <w:szCs w:val="21"/>
        </w:rPr>
        <w:t>3.2.7防有毒、有害物品的控制</w:t>
      </w:r>
      <w:bookmarkEnd w:id="964"/>
      <w:bookmarkEnd w:id="965"/>
      <w:bookmarkEnd w:id="966"/>
      <w:bookmarkEnd w:id="967"/>
      <w:bookmarkEnd w:id="968"/>
    </w:p>
    <w:p w14:paraId="0D53AE5C">
      <w:pPr>
        <w:snapToGrid w:val="0"/>
        <w:spacing w:line="300" w:lineRule="auto"/>
        <w:ind w:firstLine="420" w:firstLineChars="200"/>
        <w:rPr>
          <w:rFonts w:ascii="宋体" w:hAnsi="宋体" w:eastAsia="宋体"/>
          <w:szCs w:val="21"/>
        </w:rPr>
      </w:pPr>
      <w:r>
        <w:rPr>
          <w:rFonts w:hint="eastAsia" w:ascii="宋体" w:hAnsi="宋体" w:eastAsia="宋体"/>
          <w:szCs w:val="21"/>
        </w:rPr>
        <w:t>承包人应遵守SL 378-2007第11.3节防尘、有害气体的规定。</w:t>
      </w:r>
    </w:p>
    <w:p w14:paraId="7A123840">
      <w:pPr>
        <w:snapToGrid w:val="0"/>
        <w:spacing w:before="134" w:beforeLines="25" w:line="300" w:lineRule="auto"/>
        <w:ind w:firstLine="210" w:firstLineChars="100"/>
        <w:outlineLvl w:val="2"/>
        <w:rPr>
          <w:rFonts w:ascii="宋体" w:hAnsi="宋体" w:eastAsia="宋体"/>
          <w:b/>
          <w:bCs/>
          <w:szCs w:val="21"/>
        </w:rPr>
      </w:pPr>
      <w:bookmarkStart w:id="969" w:name="_Toc381819988"/>
      <w:bookmarkStart w:id="970" w:name="_Toc381798977"/>
      <w:bookmarkStart w:id="971" w:name="_Toc300084276"/>
      <w:bookmarkStart w:id="972" w:name="_Toc300071434"/>
      <w:bookmarkStart w:id="973" w:name="_Toc285029119"/>
      <w:r>
        <w:rPr>
          <w:rFonts w:hint="eastAsia" w:ascii="宋体" w:hAnsi="宋体" w:eastAsia="宋体"/>
          <w:b/>
          <w:bCs/>
          <w:szCs w:val="21"/>
        </w:rPr>
        <w:t>3.2.8爆破作业安全</w:t>
      </w:r>
      <w:bookmarkEnd w:id="969"/>
      <w:bookmarkEnd w:id="970"/>
    </w:p>
    <w:p w14:paraId="396227E3">
      <w:pPr>
        <w:snapToGrid w:val="0"/>
        <w:spacing w:line="300" w:lineRule="auto"/>
        <w:ind w:firstLine="420" w:firstLineChars="200"/>
        <w:rPr>
          <w:rFonts w:ascii="宋体" w:hAnsi="宋体" w:eastAsia="宋体"/>
          <w:szCs w:val="21"/>
        </w:rPr>
      </w:pPr>
      <w:r>
        <w:rPr>
          <w:rFonts w:hint="eastAsia" w:ascii="宋体" w:hAnsi="宋体" w:eastAsia="宋体"/>
          <w:szCs w:val="21"/>
        </w:rPr>
        <w:t>(1)承包人的施工爆破作业应严格遵照GB 6722-2014及国家有关爆破安全管理的规定。承包人应对爆破造成的工程和人身损害和财产损失承担责任。</w:t>
      </w:r>
    </w:p>
    <w:p w14:paraId="3B55298B">
      <w:pPr>
        <w:snapToGrid w:val="0"/>
        <w:spacing w:line="300" w:lineRule="auto"/>
        <w:ind w:firstLine="420" w:firstLineChars="200"/>
        <w:rPr>
          <w:rFonts w:ascii="宋体" w:hAnsi="宋体" w:eastAsia="宋体"/>
          <w:szCs w:val="21"/>
        </w:rPr>
      </w:pPr>
      <w:r>
        <w:rPr>
          <w:rFonts w:hint="eastAsia" w:ascii="宋体" w:hAnsi="宋体" w:eastAsia="宋体"/>
          <w:szCs w:val="21"/>
        </w:rPr>
        <w:t>(2)对实施电引爆的作业区，承包人应采用必要的特殊安全装置，以防止暴风雨时的大气或邻近电气设备放电的影响。特殊安全装置应经过试验证明其确保安全可靠时方可使用。试验报告应提交监理人。</w:t>
      </w:r>
    </w:p>
    <w:p w14:paraId="48BD3022">
      <w:pPr>
        <w:snapToGrid w:val="0"/>
        <w:spacing w:line="300" w:lineRule="auto"/>
        <w:ind w:firstLine="420" w:firstLineChars="200"/>
        <w:rPr>
          <w:rFonts w:ascii="宋体" w:hAnsi="宋体" w:eastAsia="宋体"/>
          <w:szCs w:val="21"/>
        </w:rPr>
      </w:pPr>
      <w:r>
        <w:rPr>
          <w:rFonts w:hint="eastAsia" w:ascii="宋体" w:hAnsi="宋体" w:eastAsia="宋体"/>
          <w:szCs w:val="21"/>
        </w:rPr>
        <w:t>(3)当承包人的现场爆破作业对其它承包人的施工造成干扰及影响临近设施和人员的安全时，应由监理人协调解决。现场爆破时，各方均应服从爆破作业指挥人员的命令。</w:t>
      </w:r>
    </w:p>
    <w:p w14:paraId="46D2EAEB">
      <w:pPr>
        <w:snapToGrid w:val="0"/>
        <w:spacing w:before="134" w:beforeLines="25" w:line="300" w:lineRule="auto"/>
        <w:ind w:firstLine="210" w:firstLineChars="100"/>
        <w:outlineLvl w:val="2"/>
        <w:rPr>
          <w:rFonts w:ascii="宋体" w:hAnsi="宋体" w:eastAsia="宋体"/>
          <w:b/>
          <w:bCs/>
          <w:szCs w:val="21"/>
        </w:rPr>
      </w:pPr>
      <w:bookmarkStart w:id="974" w:name="_Toc381798978"/>
      <w:bookmarkStart w:id="975" w:name="_Toc381819989"/>
      <w:r>
        <w:rPr>
          <w:rFonts w:hint="eastAsia" w:ascii="宋体" w:hAnsi="宋体" w:eastAsia="宋体"/>
          <w:b/>
          <w:bCs/>
          <w:szCs w:val="21"/>
        </w:rPr>
        <w:t>3.2.9消防</w:t>
      </w:r>
      <w:bookmarkEnd w:id="971"/>
      <w:bookmarkEnd w:id="972"/>
      <w:bookmarkEnd w:id="973"/>
      <w:bookmarkEnd w:id="974"/>
      <w:bookmarkEnd w:id="975"/>
    </w:p>
    <w:p w14:paraId="2269A878">
      <w:pPr>
        <w:snapToGrid w:val="0"/>
        <w:spacing w:line="300" w:lineRule="auto"/>
        <w:ind w:firstLine="420" w:firstLineChars="200"/>
        <w:rPr>
          <w:rFonts w:ascii="宋体" w:hAnsi="宋体" w:eastAsia="宋体"/>
          <w:szCs w:val="21"/>
        </w:rPr>
      </w:pPr>
      <w:r>
        <w:rPr>
          <w:rFonts w:hint="eastAsia" w:ascii="宋体" w:hAnsi="宋体" w:eastAsia="宋体"/>
          <w:szCs w:val="21"/>
        </w:rPr>
        <w:t>（1）承包人应遵守《中华人民共和国消防法》，并负责其自己辖区内的消防工作。承包人应对其辖区内发生的火灾及其造成的人员伤亡和财产损失负责。</w:t>
      </w:r>
    </w:p>
    <w:p w14:paraId="429966AB">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（2）承包人应按SL 398-2007第3.5节的规定，建立现场消防组织，配置必要的消防专职人员和消防设备器材。消防设备的型号和功率应满足消防任务的需要。在现场配备必要的灭火器材、设置防火警示标志，保持畅通的消防通道。</w:t>
      </w:r>
    </w:p>
    <w:p w14:paraId="14746A31">
      <w:pPr>
        <w:snapToGrid w:val="0"/>
        <w:spacing w:line="300" w:lineRule="auto"/>
        <w:ind w:firstLine="420" w:firstLineChars="200"/>
        <w:rPr>
          <w:rFonts w:ascii="宋体" w:hAnsi="宋体" w:eastAsia="宋体"/>
          <w:szCs w:val="21"/>
        </w:rPr>
      </w:pPr>
      <w:r>
        <w:rPr>
          <w:rFonts w:hint="eastAsia" w:ascii="宋体" w:hAnsi="宋体" w:eastAsia="宋体"/>
          <w:szCs w:val="21"/>
        </w:rPr>
        <w:t>（3）承包人应对职工进行经常性的消防知识教育和消防安全训练，消防设备器材应经常检查和保养，使其处于良好的待命状态。</w:t>
      </w:r>
    </w:p>
    <w:p w14:paraId="5A4FD407">
      <w:pPr>
        <w:snapToGrid w:val="0"/>
        <w:spacing w:line="300" w:lineRule="auto"/>
        <w:ind w:firstLine="420" w:firstLineChars="200"/>
        <w:rPr>
          <w:rFonts w:ascii="宋体" w:hAnsi="宋体" w:eastAsia="宋体"/>
          <w:szCs w:val="21"/>
        </w:rPr>
      </w:pPr>
      <w:r>
        <w:rPr>
          <w:rFonts w:hint="eastAsia" w:ascii="宋体" w:hAnsi="宋体" w:eastAsia="宋体"/>
          <w:szCs w:val="21"/>
        </w:rPr>
        <w:t>（4）承包人应制定经常性的消防检查制度，划分施工现场的防火责任区。承包人的消防专职人员应定期检查各施工现场，以及办公与生活区的消防安全，特别是用电安全。</w:t>
      </w:r>
    </w:p>
    <w:p w14:paraId="2BC2D49B">
      <w:pPr>
        <w:snapToGrid w:val="0"/>
        <w:spacing w:before="134" w:beforeLines="25" w:line="300" w:lineRule="auto"/>
        <w:ind w:firstLine="210" w:firstLineChars="100"/>
        <w:outlineLvl w:val="2"/>
        <w:rPr>
          <w:rFonts w:ascii="宋体" w:hAnsi="宋体" w:eastAsia="宋体"/>
          <w:b/>
          <w:bCs/>
          <w:szCs w:val="21"/>
        </w:rPr>
      </w:pPr>
      <w:bookmarkStart w:id="976" w:name="_Toc300084277"/>
      <w:bookmarkStart w:id="977" w:name="_Toc381819990"/>
      <w:bookmarkStart w:id="978" w:name="_Toc381798979"/>
      <w:bookmarkStart w:id="979" w:name="_Toc300071435"/>
      <w:bookmarkStart w:id="980" w:name="_Toc285029120"/>
      <w:r>
        <w:rPr>
          <w:rFonts w:hint="eastAsia" w:ascii="宋体" w:hAnsi="宋体" w:eastAsia="宋体"/>
          <w:b/>
          <w:bCs/>
          <w:szCs w:val="21"/>
        </w:rPr>
        <w:t>3.2.10洪水和气象灾害的防护</w:t>
      </w:r>
      <w:bookmarkEnd w:id="976"/>
      <w:bookmarkEnd w:id="977"/>
      <w:bookmarkEnd w:id="978"/>
      <w:bookmarkEnd w:id="979"/>
      <w:bookmarkEnd w:id="980"/>
    </w:p>
    <w:p w14:paraId="3D42188C">
      <w:pPr>
        <w:snapToGrid w:val="0"/>
        <w:spacing w:line="300" w:lineRule="auto"/>
        <w:ind w:firstLine="420" w:firstLineChars="200"/>
        <w:rPr>
          <w:rFonts w:ascii="宋体" w:hAnsi="宋体" w:eastAsia="宋体"/>
          <w:szCs w:val="21"/>
        </w:rPr>
      </w:pPr>
      <w:r>
        <w:rPr>
          <w:rFonts w:hint="eastAsia" w:ascii="宋体" w:hAnsi="宋体" w:eastAsia="宋体"/>
          <w:szCs w:val="21"/>
        </w:rPr>
        <w:t>（1）承包人应做好水情和气象预报工作。承包人应向发包人或地方主管水文、气象预报工作的部门获取工程所在区域短、中、长期水文、气象预报资料。一旦发现有可能危及工程和人身财产安全的灾害预兆时，应立即采取确保安全的有效措施。</w:t>
      </w:r>
    </w:p>
    <w:p w14:paraId="434362C3">
      <w:pPr>
        <w:snapToGrid w:val="0"/>
        <w:spacing w:line="300" w:lineRule="auto"/>
        <w:ind w:firstLine="420" w:firstLineChars="200"/>
        <w:rPr>
          <w:rFonts w:ascii="宋体" w:hAnsi="宋体" w:eastAsia="宋体"/>
          <w:szCs w:val="21"/>
        </w:rPr>
      </w:pPr>
      <w:r>
        <w:rPr>
          <w:rFonts w:hint="eastAsia" w:ascii="宋体" w:hAnsi="宋体" w:eastAsia="宋体"/>
          <w:szCs w:val="21"/>
        </w:rPr>
        <w:t>（2）每年汛前，承包人应编制防洪度汛预案，并按《水利水电工程施工通用安全技术规程》(SL 398-2007)第3.6节、第3.7节的规定，制定切实可行的预防和减灾措施。</w:t>
      </w:r>
    </w:p>
    <w:p w14:paraId="3C229352">
      <w:pPr>
        <w:snapToGrid w:val="0"/>
        <w:spacing w:before="134" w:beforeLines="25" w:line="300" w:lineRule="auto"/>
        <w:ind w:firstLine="210" w:firstLineChars="100"/>
        <w:outlineLvl w:val="2"/>
        <w:rPr>
          <w:rFonts w:ascii="宋体" w:hAnsi="宋体" w:eastAsia="宋体"/>
          <w:b/>
          <w:bCs/>
          <w:szCs w:val="21"/>
        </w:rPr>
      </w:pPr>
      <w:bookmarkStart w:id="981" w:name="_Toc381798980"/>
      <w:bookmarkStart w:id="982" w:name="_Toc285029121"/>
      <w:bookmarkStart w:id="983" w:name="_Toc381819991"/>
      <w:bookmarkStart w:id="984" w:name="_Toc300071436"/>
      <w:bookmarkStart w:id="985" w:name="_Toc300084278"/>
      <w:r>
        <w:rPr>
          <w:rFonts w:hint="eastAsia" w:ascii="宋体" w:hAnsi="宋体" w:eastAsia="宋体"/>
          <w:b/>
          <w:bCs/>
          <w:szCs w:val="21"/>
        </w:rPr>
        <w:t>3.2.11安全标志</w:t>
      </w:r>
      <w:bookmarkEnd w:id="981"/>
      <w:bookmarkEnd w:id="982"/>
      <w:bookmarkEnd w:id="983"/>
      <w:bookmarkEnd w:id="984"/>
      <w:bookmarkEnd w:id="985"/>
    </w:p>
    <w:p w14:paraId="1E434313">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（1）承包人应按GB 2894-2008的要求，在施工区内设置一切必需的安全标志，其标志类型包括：</w:t>
      </w:r>
    </w:p>
    <w:p w14:paraId="5160557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1)禁止标志；</w:t>
      </w:r>
    </w:p>
    <w:p w14:paraId="5E3703C7">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2)警告标志；</w:t>
      </w:r>
    </w:p>
    <w:p w14:paraId="4B0BAE71">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3)指令标志；</w:t>
      </w:r>
    </w:p>
    <w:p w14:paraId="3443AB2A">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4)提示标志。</w:t>
      </w:r>
    </w:p>
    <w:p w14:paraId="5BDB0D3B">
      <w:pPr>
        <w:snapToGrid w:val="0"/>
        <w:spacing w:line="300" w:lineRule="auto"/>
        <w:ind w:firstLine="420" w:firstLineChars="200"/>
        <w:rPr>
          <w:rFonts w:ascii="宋体" w:hAnsi="宋体" w:eastAsia="宋体"/>
          <w:szCs w:val="21"/>
        </w:rPr>
      </w:pPr>
      <w:r>
        <w:rPr>
          <w:rFonts w:hint="eastAsia" w:ascii="宋体" w:hAnsi="宋体" w:eastAsia="宋体"/>
          <w:szCs w:val="21"/>
        </w:rPr>
        <w:t>（2）承包人应负责保护施工区内的所有标志，并按监理人指示补充或更换失效的标志。</w:t>
      </w:r>
    </w:p>
    <w:p w14:paraId="6C91FA16">
      <w:pPr>
        <w:adjustRightInd w:val="0"/>
        <w:snapToGrid w:val="0"/>
        <w:spacing w:before="134" w:beforeLines="25" w:line="300" w:lineRule="auto"/>
        <w:outlineLvl w:val="1"/>
        <w:rPr>
          <w:rFonts w:ascii="宋体" w:hAnsi="宋体" w:eastAsia="宋体"/>
          <w:b/>
          <w:bCs/>
          <w:sz w:val="24"/>
          <w:szCs w:val="24"/>
        </w:rPr>
      </w:pPr>
      <w:bookmarkStart w:id="986" w:name="_Toc279247604"/>
      <w:bookmarkStart w:id="987" w:name="_Toc277693689"/>
      <w:bookmarkStart w:id="988" w:name="_Toc304280793"/>
      <w:bookmarkStart w:id="989" w:name="_Toc332293406"/>
      <w:bookmarkStart w:id="990" w:name="_Toc279247342"/>
      <w:bookmarkStart w:id="991" w:name="_Toc279250814"/>
      <w:bookmarkStart w:id="992" w:name="_Toc304279801"/>
      <w:bookmarkStart w:id="993" w:name="_Toc279248780"/>
      <w:bookmarkStart w:id="994" w:name="_Toc279246812"/>
      <w:bookmarkStart w:id="995" w:name="_Toc307485308"/>
      <w:bookmarkStart w:id="996" w:name="_Toc332616538"/>
      <w:bookmarkStart w:id="997" w:name="_Toc279245758"/>
      <w:bookmarkStart w:id="998" w:name="_Toc267484973"/>
      <w:bookmarkStart w:id="999" w:name="_Toc300084616"/>
      <w:bookmarkStart w:id="1000" w:name="_Toc325020369"/>
      <w:bookmarkStart w:id="1001" w:name="_Toc304280046"/>
      <w:bookmarkStart w:id="1002" w:name="_Toc381798981"/>
      <w:bookmarkStart w:id="1003" w:name="_Toc332353199"/>
      <w:bookmarkStart w:id="1004" w:name="_Toc285029122"/>
      <w:bookmarkStart w:id="1005" w:name="_Toc307419430"/>
      <w:bookmarkStart w:id="1006" w:name="_Toc304280542"/>
      <w:bookmarkStart w:id="1007" w:name="_Toc300071437"/>
      <w:bookmarkStart w:id="1008" w:name="_Toc279243735"/>
      <w:bookmarkStart w:id="1009" w:name="_Toc325020901"/>
      <w:bookmarkStart w:id="1010" w:name="_Toc347386229"/>
      <w:bookmarkStart w:id="1011" w:name="_Toc279249698"/>
      <w:bookmarkStart w:id="1012" w:name="_Toc325040175"/>
      <w:bookmarkStart w:id="1013" w:name="_Toc370238521"/>
      <w:bookmarkStart w:id="1014" w:name="_Toc307416244"/>
      <w:bookmarkStart w:id="1015" w:name="_Toc381819992"/>
      <w:bookmarkStart w:id="1016" w:name="_Toc307417541"/>
      <w:bookmarkStart w:id="1017" w:name="_Toc279247473"/>
      <w:bookmarkStart w:id="1018" w:name="_Toc279248917"/>
      <w:bookmarkStart w:id="1019" w:name="_Toc300084279"/>
      <w:bookmarkStart w:id="1020" w:name="_Toc300071300"/>
      <w:bookmarkStart w:id="1021" w:name="_Toc347385980"/>
      <w:bookmarkStart w:id="1022" w:name="_Toc304280297"/>
      <w:bookmarkStart w:id="1023" w:name="_Toc347385725"/>
      <w:r>
        <w:rPr>
          <w:rFonts w:hint="eastAsia" w:ascii="宋体" w:hAnsi="宋体" w:eastAsia="宋体"/>
          <w:b/>
          <w:bCs/>
          <w:sz w:val="24"/>
          <w:szCs w:val="24"/>
        </w:rPr>
        <w:t>3.3应急救援措施</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41C660FC">
      <w:pPr>
        <w:snapToGrid w:val="0"/>
        <w:spacing w:before="134" w:beforeLines="25" w:line="300" w:lineRule="auto"/>
        <w:ind w:firstLine="210" w:firstLineChars="100"/>
        <w:outlineLvl w:val="2"/>
        <w:rPr>
          <w:rFonts w:ascii="宋体" w:hAnsi="宋体" w:eastAsia="宋体"/>
          <w:b/>
          <w:bCs/>
          <w:szCs w:val="21"/>
        </w:rPr>
      </w:pPr>
      <w:bookmarkStart w:id="1024" w:name="_Toc381819993"/>
      <w:bookmarkStart w:id="1025" w:name="_Toc381798982"/>
      <w:bookmarkStart w:id="1026" w:name="_Toc300071438"/>
      <w:bookmarkStart w:id="1027" w:name="_Toc300084280"/>
      <w:bookmarkStart w:id="1028" w:name="_Toc285029123"/>
      <w:r>
        <w:rPr>
          <w:rFonts w:hint="eastAsia" w:ascii="宋体" w:hAnsi="宋体" w:eastAsia="宋体"/>
          <w:b/>
          <w:bCs/>
          <w:szCs w:val="21"/>
        </w:rPr>
        <w:t>3.3.1事故应急救援预案</w:t>
      </w:r>
      <w:bookmarkEnd w:id="1024"/>
      <w:bookmarkEnd w:id="1025"/>
      <w:bookmarkEnd w:id="1026"/>
      <w:bookmarkEnd w:id="1027"/>
      <w:bookmarkEnd w:id="1028"/>
    </w:p>
    <w:p w14:paraId="1ED4D057">
      <w:pPr>
        <w:snapToGrid w:val="0"/>
        <w:spacing w:line="300" w:lineRule="auto"/>
        <w:ind w:firstLine="420" w:firstLineChars="200"/>
        <w:rPr>
          <w:rFonts w:ascii="宋体" w:hAnsi="宋体" w:eastAsia="宋体"/>
          <w:szCs w:val="21"/>
        </w:rPr>
      </w:pPr>
      <w:r>
        <w:rPr>
          <w:rFonts w:hint="eastAsia" w:ascii="宋体" w:hAnsi="宋体" w:eastAsia="宋体"/>
          <w:szCs w:val="21"/>
        </w:rPr>
        <w:t>（1）承包人应制定生产安全事故的应急救援预案，应急救援预案应能随时紧急调动应救人员，救援专职人员应定期组织演练。</w:t>
      </w:r>
    </w:p>
    <w:p w14:paraId="348875DD">
      <w:pPr>
        <w:snapToGrid w:val="0"/>
        <w:spacing w:line="300" w:lineRule="auto"/>
        <w:ind w:firstLine="420" w:firstLineChars="200"/>
        <w:rPr>
          <w:rFonts w:ascii="宋体" w:hAnsi="宋体" w:eastAsia="宋体"/>
          <w:szCs w:val="21"/>
        </w:rPr>
      </w:pPr>
      <w:r>
        <w:rPr>
          <w:rFonts w:hint="eastAsia" w:ascii="宋体" w:hAnsi="宋体" w:eastAsia="宋体"/>
          <w:szCs w:val="21"/>
        </w:rPr>
        <w:t>（2）发生事故后，承包人应按应急救援要求，配备必需的应急救援器材和设备，并及时将应急救援的措施报告提交监理人。</w:t>
      </w:r>
    </w:p>
    <w:p w14:paraId="4538D578">
      <w:pPr>
        <w:snapToGrid w:val="0"/>
        <w:spacing w:before="134" w:beforeLines="25" w:line="300" w:lineRule="auto"/>
        <w:ind w:firstLine="210" w:firstLineChars="100"/>
        <w:outlineLvl w:val="2"/>
        <w:rPr>
          <w:rFonts w:ascii="宋体" w:hAnsi="宋体" w:eastAsia="宋体"/>
          <w:b/>
          <w:bCs/>
          <w:szCs w:val="21"/>
        </w:rPr>
      </w:pPr>
      <w:bookmarkStart w:id="1029" w:name="_Toc285029124"/>
      <w:bookmarkStart w:id="1030" w:name="_Toc381819994"/>
      <w:bookmarkStart w:id="1031" w:name="_Toc300084281"/>
      <w:bookmarkStart w:id="1032" w:name="_Toc300071439"/>
      <w:bookmarkStart w:id="1033" w:name="_Toc381798983"/>
      <w:r>
        <w:rPr>
          <w:rFonts w:hint="eastAsia" w:ascii="宋体" w:hAnsi="宋体" w:eastAsia="宋体"/>
          <w:b/>
          <w:bCs/>
          <w:szCs w:val="21"/>
        </w:rPr>
        <w:t>3.3.2伤亡事故处理</w:t>
      </w:r>
      <w:bookmarkEnd w:id="1029"/>
      <w:bookmarkEnd w:id="1030"/>
      <w:bookmarkEnd w:id="1031"/>
      <w:bookmarkEnd w:id="1032"/>
      <w:bookmarkEnd w:id="1033"/>
    </w:p>
    <w:p w14:paraId="1ECD3BFD">
      <w:pPr>
        <w:snapToGrid w:val="0"/>
        <w:spacing w:line="300" w:lineRule="auto"/>
        <w:ind w:firstLine="420" w:firstLineChars="200"/>
        <w:rPr>
          <w:rFonts w:ascii="宋体" w:hAnsi="宋体" w:eastAsia="宋体"/>
          <w:szCs w:val="21"/>
        </w:rPr>
      </w:pPr>
      <w:r>
        <w:rPr>
          <w:rFonts w:hint="eastAsia" w:ascii="宋体" w:hAnsi="宋体" w:eastAsia="宋体"/>
          <w:szCs w:val="21"/>
        </w:rPr>
        <w:t>（1）施工过程中，若发生施工生产人员或第三者人员的伤亡事故时，承包人应按本合同通用合同条款第9.5款的约定，及时进行处理，并立即报告监理人。</w:t>
      </w:r>
    </w:p>
    <w:p w14:paraId="3F634002">
      <w:pPr>
        <w:snapToGrid w:val="0"/>
        <w:spacing w:line="300" w:lineRule="auto"/>
        <w:ind w:firstLine="420" w:firstLineChars="200"/>
        <w:rPr>
          <w:rFonts w:ascii="宋体" w:hAnsi="宋体" w:eastAsia="宋体"/>
          <w:szCs w:val="21"/>
        </w:rPr>
      </w:pPr>
      <w:r>
        <w:rPr>
          <w:rFonts w:hint="eastAsia" w:ascii="宋体" w:hAnsi="宋体" w:eastAsia="宋体"/>
          <w:szCs w:val="21"/>
        </w:rPr>
        <w:t>（2）发生重大伤亡或特大事故时，承包人必须保护事故现场，立即报告发包人和当地政府的安全管理部门，并在当地政府的支持和协助下，按国家有关规定妥善处理好事故。</w:t>
      </w:r>
    </w:p>
    <w:p w14:paraId="56C40D44">
      <w:pPr>
        <w:snapToGrid w:val="0"/>
        <w:spacing w:line="300" w:lineRule="auto"/>
        <w:ind w:firstLine="420" w:firstLineChars="200"/>
        <w:rPr>
          <w:rFonts w:ascii="宋体" w:hAnsi="宋体" w:eastAsia="宋体"/>
          <w:szCs w:val="21"/>
        </w:rPr>
      </w:pPr>
      <w:r>
        <w:rPr>
          <w:rFonts w:hint="eastAsia" w:ascii="宋体" w:hAnsi="宋体" w:eastAsia="宋体"/>
          <w:szCs w:val="21"/>
        </w:rPr>
        <w:t>(3)事故处理结案后，承包人应向公众张榜告示处理事故结果。</w:t>
      </w:r>
    </w:p>
    <w:p w14:paraId="60EE8CE3">
      <w:pPr>
        <w:snapToGrid w:val="0"/>
        <w:spacing w:before="134" w:beforeLines="25" w:line="300" w:lineRule="auto"/>
        <w:ind w:firstLine="210" w:firstLineChars="100"/>
        <w:outlineLvl w:val="2"/>
        <w:rPr>
          <w:rFonts w:ascii="宋体" w:hAnsi="宋体" w:eastAsia="宋体"/>
          <w:b/>
          <w:bCs/>
          <w:szCs w:val="21"/>
        </w:rPr>
      </w:pPr>
      <w:bookmarkStart w:id="1034" w:name="_Toc381819995"/>
      <w:bookmarkStart w:id="1035" w:name="_Toc285029125"/>
      <w:bookmarkStart w:id="1036" w:name="_Toc300084282"/>
      <w:bookmarkStart w:id="1037" w:name="_Toc381798984"/>
      <w:bookmarkStart w:id="1038" w:name="_Toc300071440"/>
      <w:r>
        <w:rPr>
          <w:rFonts w:hint="eastAsia" w:ascii="宋体" w:hAnsi="宋体" w:eastAsia="宋体"/>
          <w:b/>
          <w:bCs/>
          <w:szCs w:val="21"/>
        </w:rPr>
        <w:t>3.3.3预防自然灾害措施</w:t>
      </w:r>
      <w:bookmarkEnd w:id="1034"/>
      <w:bookmarkEnd w:id="1035"/>
      <w:bookmarkEnd w:id="1036"/>
      <w:bookmarkEnd w:id="1037"/>
      <w:bookmarkEnd w:id="1038"/>
    </w:p>
    <w:p w14:paraId="3D1FB038">
      <w:pPr>
        <w:snapToGrid w:val="0"/>
        <w:spacing w:line="300" w:lineRule="auto"/>
        <w:ind w:firstLine="420" w:firstLineChars="200"/>
        <w:rPr>
          <w:rFonts w:ascii="宋体" w:hAnsi="宋体" w:eastAsia="宋体"/>
          <w:szCs w:val="21"/>
        </w:rPr>
      </w:pPr>
      <w:r>
        <w:rPr>
          <w:rFonts w:hint="eastAsia" w:ascii="宋体" w:hAnsi="宋体" w:eastAsia="宋体"/>
          <w:szCs w:val="21"/>
        </w:rPr>
        <w:t>（1）施工期间一旦发生洪水、或可能危及人身财产安全事故的预兆时，承包人应立即采取有效的防灾措施，确保工程人员和财产的安全。</w:t>
      </w:r>
    </w:p>
    <w:p w14:paraId="6F52BC64">
      <w:pPr>
        <w:snapToGrid w:val="0"/>
        <w:spacing w:line="300" w:lineRule="auto"/>
        <w:ind w:firstLine="420" w:firstLineChars="200"/>
        <w:rPr>
          <w:rFonts w:ascii="宋体" w:hAnsi="宋体" w:eastAsia="宋体"/>
          <w:szCs w:val="21"/>
        </w:rPr>
      </w:pPr>
      <w:r>
        <w:rPr>
          <w:rFonts w:hint="eastAsia" w:ascii="宋体" w:hAnsi="宋体" w:eastAsia="宋体"/>
          <w:szCs w:val="21"/>
        </w:rPr>
        <w:t>（2）一旦发生安全事故，承包人应立即按其安全职责分工，组织人员、设备和物资，尽快制止事故发展，及时消除隐患，划定警戒范围，并在最短时间内组织好人员、车辆和设备的疏散，避免再次发生人员伤亡和财产损失。</w:t>
      </w:r>
    </w:p>
    <w:p w14:paraId="010D304B">
      <w:pPr>
        <w:snapToGrid w:val="0"/>
        <w:spacing w:line="300" w:lineRule="auto"/>
        <w:ind w:firstLine="420" w:firstLineChars="200"/>
        <w:rPr>
          <w:rFonts w:ascii="宋体" w:hAnsi="宋体" w:eastAsia="宋体"/>
          <w:szCs w:val="21"/>
        </w:rPr>
      </w:pPr>
      <w:r>
        <w:rPr>
          <w:rFonts w:hint="eastAsia" w:ascii="宋体" w:hAnsi="宋体" w:eastAsia="宋体"/>
          <w:szCs w:val="21"/>
        </w:rPr>
        <w:t>（3）承包人应保护好事故现场，为事故调查分析提供直接证据，做好现场标志和书面记录，绘制现场简图，并妥善保存现场重要痕迹、物证，必要时应对事故现场和伤亡情况进行录像或拍照，待事故调查部门有明确指令后，才能清除事故现场。</w:t>
      </w:r>
    </w:p>
    <w:p w14:paraId="03363537">
      <w:pPr>
        <w:adjustRightInd w:val="0"/>
        <w:snapToGrid w:val="0"/>
        <w:spacing w:before="134" w:beforeLines="25" w:line="300" w:lineRule="auto"/>
        <w:outlineLvl w:val="1"/>
        <w:rPr>
          <w:rFonts w:ascii="宋体" w:hAnsi="宋体" w:eastAsia="宋体"/>
          <w:b/>
          <w:bCs/>
          <w:sz w:val="24"/>
          <w:szCs w:val="24"/>
        </w:rPr>
      </w:pPr>
      <w:bookmarkStart w:id="1039" w:name="_Toc304279802"/>
      <w:bookmarkStart w:id="1040" w:name="_Toc267484974"/>
      <w:bookmarkStart w:id="1041" w:name="_Toc381819996"/>
      <w:bookmarkStart w:id="1042" w:name="_Toc304280298"/>
      <w:bookmarkStart w:id="1043" w:name="_Toc279249699"/>
      <w:bookmarkStart w:id="1044" w:name="_Toc307485309"/>
      <w:bookmarkStart w:id="1045" w:name="_Toc325040176"/>
      <w:bookmarkStart w:id="1046" w:name="_Toc285029126"/>
      <w:bookmarkStart w:id="1047" w:name="_Toc300071441"/>
      <w:bookmarkStart w:id="1048" w:name="_Toc347386230"/>
      <w:bookmarkStart w:id="1049" w:name="_Toc307417542"/>
      <w:bookmarkStart w:id="1050" w:name="_Toc279250815"/>
      <w:bookmarkStart w:id="1051" w:name="_Toc307419431"/>
      <w:bookmarkStart w:id="1052" w:name="_Toc332293407"/>
      <w:bookmarkStart w:id="1053" w:name="_Toc370238522"/>
      <w:bookmarkStart w:id="1054" w:name="_Toc300071301"/>
      <w:bookmarkStart w:id="1055" w:name="_Toc347385726"/>
      <w:bookmarkStart w:id="1056" w:name="_Toc279246813"/>
      <w:bookmarkStart w:id="1057" w:name="_Toc279248918"/>
      <w:bookmarkStart w:id="1058" w:name="_Toc325020902"/>
      <w:bookmarkStart w:id="1059" w:name="_Toc277693690"/>
      <w:bookmarkStart w:id="1060" w:name="_Toc332353200"/>
      <w:bookmarkStart w:id="1061" w:name="_Toc279247474"/>
      <w:bookmarkStart w:id="1062" w:name="_Toc279245759"/>
      <w:bookmarkStart w:id="1063" w:name="_Toc381798985"/>
      <w:bookmarkStart w:id="1064" w:name="_Toc279247605"/>
      <w:bookmarkStart w:id="1065" w:name="_Toc347385981"/>
      <w:bookmarkStart w:id="1066" w:name="_Toc304280543"/>
      <w:bookmarkStart w:id="1067" w:name="_Toc300084617"/>
      <w:bookmarkStart w:id="1068" w:name="_Toc279243736"/>
      <w:bookmarkStart w:id="1069" w:name="_Toc279248781"/>
      <w:bookmarkStart w:id="1070" w:name="_Toc332616539"/>
      <w:bookmarkStart w:id="1071" w:name="_Toc307416245"/>
      <w:bookmarkStart w:id="1072" w:name="_Toc300084283"/>
      <w:bookmarkStart w:id="1073" w:name="_Toc304280047"/>
      <w:bookmarkStart w:id="1074" w:name="_Toc279247343"/>
      <w:bookmarkStart w:id="1075" w:name="_Toc325020370"/>
      <w:bookmarkStart w:id="1076" w:name="_Toc304280794"/>
      <w:r>
        <w:rPr>
          <w:rFonts w:hint="eastAsia" w:ascii="宋体" w:hAnsi="宋体" w:eastAsia="宋体"/>
          <w:b/>
          <w:bCs/>
          <w:sz w:val="24"/>
          <w:szCs w:val="24"/>
        </w:rPr>
        <w:t>3.4计量和支付</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14:paraId="611CF346">
      <w:pPr>
        <w:snapToGrid w:val="0"/>
        <w:spacing w:line="300" w:lineRule="auto"/>
        <w:ind w:firstLine="420" w:firstLineChars="200"/>
        <w:rPr>
          <w:rFonts w:ascii="宋体" w:hAnsi="宋体" w:eastAsia="宋体"/>
          <w:szCs w:val="21"/>
        </w:rPr>
      </w:pPr>
      <w:r>
        <w:rPr>
          <w:rFonts w:hint="eastAsia" w:ascii="宋体" w:hAnsi="宋体" w:eastAsia="宋体"/>
          <w:szCs w:val="21"/>
        </w:rPr>
        <w:t>建设单位应当在合同中单独约定并于工程开工日一个月内向承包单位支付100%企业安全生产费用。</w:t>
      </w:r>
    </w:p>
    <w:p w14:paraId="579824DD">
      <w:pPr>
        <w:snapToGrid w:val="0"/>
        <w:spacing w:line="300" w:lineRule="auto"/>
        <w:ind w:firstLine="420" w:firstLineChars="200"/>
        <w:rPr>
          <w:rFonts w:ascii="宋体" w:hAnsi="宋体" w:eastAsia="宋体"/>
          <w:szCs w:val="21"/>
        </w:rPr>
      </w:pPr>
      <w:r>
        <w:rPr>
          <w:rFonts w:hint="eastAsia" w:ascii="宋体" w:hAnsi="宋体" w:eastAsia="宋体"/>
          <w:szCs w:val="21"/>
        </w:rPr>
        <w:t>安全生产费用实行实报实销，经现场监理和业主审核后予以结算。安全生产费不足部分予以调整，结余部分予以退回。</w:t>
      </w:r>
    </w:p>
    <w:p w14:paraId="5079DFED">
      <w:pPr>
        <w:spacing w:line="540" w:lineRule="exact"/>
        <w:ind w:firstLine="480" w:firstLineChars="200"/>
        <w:rPr>
          <w:rFonts w:eastAsia="宋体"/>
          <w:color w:val="FF0000"/>
          <w:sz w:val="24"/>
        </w:rPr>
      </w:pPr>
    </w:p>
    <w:p w14:paraId="5AF8C946">
      <w:pPr>
        <w:pStyle w:val="3"/>
        <w:keepNext w:val="0"/>
        <w:keepLines w:val="0"/>
        <w:spacing w:before="0" w:after="0" w:line="480" w:lineRule="auto"/>
        <w:jc w:val="center"/>
        <w:rPr>
          <w:rFonts w:ascii="宋体" w:hAnsi="宋体" w:eastAsia="宋体" w:cs="宋体"/>
          <w:sz w:val="28"/>
          <w:szCs w:val="28"/>
        </w:rPr>
      </w:pPr>
      <w:bookmarkStart w:id="1077" w:name="_Toc325020371"/>
      <w:bookmarkStart w:id="1078" w:name="_Toc300084618"/>
      <w:bookmarkStart w:id="1079" w:name="_Toc325040177"/>
      <w:bookmarkStart w:id="1080" w:name="_Toc307417543"/>
      <w:bookmarkStart w:id="1081" w:name="_Toc304280048"/>
      <w:bookmarkStart w:id="1082" w:name="_Toc332616540"/>
      <w:bookmarkStart w:id="1083" w:name="_Toc307419432"/>
      <w:bookmarkStart w:id="1084" w:name="_Toc304280299"/>
      <w:bookmarkStart w:id="1085" w:name="_Toc285029127"/>
      <w:bookmarkStart w:id="1086" w:name="_Toc347385982"/>
      <w:bookmarkStart w:id="1087" w:name="_Toc300071442"/>
      <w:bookmarkStart w:id="1088" w:name="_Toc347386231"/>
      <w:bookmarkStart w:id="1089" w:name="_Toc307416246"/>
      <w:bookmarkStart w:id="1090" w:name="_Toc332353201"/>
      <w:bookmarkStart w:id="1091" w:name="_Toc304280544"/>
      <w:bookmarkStart w:id="1092" w:name="_Toc347385727"/>
      <w:bookmarkStart w:id="1093" w:name="_Toc300084284"/>
      <w:bookmarkStart w:id="1094" w:name="_Toc267484975"/>
      <w:bookmarkStart w:id="1095" w:name="_Toc332293408"/>
      <w:bookmarkStart w:id="1096" w:name="_Toc381819997"/>
      <w:bookmarkStart w:id="1097" w:name="_Toc370238523"/>
      <w:bookmarkStart w:id="1098" w:name="_Toc304280795"/>
      <w:bookmarkStart w:id="1099" w:name="_Toc381872040"/>
      <w:bookmarkStart w:id="1100" w:name="_Toc381798986"/>
      <w:bookmarkStart w:id="1101" w:name="_Toc325020903"/>
      <w:bookmarkStart w:id="1102" w:name="_Toc300071302"/>
      <w:bookmarkStart w:id="1103" w:name="_Toc307485310"/>
      <w:bookmarkStart w:id="1104" w:name="_Toc304279803"/>
      <w:r>
        <w:rPr>
          <w:sz w:val="24"/>
        </w:rPr>
        <w:br w:type="page"/>
      </w:r>
      <w:bookmarkStart w:id="1105" w:name="_Toc8058"/>
      <w:r>
        <w:rPr>
          <w:rFonts w:hint="eastAsia" w:ascii="宋体" w:hAnsi="宋体" w:eastAsia="宋体" w:cs="宋体"/>
          <w:sz w:val="28"/>
          <w:szCs w:val="28"/>
        </w:rPr>
        <w:t>第4节 环境保护和水土保持</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14:paraId="5BDFD2AC">
      <w:pPr>
        <w:adjustRightInd w:val="0"/>
        <w:snapToGrid w:val="0"/>
        <w:spacing w:before="134" w:beforeLines="25" w:line="300" w:lineRule="auto"/>
        <w:outlineLvl w:val="1"/>
        <w:rPr>
          <w:rFonts w:ascii="宋体" w:hAnsi="宋体" w:eastAsia="宋体"/>
          <w:b/>
          <w:bCs/>
          <w:sz w:val="24"/>
          <w:szCs w:val="24"/>
        </w:rPr>
      </w:pPr>
      <w:bookmarkStart w:id="1106" w:name="_Toc370238524"/>
      <w:bookmarkStart w:id="1107" w:name="_Toc304280300"/>
      <w:bookmarkStart w:id="1108" w:name="_Toc381819998"/>
      <w:bookmarkStart w:id="1109" w:name="_Toc332293409"/>
      <w:bookmarkStart w:id="1110" w:name="_Toc267484976"/>
      <w:bookmarkStart w:id="1111" w:name="_Toc347386232"/>
      <w:bookmarkStart w:id="1112" w:name="_Toc332353202"/>
      <w:bookmarkStart w:id="1113" w:name="_Toc307419433"/>
      <w:bookmarkStart w:id="1114" w:name="_Toc300071443"/>
      <w:bookmarkStart w:id="1115" w:name="_Toc307416247"/>
      <w:bookmarkStart w:id="1116" w:name="_Toc300084619"/>
      <w:bookmarkStart w:id="1117" w:name="_Toc285029128"/>
      <w:bookmarkStart w:id="1118" w:name="_Toc325020904"/>
      <w:bookmarkStart w:id="1119" w:name="_Toc300084285"/>
      <w:bookmarkStart w:id="1120" w:name="_Toc304280796"/>
      <w:bookmarkStart w:id="1121" w:name="_Toc347385728"/>
      <w:bookmarkStart w:id="1122" w:name="_Toc304280049"/>
      <w:bookmarkStart w:id="1123" w:name="_Toc304280545"/>
      <w:bookmarkStart w:id="1124" w:name="_Toc347385983"/>
      <w:bookmarkStart w:id="1125" w:name="_Toc307417544"/>
      <w:bookmarkStart w:id="1126" w:name="_Toc381798987"/>
      <w:bookmarkStart w:id="1127" w:name="_Toc307485311"/>
      <w:bookmarkStart w:id="1128" w:name="_Toc332616541"/>
      <w:bookmarkStart w:id="1129" w:name="_Toc304279804"/>
      <w:bookmarkStart w:id="1130" w:name="_Toc325020372"/>
      <w:bookmarkStart w:id="1131" w:name="_Toc300071303"/>
      <w:bookmarkStart w:id="1132" w:name="_Toc325040178"/>
      <w:r>
        <w:rPr>
          <w:rFonts w:hint="eastAsia" w:ascii="宋体" w:hAnsi="宋体" w:eastAsia="宋体"/>
          <w:b/>
          <w:bCs/>
          <w:sz w:val="24"/>
          <w:szCs w:val="24"/>
        </w:rPr>
        <w:t>4.1一般规定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14:paraId="161A6905">
      <w:pPr>
        <w:snapToGrid w:val="0"/>
        <w:spacing w:before="134" w:beforeLines="25" w:line="300" w:lineRule="auto"/>
        <w:ind w:firstLine="210" w:firstLineChars="100"/>
        <w:outlineLvl w:val="2"/>
        <w:rPr>
          <w:rFonts w:ascii="宋体" w:hAnsi="宋体" w:eastAsia="宋体"/>
          <w:b/>
          <w:bCs/>
          <w:szCs w:val="21"/>
        </w:rPr>
      </w:pPr>
      <w:bookmarkStart w:id="1133" w:name="_Toc381819999"/>
      <w:bookmarkStart w:id="1134" w:name="_Toc300084286"/>
      <w:bookmarkStart w:id="1135" w:name="_Toc300071444"/>
      <w:bookmarkStart w:id="1136" w:name="_Toc381798988"/>
      <w:r>
        <w:rPr>
          <w:rFonts w:hint="eastAsia" w:ascii="宋体" w:hAnsi="宋体" w:eastAsia="宋体"/>
          <w:b/>
          <w:bCs/>
          <w:szCs w:val="21"/>
        </w:rPr>
        <w:t>4.1.1应用范围</w:t>
      </w:r>
      <w:bookmarkEnd w:id="1133"/>
      <w:bookmarkEnd w:id="1134"/>
      <w:bookmarkEnd w:id="1135"/>
      <w:bookmarkEnd w:id="1136"/>
    </w:p>
    <w:p w14:paraId="49582855">
      <w:pPr>
        <w:snapToGrid w:val="0"/>
        <w:spacing w:line="300" w:lineRule="auto"/>
        <w:ind w:firstLine="420" w:firstLineChars="200"/>
        <w:rPr>
          <w:rFonts w:ascii="宋体" w:hAnsi="宋体" w:eastAsia="宋体"/>
          <w:szCs w:val="21"/>
        </w:rPr>
      </w:pPr>
      <w:r>
        <w:rPr>
          <w:rFonts w:hint="eastAsia" w:ascii="宋体" w:hAnsi="宋体" w:eastAsia="宋体"/>
          <w:szCs w:val="21"/>
        </w:rPr>
        <w:t>本章规定适用于本工程施工期的生产、生活区环境保护和水土保持的有关工作，其主要工作范围和内容包括：施工、生活污水和废水处理、大气环境与声环境保护、固体废弃物处理、水土保持、完工后的场地清理、农田复耕与植被恢复等。</w:t>
      </w:r>
    </w:p>
    <w:p w14:paraId="5C7D62FE">
      <w:pPr>
        <w:snapToGrid w:val="0"/>
        <w:spacing w:before="134" w:beforeLines="25" w:line="300" w:lineRule="auto"/>
        <w:ind w:firstLine="210" w:firstLineChars="100"/>
        <w:outlineLvl w:val="2"/>
        <w:rPr>
          <w:rFonts w:ascii="宋体" w:hAnsi="宋体" w:eastAsia="宋体"/>
          <w:b/>
          <w:bCs/>
          <w:szCs w:val="21"/>
        </w:rPr>
      </w:pPr>
      <w:bookmarkStart w:id="1137" w:name="_Toc381798989"/>
      <w:bookmarkStart w:id="1138" w:name="_Toc300084287"/>
      <w:bookmarkStart w:id="1139" w:name="_Toc381820000"/>
      <w:bookmarkStart w:id="1140" w:name="_Toc300071445"/>
      <w:r>
        <w:rPr>
          <w:rFonts w:hint="eastAsia" w:ascii="宋体" w:hAnsi="宋体" w:eastAsia="宋体"/>
          <w:b/>
          <w:bCs/>
          <w:szCs w:val="21"/>
        </w:rPr>
        <w:t>4.1.2承包人责任</w:t>
      </w:r>
      <w:bookmarkEnd w:id="1137"/>
      <w:bookmarkEnd w:id="1138"/>
      <w:bookmarkEnd w:id="1139"/>
      <w:bookmarkEnd w:id="1140"/>
    </w:p>
    <w:p w14:paraId="769F81D4">
      <w:pPr>
        <w:snapToGrid w:val="0"/>
        <w:spacing w:line="300" w:lineRule="auto"/>
        <w:ind w:firstLine="420" w:firstLineChars="200"/>
        <w:rPr>
          <w:rFonts w:ascii="宋体" w:hAnsi="宋体" w:eastAsia="宋体"/>
          <w:szCs w:val="21"/>
        </w:rPr>
      </w:pPr>
      <w:r>
        <w:rPr>
          <w:rFonts w:hint="eastAsia" w:ascii="宋体" w:hAnsi="宋体" w:eastAsia="宋体"/>
          <w:szCs w:val="21"/>
        </w:rPr>
        <w:t>(1)承包人必须遵守有关环境保护和水土保持的法律、法规和规章，并按照本合同技术条款的有关规定，做好施工区及生活区的环境保护与水土保持工作。</w:t>
      </w:r>
    </w:p>
    <w:p w14:paraId="4C905A16">
      <w:pPr>
        <w:snapToGrid w:val="0"/>
        <w:spacing w:line="300" w:lineRule="auto"/>
        <w:ind w:firstLine="420" w:firstLineChars="200"/>
        <w:rPr>
          <w:rFonts w:ascii="宋体" w:hAnsi="宋体" w:eastAsia="宋体"/>
          <w:szCs w:val="21"/>
        </w:rPr>
      </w:pPr>
      <w:r>
        <w:rPr>
          <w:rFonts w:hint="eastAsia" w:ascii="宋体" w:hAnsi="宋体" w:eastAsia="宋体"/>
          <w:szCs w:val="21"/>
        </w:rPr>
        <w:t>(2)对本合同划定的施工场地界线附近的树木和植被必须尽力加以保护。承包人不得让有害物质(如燃料、油料、化学品、酸等，以及超过剂量的有害气体和尘埃、污水、泥土或水、弃渣等)，污染施工场地及场地以外的土地和河川。</w:t>
      </w:r>
    </w:p>
    <w:p w14:paraId="5A2302ED">
      <w:pPr>
        <w:snapToGrid w:val="0"/>
        <w:spacing w:line="300" w:lineRule="auto"/>
        <w:ind w:firstLine="420" w:firstLineChars="200"/>
        <w:rPr>
          <w:rFonts w:ascii="宋体" w:hAnsi="宋体" w:eastAsia="宋体"/>
          <w:szCs w:val="21"/>
        </w:rPr>
      </w:pPr>
      <w:r>
        <w:rPr>
          <w:rFonts w:hint="eastAsia" w:ascii="宋体" w:hAnsi="宋体" w:eastAsia="宋体"/>
          <w:szCs w:val="21"/>
        </w:rPr>
        <w:t>(3)承包人应按合同约定和监理人指示，接受国家和地方环境保护与水行政主管部门的监督和检查。承包人应对其违反上述法律、法规和规章以及本合同规定所造成的环境污染、水土流失、人员伤害和财产损失等承担责任。</w:t>
      </w:r>
    </w:p>
    <w:p w14:paraId="1C4BD487">
      <w:pPr>
        <w:snapToGrid w:val="0"/>
        <w:spacing w:before="134" w:beforeLines="25" w:line="300" w:lineRule="auto"/>
        <w:ind w:firstLine="210" w:firstLineChars="100"/>
        <w:outlineLvl w:val="2"/>
        <w:rPr>
          <w:rFonts w:ascii="宋体" w:hAnsi="宋体" w:eastAsia="宋体"/>
          <w:b/>
          <w:bCs/>
          <w:szCs w:val="21"/>
        </w:rPr>
      </w:pPr>
      <w:bookmarkStart w:id="1141" w:name="_Toc381798990"/>
      <w:bookmarkStart w:id="1142" w:name="_Toc300084288"/>
      <w:bookmarkStart w:id="1143" w:name="_Toc300071446"/>
      <w:bookmarkStart w:id="1144" w:name="_Toc381820001"/>
      <w:r>
        <w:rPr>
          <w:rFonts w:hint="eastAsia" w:ascii="宋体" w:hAnsi="宋体" w:eastAsia="宋体"/>
          <w:b/>
          <w:bCs/>
          <w:szCs w:val="21"/>
        </w:rPr>
        <w:t>4.1.3主要提交件</w:t>
      </w:r>
      <w:bookmarkEnd w:id="1141"/>
      <w:bookmarkEnd w:id="1142"/>
      <w:bookmarkEnd w:id="1143"/>
      <w:bookmarkEnd w:id="1144"/>
    </w:p>
    <w:p w14:paraId="101F28ED">
      <w:pPr>
        <w:snapToGrid w:val="0"/>
        <w:spacing w:line="300" w:lineRule="auto"/>
        <w:ind w:firstLine="420" w:firstLineChars="200"/>
        <w:rPr>
          <w:rFonts w:ascii="宋体" w:hAnsi="宋体" w:eastAsia="宋体"/>
          <w:szCs w:val="21"/>
        </w:rPr>
      </w:pPr>
      <w:r>
        <w:rPr>
          <w:rFonts w:hint="eastAsia" w:ascii="宋体" w:hAnsi="宋体" w:eastAsia="宋体"/>
          <w:szCs w:val="21"/>
        </w:rPr>
        <w:t>(1)环境保护及水土保持措施计划：</w:t>
      </w:r>
    </w:p>
    <w:p w14:paraId="6141755C">
      <w:pPr>
        <w:snapToGrid w:val="0"/>
        <w:spacing w:line="300" w:lineRule="auto"/>
        <w:ind w:firstLine="420" w:firstLineChars="200"/>
        <w:rPr>
          <w:rFonts w:ascii="宋体" w:hAnsi="宋体" w:eastAsia="宋体"/>
          <w:szCs w:val="21"/>
        </w:rPr>
      </w:pPr>
      <w:r>
        <w:rPr>
          <w:rFonts w:hint="eastAsia" w:ascii="宋体" w:hAnsi="宋体" w:eastAsia="宋体"/>
          <w:szCs w:val="21"/>
        </w:rPr>
        <w:t>承包人在提交施工总布置设计文件的同时提交本合同施工期的环境保护和水土保持措施计划，提交监理人批准，其内容包括：</w:t>
      </w:r>
    </w:p>
    <w:p w14:paraId="07CD422D">
      <w:pPr>
        <w:snapToGrid w:val="0"/>
        <w:spacing w:line="300" w:lineRule="auto"/>
        <w:ind w:firstLine="420" w:firstLineChars="200"/>
        <w:rPr>
          <w:rFonts w:ascii="宋体" w:hAnsi="宋体" w:eastAsia="宋体"/>
          <w:szCs w:val="21"/>
        </w:rPr>
      </w:pPr>
      <w:r>
        <w:rPr>
          <w:rFonts w:hint="eastAsia" w:ascii="宋体" w:hAnsi="宋体" w:eastAsia="宋体"/>
          <w:szCs w:val="21"/>
        </w:rPr>
        <w:t>1)承包人生活区的生活用水和生活污水处理措施；</w:t>
      </w:r>
    </w:p>
    <w:p w14:paraId="0AEC2E43">
      <w:pPr>
        <w:snapToGrid w:val="0"/>
        <w:spacing w:line="300" w:lineRule="auto"/>
        <w:ind w:firstLine="420" w:firstLineChars="200"/>
        <w:rPr>
          <w:rFonts w:ascii="宋体" w:hAnsi="宋体" w:eastAsia="宋体"/>
          <w:szCs w:val="21"/>
        </w:rPr>
      </w:pPr>
      <w:r>
        <w:rPr>
          <w:rFonts w:hint="eastAsia" w:ascii="宋体" w:hAnsi="宋体" w:eastAsia="宋体"/>
          <w:szCs w:val="21"/>
        </w:rPr>
        <w:t>2)施工生产废水(如基坑废水、混凝土生产系统废水、砂石料加工系统废水、机修废水等)处理措施；</w:t>
      </w:r>
    </w:p>
    <w:p w14:paraId="538A7D2F">
      <w:pPr>
        <w:snapToGrid w:val="0"/>
        <w:spacing w:line="300" w:lineRule="auto"/>
        <w:ind w:firstLine="420" w:firstLineChars="200"/>
        <w:rPr>
          <w:rFonts w:ascii="宋体" w:hAnsi="宋体" w:eastAsia="宋体"/>
          <w:szCs w:val="21"/>
        </w:rPr>
      </w:pPr>
      <w:r>
        <w:rPr>
          <w:rFonts w:hint="eastAsia" w:ascii="宋体" w:hAnsi="宋体" w:eastAsia="宋体"/>
          <w:szCs w:val="21"/>
        </w:rPr>
        <w:t>3)施工区粉尘、废气的处理措施；</w:t>
      </w:r>
    </w:p>
    <w:p w14:paraId="319A914F">
      <w:pPr>
        <w:snapToGrid w:val="0"/>
        <w:spacing w:line="300" w:lineRule="auto"/>
        <w:ind w:firstLine="420" w:firstLineChars="200"/>
        <w:rPr>
          <w:rFonts w:ascii="宋体" w:hAnsi="宋体" w:eastAsia="宋体"/>
          <w:szCs w:val="21"/>
        </w:rPr>
      </w:pPr>
      <w:r>
        <w:rPr>
          <w:rFonts w:hint="eastAsia" w:ascii="宋体" w:hAnsi="宋体" w:eastAsia="宋体"/>
          <w:szCs w:val="21"/>
        </w:rPr>
        <w:t>4)施工区噪声控制措施；</w:t>
      </w:r>
    </w:p>
    <w:p w14:paraId="648D2236">
      <w:pPr>
        <w:snapToGrid w:val="0"/>
        <w:spacing w:line="300" w:lineRule="auto"/>
        <w:ind w:firstLine="420" w:firstLineChars="200"/>
        <w:rPr>
          <w:rFonts w:ascii="宋体" w:hAnsi="宋体" w:eastAsia="宋体"/>
          <w:szCs w:val="21"/>
        </w:rPr>
      </w:pPr>
      <w:r>
        <w:rPr>
          <w:rFonts w:hint="eastAsia" w:ascii="宋体" w:hAnsi="宋体" w:eastAsia="宋体"/>
          <w:szCs w:val="21"/>
        </w:rPr>
        <w:t>5)固体废弃物处理措施；</w:t>
      </w:r>
    </w:p>
    <w:p w14:paraId="4CBFD476">
      <w:pPr>
        <w:snapToGrid w:val="0"/>
        <w:spacing w:line="300" w:lineRule="auto"/>
        <w:ind w:firstLine="420" w:firstLineChars="200"/>
        <w:rPr>
          <w:rFonts w:ascii="宋体" w:hAnsi="宋体" w:eastAsia="宋体"/>
          <w:szCs w:val="21"/>
        </w:rPr>
      </w:pPr>
      <w:r>
        <w:rPr>
          <w:rFonts w:hint="eastAsia" w:ascii="宋体" w:hAnsi="宋体" w:eastAsia="宋体"/>
          <w:szCs w:val="21"/>
        </w:rPr>
        <w:t>6)人群健康保护措施；</w:t>
      </w:r>
    </w:p>
    <w:p w14:paraId="6668984C">
      <w:pPr>
        <w:snapToGrid w:val="0"/>
        <w:spacing w:line="300" w:lineRule="auto"/>
        <w:ind w:firstLine="420" w:firstLineChars="200"/>
        <w:rPr>
          <w:rFonts w:ascii="宋体" w:hAnsi="宋体" w:eastAsia="宋体"/>
          <w:szCs w:val="21"/>
        </w:rPr>
      </w:pPr>
      <w:r>
        <w:rPr>
          <w:rFonts w:hint="eastAsia" w:ascii="宋体" w:hAnsi="宋体" w:eastAsia="宋体"/>
          <w:szCs w:val="21"/>
        </w:rPr>
        <w:t>7)本工程存料场、弃渣场的挡护工程、坡面保护工程和排水工程；</w:t>
      </w:r>
    </w:p>
    <w:p w14:paraId="2AA647D4">
      <w:pPr>
        <w:snapToGrid w:val="0"/>
        <w:spacing w:line="300" w:lineRule="auto"/>
        <w:ind w:firstLine="420" w:firstLineChars="200"/>
        <w:rPr>
          <w:rFonts w:ascii="宋体" w:hAnsi="宋体" w:eastAsia="宋体"/>
          <w:szCs w:val="21"/>
        </w:rPr>
      </w:pPr>
      <w:r>
        <w:rPr>
          <w:rFonts w:hint="eastAsia" w:ascii="宋体" w:hAnsi="宋体" w:eastAsia="宋体"/>
          <w:szCs w:val="21"/>
        </w:rPr>
        <w:t>8)施工辅助生产区、工程枢纽施工区、施工生活营地等所有场地周边的截、排水措施，开挖边坡支护措施、挡护建筑物的排水措施等；</w:t>
      </w:r>
    </w:p>
    <w:p w14:paraId="606F5234">
      <w:pPr>
        <w:snapToGrid w:val="0"/>
        <w:spacing w:line="300" w:lineRule="auto"/>
        <w:ind w:firstLine="420" w:firstLineChars="200"/>
        <w:rPr>
          <w:rFonts w:ascii="宋体" w:hAnsi="宋体" w:eastAsia="宋体"/>
          <w:szCs w:val="21"/>
        </w:rPr>
      </w:pPr>
      <w:r>
        <w:rPr>
          <w:rFonts w:hint="eastAsia" w:ascii="宋体" w:hAnsi="宋体" w:eastAsia="宋体"/>
          <w:szCs w:val="21"/>
        </w:rPr>
        <w:t>9)施工区边坡工程的水土保护措施；</w:t>
      </w:r>
    </w:p>
    <w:p w14:paraId="4EC47F37">
      <w:pPr>
        <w:snapToGrid w:val="0"/>
        <w:spacing w:line="300" w:lineRule="auto"/>
        <w:ind w:firstLine="420" w:firstLineChars="200"/>
        <w:rPr>
          <w:rFonts w:ascii="宋体" w:hAnsi="宋体" w:eastAsia="宋体"/>
          <w:szCs w:val="21"/>
        </w:rPr>
      </w:pPr>
      <w:r>
        <w:rPr>
          <w:rFonts w:hint="eastAsia" w:ascii="宋体" w:hAnsi="宋体" w:eastAsia="宋体"/>
          <w:szCs w:val="21"/>
        </w:rPr>
        <w:t>10)完工后场地清理及农田复耕和植被恢复措施。</w:t>
      </w:r>
    </w:p>
    <w:p w14:paraId="0DD16C59">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(2)承包人应按监理人指示，在工程开工后14天内，将废水处理系统的设计与施工计划以及维护系统的运行措施等生产废水处理的专项报告提交监理人批准。</w:t>
      </w:r>
    </w:p>
    <w:p w14:paraId="55572B5D">
      <w:pPr>
        <w:snapToGrid w:val="0"/>
        <w:spacing w:line="300" w:lineRule="auto"/>
        <w:ind w:firstLine="420" w:firstLineChars="200"/>
        <w:rPr>
          <w:rFonts w:ascii="宋体" w:hAnsi="宋体" w:eastAsia="宋体"/>
          <w:szCs w:val="21"/>
        </w:rPr>
      </w:pPr>
      <w:r>
        <w:rPr>
          <w:rFonts w:hint="eastAsia" w:ascii="宋体" w:hAnsi="宋体" w:eastAsia="宋体"/>
          <w:szCs w:val="21"/>
        </w:rPr>
        <w:t>(3)验收报告和资料：</w:t>
      </w:r>
    </w:p>
    <w:p w14:paraId="6A8489DD">
      <w:pPr>
        <w:snapToGrid w:val="0"/>
        <w:spacing w:line="300" w:lineRule="auto"/>
        <w:ind w:firstLine="420" w:firstLineChars="200"/>
        <w:rPr>
          <w:rFonts w:ascii="宋体" w:hAnsi="宋体" w:eastAsia="宋体"/>
          <w:szCs w:val="21"/>
        </w:rPr>
      </w:pPr>
      <w:r>
        <w:rPr>
          <w:rFonts w:hint="eastAsia" w:ascii="宋体" w:hAnsi="宋体" w:eastAsia="宋体"/>
          <w:szCs w:val="21"/>
        </w:rPr>
        <w:t>1)环境保护措施质量检查及验收报告；</w:t>
      </w:r>
    </w:p>
    <w:p w14:paraId="5B46A866">
      <w:pPr>
        <w:snapToGrid w:val="0"/>
        <w:spacing w:line="300" w:lineRule="auto"/>
        <w:ind w:firstLine="420" w:firstLineChars="200"/>
        <w:rPr>
          <w:rFonts w:ascii="宋体" w:hAnsi="宋体" w:eastAsia="宋体"/>
          <w:szCs w:val="21"/>
        </w:rPr>
      </w:pPr>
      <w:r>
        <w:rPr>
          <w:rFonts w:hint="eastAsia" w:ascii="宋体" w:hAnsi="宋体" w:eastAsia="宋体"/>
          <w:szCs w:val="21"/>
        </w:rPr>
        <w:t>2)水土保持措施的质量检查及验收报告；</w:t>
      </w:r>
    </w:p>
    <w:p w14:paraId="17129059">
      <w:pPr>
        <w:snapToGrid w:val="0"/>
        <w:spacing w:line="300" w:lineRule="auto"/>
        <w:ind w:firstLine="420" w:firstLineChars="200"/>
        <w:rPr>
          <w:rFonts w:ascii="宋体" w:hAnsi="宋体" w:eastAsia="宋体"/>
          <w:szCs w:val="21"/>
        </w:rPr>
      </w:pPr>
      <w:r>
        <w:rPr>
          <w:rFonts w:hint="eastAsia" w:ascii="宋体" w:hAnsi="宋体" w:eastAsia="宋体"/>
          <w:szCs w:val="21"/>
        </w:rPr>
        <w:t>3)监理人要求提供的其它资料。</w:t>
      </w:r>
    </w:p>
    <w:p w14:paraId="715C6DA3">
      <w:pPr>
        <w:snapToGrid w:val="0"/>
        <w:spacing w:before="134" w:beforeLines="25" w:line="300" w:lineRule="auto"/>
        <w:ind w:firstLine="210" w:firstLineChars="100"/>
        <w:outlineLvl w:val="2"/>
        <w:rPr>
          <w:rFonts w:ascii="宋体" w:hAnsi="宋体" w:eastAsia="宋体"/>
          <w:b/>
          <w:bCs/>
          <w:szCs w:val="21"/>
        </w:rPr>
      </w:pPr>
      <w:bookmarkStart w:id="1145" w:name="_Toc300084289"/>
      <w:bookmarkStart w:id="1146" w:name="_Toc300071447"/>
      <w:bookmarkStart w:id="1147" w:name="_Toc381820002"/>
      <w:bookmarkStart w:id="1148" w:name="_Toc381798991"/>
      <w:r>
        <w:rPr>
          <w:rFonts w:hint="eastAsia" w:ascii="宋体" w:hAnsi="宋体" w:eastAsia="宋体"/>
          <w:b/>
          <w:bCs/>
          <w:szCs w:val="21"/>
        </w:rPr>
        <w:t>4.1.4引用的法律法规</w:t>
      </w:r>
      <w:bookmarkEnd w:id="1145"/>
      <w:bookmarkEnd w:id="1146"/>
      <w:bookmarkEnd w:id="1147"/>
      <w:bookmarkEnd w:id="1148"/>
    </w:p>
    <w:p w14:paraId="4F951F75">
      <w:pPr>
        <w:snapToGrid w:val="0"/>
        <w:spacing w:line="300" w:lineRule="auto"/>
        <w:ind w:firstLine="420" w:firstLineChars="200"/>
        <w:rPr>
          <w:rFonts w:ascii="宋体" w:hAnsi="宋体" w:eastAsia="宋体"/>
          <w:szCs w:val="21"/>
        </w:rPr>
      </w:pPr>
      <w:r>
        <w:rPr>
          <w:rFonts w:hint="eastAsia" w:ascii="宋体" w:hAnsi="宋体" w:eastAsia="宋体"/>
          <w:szCs w:val="21"/>
        </w:rPr>
        <w:t>(1)《水利工程建设项目验收管理规定》</w:t>
      </w:r>
    </w:p>
    <w:p w14:paraId="6A3A72FC">
      <w:pPr>
        <w:snapToGrid w:val="0"/>
        <w:spacing w:line="300" w:lineRule="auto"/>
        <w:ind w:firstLine="420" w:firstLineChars="200"/>
        <w:rPr>
          <w:rFonts w:ascii="宋体" w:hAnsi="宋体" w:eastAsia="宋体"/>
          <w:szCs w:val="21"/>
        </w:rPr>
      </w:pPr>
      <w:r>
        <w:rPr>
          <w:rFonts w:hint="eastAsia" w:ascii="宋体" w:hAnsi="宋体" w:eastAsia="宋体"/>
          <w:szCs w:val="21"/>
        </w:rPr>
        <w:t>(2)《中华人民共和国水法》；(水利部第30号令)；</w:t>
      </w:r>
    </w:p>
    <w:p w14:paraId="4228DFDE">
      <w:pPr>
        <w:snapToGrid w:val="0"/>
        <w:spacing w:line="300" w:lineRule="auto"/>
        <w:ind w:firstLine="420" w:firstLineChars="200"/>
        <w:rPr>
          <w:rFonts w:ascii="宋体" w:hAnsi="宋体" w:eastAsia="宋体"/>
          <w:szCs w:val="21"/>
        </w:rPr>
      </w:pPr>
      <w:r>
        <w:rPr>
          <w:rFonts w:hint="eastAsia" w:ascii="宋体" w:hAnsi="宋体" w:eastAsia="宋体"/>
          <w:szCs w:val="21"/>
        </w:rPr>
        <w:t>(3)《中华人民共和国水污染防治法实施细则》；</w:t>
      </w:r>
    </w:p>
    <w:p w14:paraId="4F06F871">
      <w:pPr>
        <w:snapToGrid w:val="0"/>
        <w:spacing w:line="300" w:lineRule="auto"/>
        <w:ind w:firstLine="420" w:firstLineChars="200"/>
        <w:rPr>
          <w:rFonts w:ascii="宋体" w:hAnsi="宋体" w:eastAsia="宋体"/>
          <w:szCs w:val="21"/>
        </w:rPr>
      </w:pPr>
      <w:r>
        <w:rPr>
          <w:rFonts w:hint="eastAsia" w:ascii="宋体" w:hAnsi="宋体" w:eastAsia="宋体"/>
          <w:szCs w:val="21"/>
        </w:rPr>
        <w:t>(4)《中华人民共和国大气污染防治法》；</w:t>
      </w:r>
    </w:p>
    <w:p w14:paraId="7CB26FAD">
      <w:pPr>
        <w:snapToGrid w:val="0"/>
        <w:spacing w:line="300" w:lineRule="auto"/>
        <w:ind w:firstLine="420" w:firstLineChars="200"/>
        <w:rPr>
          <w:rFonts w:ascii="宋体" w:hAnsi="宋体" w:eastAsia="宋体"/>
          <w:szCs w:val="21"/>
        </w:rPr>
      </w:pPr>
      <w:r>
        <w:rPr>
          <w:rFonts w:hint="eastAsia" w:ascii="宋体" w:hAnsi="宋体" w:eastAsia="宋体"/>
          <w:szCs w:val="21"/>
        </w:rPr>
        <w:t>(5)《建设项目环境保护管理条例》；</w:t>
      </w:r>
    </w:p>
    <w:p w14:paraId="33CE805B">
      <w:pPr>
        <w:snapToGrid w:val="0"/>
        <w:spacing w:line="300" w:lineRule="auto"/>
        <w:ind w:firstLine="420" w:firstLineChars="200"/>
        <w:rPr>
          <w:rFonts w:ascii="宋体" w:hAnsi="宋体" w:eastAsia="宋体"/>
          <w:szCs w:val="21"/>
        </w:rPr>
      </w:pPr>
      <w:r>
        <w:rPr>
          <w:rFonts w:hint="eastAsia" w:ascii="宋体" w:hAnsi="宋体" w:eastAsia="宋体"/>
          <w:szCs w:val="21"/>
        </w:rPr>
        <w:t>(6)《中华人民共和国环境噪声污染防治法》；</w:t>
      </w:r>
    </w:p>
    <w:p w14:paraId="18779583">
      <w:pPr>
        <w:snapToGrid w:val="0"/>
        <w:spacing w:line="300" w:lineRule="auto"/>
        <w:ind w:firstLine="420" w:firstLineChars="200"/>
        <w:rPr>
          <w:rFonts w:ascii="宋体" w:hAnsi="宋体" w:eastAsia="宋体"/>
          <w:szCs w:val="21"/>
        </w:rPr>
      </w:pPr>
      <w:r>
        <w:rPr>
          <w:rFonts w:hint="eastAsia" w:ascii="宋体" w:hAnsi="宋体" w:eastAsia="宋体"/>
          <w:szCs w:val="21"/>
        </w:rPr>
        <w:t>(7)《中华人民共和国水污染防治法》；</w:t>
      </w:r>
    </w:p>
    <w:p w14:paraId="7D4F6E25">
      <w:pPr>
        <w:snapToGrid w:val="0"/>
        <w:spacing w:line="300" w:lineRule="auto"/>
        <w:ind w:firstLine="420" w:firstLineChars="200"/>
        <w:rPr>
          <w:rFonts w:ascii="宋体" w:hAnsi="宋体" w:eastAsia="宋体"/>
          <w:szCs w:val="21"/>
        </w:rPr>
      </w:pPr>
      <w:r>
        <w:rPr>
          <w:rFonts w:hint="eastAsia" w:ascii="宋体" w:hAnsi="宋体" w:eastAsia="宋体"/>
          <w:szCs w:val="21"/>
        </w:rPr>
        <w:t>(8)《中华人民共和国固体废弃物污染环境防治法》</w:t>
      </w:r>
    </w:p>
    <w:p w14:paraId="73EC0405">
      <w:pPr>
        <w:snapToGrid w:val="0"/>
        <w:spacing w:line="300" w:lineRule="auto"/>
        <w:ind w:firstLine="420" w:firstLineChars="200"/>
        <w:rPr>
          <w:rFonts w:ascii="宋体" w:hAnsi="宋体" w:eastAsia="宋体"/>
          <w:szCs w:val="21"/>
        </w:rPr>
      </w:pPr>
      <w:r>
        <w:rPr>
          <w:rFonts w:hint="eastAsia" w:ascii="宋体" w:hAnsi="宋体" w:eastAsia="宋体"/>
          <w:szCs w:val="21"/>
        </w:rPr>
        <w:t>(9)《中华人民共和国水土保持法》；</w:t>
      </w:r>
    </w:p>
    <w:p w14:paraId="3E502558">
      <w:pPr>
        <w:snapToGrid w:val="0"/>
        <w:spacing w:line="300" w:lineRule="auto"/>
        <w:ind w:firstLine="420" w:firstLineChars="200"/>
        <w:rPr>
          <w:rFonts w:ascii="宋体" w:hAnsi="宋体" w:eastAsia="宋体"/>
          <w:szCs w:val="21"/>
        </w:rPr>
      </w:pPr>
      <w:r>
        <w:rPr>
          <w:rFonts w:hint="eastAsia" w:ascii="宋体" w:hAnsi="宋体" w:eastAsia="宋体"/>
          <w:szCs w:val="21"/>
        </w:rPr>
        <w:t>(10)《中华人民共和国环境保护法》。</w:t>
      </w:r>
    </w:p>
    <w:p w14:paraId="58566883">
      <w:pPr>
        <w:snapToGrid w:val="0"/>
        <w:spacing w:before="134" w:beforeLines="25" w:line="300" w:lineRule="auto"/>
        <w:ind w:firstLine="210" w:firstLineChars="100"/>
        <w:outlineLvl w:val="2"/>
        <w:rPr>
          <w:rFonts w:ascii="宋体" w:hAnsi="宋体" w:eastAsia="宋体"/>
          <w:b/>
          <w:bCs/>
          <w:szCs w:val="21"/>
        </w:rPr>
      </w:pPr>
      <w:bookmarkStart w:id="1149" w:name="_Toc300084290"/>
      <w:bookmarkStart w:id="1150" w:name="_Toc300071448"/>
      <w:bookmarkStart w:id="1151" w:name="_Toc381820003"/>
      <w:bookmarkStart w:id="1152" w:name="_Toc381798992"/>
      <w:r>
        <w:rPr>
          <w:rFonts w:hint="eastAsia" w:ascii="宋体" w:hAnsi="宋体" w:eastAsia="宋体"/>
          <w:b/>
          <w:bCs/>
          <w:szCs w:val="21"/>
        </w:rPr>
        <w:t>4.1.5引用标准</w:t>
      </w:r>
      <w:bookmarkEnd w:id="1149"/>
      <w:bookmarkEnd w:id="1150"/>
      <w:bookmarkEnd w:id="1151"/>
      <w:bookmarkEnd w:id="1152"/>
    </w:p>
    <w:p w14:paraId="35559524">
      <w:pPr>
        <w:snapToGrid w:val="0"/>
        <w:spacing w:line="300" w:lineRule="auto"/>
        <w:ind w:firstLine="420" w:firstLineChars="200"/>
        <w:rPr>
          <w:rFonts w:ascii="宋体" w:hAnsi="宋体" w:eastAsia="宋体"/>
          <w:szCs w:val="21"/>
        </w:rPr>
      </w:pPr>
      <w:r>
        <w:rPr>
          <w:rFonts w:hint="eastAsia" w:ascii="宋体" w:hAnsi="宋体" w:eastAsia="宋体"/>
          <w:szCs w:val="21"/>
        </w:rPr>
        <w:t>(1)《生活饮用水卫生标准》(GB 5749—2006)；</w:t>
      </w:r>
    </w:p>
    <w:p w14:paraId="20CF9C37">
      <w:pPr>
        <w:snapToGrid w:val="0"/>
        <w:spacing w:line="300" w:lineRule="auto"/>
        <w:ind w:firstLine="420" w:firstLineChars="200"/>
        <w:rPr>
          <w:rFonts w:ascii="宋体" w:hAnsi="宋体" w:eastAsia="宋体"/>
          <w:szCs w:val="21"/>
        </w:rPr>
      </w:pPr>
      <w:r>
        <w:rPr>
          <w:rFonts w:hint="eastAsia" w:ascii="宋体" w:hAnsi="宋体" w:eastAsia="宋体"/>
          <w:szCs w:val="21"/>
        </w:rPr>
        <w:t>(2)《地表水环境质量标准》(GB 3838—2002)；</w:t>
      </w:r>
    </w:p>
    <w:p w14:paraId="0F002515">
      <w:pPr>
        <w:snapToGrid w:val="0"/>
        <w:spacing w:line="300" w:lineRule="auto"/>
        <w:ind w:firstLine="420" w:firstLineChars="200"/>
        <w:rPr>
          <w:rFonts w:ascii="宋体" w:hAnsi="宋体" w:eastAsia="宋体"/>
          <w:szCs w:val="21"/>
        </w:rPr>
      </w:pPr>
      <w:r>
        <w:rPr>
          <w:rFonts w:hint="eastAsia" w:ascii="宋体" w:hAnsi="宋体" w:eastAsia="宋体"/>
          <w:szCs w:val="21"/>
        </w:rPr>
        <w:t>(3)《环境空气质量标准》(GB 3095—2012)；</w:t>
      </w:r>
    </w:p>
    <w:p w14:paraId="719FF743">
      <w:pPr>
        <w:snapToGrid w:val="0"/>
        <w:spacing w:line="300" w:lineRule="auto"/>
        <w:ind w:firstLine="420" w:firstLineChars="200"/>
        <w:rPr>
          <w:rFonts w:ascii="宋体" w:hAnsi="宋体" w:eastAsia="宋体"/>
          <w:szCs w:val="21"/>
        </w:rPr>
      </w:pPr>
      <w:r>
        <w:rPr>
          <w:rFonts w:hint="eastAsia" w:ascii="宋体" w:hAnsi="宋体" w:eastAsia="宋体"/>
          <w:szCs w:val="21"/>
        </w:rPr>
        <w:t>(4)《污水综合排放标准》(GB 8978—1996)；</w:t>
      </w:r>
    </w:p>
    <w:p w14:paraId="6EFF5FFE">
      <w:pPr>
        <w:snapToGrid w:val="0"/>
        <w:spacing w:line="300" w:lineRule="auto"/>
        <w:ind w:firstLine="420" w:firstLineChars="200"/>
        <w:rPr>
          <w:rFonts w:ascii="宋体" w:hAnsi="宋体" w:eastAsia="宋体"/>
          <w:szCs w:val="21"/>
        </w:rPr>
      </w:pPr>
      <w:r>
        <w:rPr>
          <w:rFonts w:hint="eastAsia" w:ascii="宋体" w:hAnsi="宋体" w:eastAsia="宋体"/>
          <w:szCs w:val="21"/>
        </w:rPr>
        <w:t>(5)《大气污染物综合排放标准》(GB 16297—1996)；</w:t>
      </w:r>
    </w:p>
    <w:p w14:paraId="3EEBC961">
      <w:pPr>
        <w:snapToGrid w:val="0"/>
        <w:spacing w:line="300" w:lineRule="auto"/>
        <w:ind w:firstLine="420" w:firstLineChars="200"/>
        <w:rPr>
          <w:rFonts w:ascii="宋体" w:hAnsi="宋体" w:eastAsia="宋体"/>
          <w:szCs w:val="21"/>
        </w:rPr>
      </w:pPr>
      <w:r>
        <w:rPr>
          <w:rFonts w:hint="eastAsia" w:ascii="宋体" w:hAnsi="宋体" w:eastAsia="宋体"/>
          <w:szCs w:val="21"/>
        </w:rPr>
        <w:t>(6)《建筑施工场界噪声限值》(GB 12523—2011)；</w:t>
      </w:r>
    </w:p>
    <w:p w14:paraId="0C1FFB7B">
      <w:pPr>
        <w:snapToGrid w:val="0"/>
        <w:spacing w:line="300" w:lineRule="auto"/>
        <w:ind w:firstLine="420" w:firstLineChars="200"/>
        <w:rPr>
          <w:rFonts w:ascii="宋体" w:hAnsi="宋体" w:eastAsia="宋体"/>
          <w:szCs w:val="21"/>
        </w:rPr>
      </w:pPr>
      <w:r>
        <w:rPr>
          <w:rFonts w:hint="eastAsia" w:ascii="宋体" w:hAnsi="宋体" w:eastAsia="宋体"/>
          <w:szCs w:val="21"/>
        </w:rPr>
        <w:t>(7)《水利水电工程施工通用安全技术规程》(SL 398—2007）</w:t>
      </w:r>
    </w:p>
    <w:p w14:paraId="716ED8A6">
      <w:pPr>
        <w:snapToGrid w:val="0"/>
        <w:spacing w:line="300" w:lineRule="auto"/>
        <w:ind w:firstLine="420" w:firstLineChars="200"/>
        <w:rPr>
          <w:rFonts w:ascii="宋体" w:hAnsi="宋体" w:eastAsia="宋体"/>
          <w:szCs w:val="21"/>
        </w:rPr>
      </w:pPr>
      <w:r>
        <w:rPr>
          <w:rFonts w:hint="eastAsia" w:ascii="宋体" w:hAnsi="宋体" w:eastAsia="宋体"/>
          <w:szCs w:val="21"/>
        </w:rPr>
        <w:t>(8)《水土保持监测技术规程》(SL 277—2002)；</w:t>
      </w:r>
    </w:p>
    <w:p w14:paraId="699218EA">
      <w:pPr>
        <w:snapToGrid w:val="0"/>
        <w:spacing w:line="300" w:lineRule="auto"/>
        <w:ind w:firstLine="420" w:firstLineChars="200"/>
        <w:rPr>
          <w:rFonts w:ascii="宋体" w:hAnsi="宋体" w:eastAsia="宋体"/>
          <w:szCs w:val="21"/>
        </w:rPr>
      </w:pPr>
      <w:r>
        <w:rPr>
          <w:rFonts w:hint="eastAsia" w:ascii="宋体" w:hAnsi="宋体" w:eastAsia="宋体"/>
          <w:szCs w:val="21"/>
        </w:rPr>
        <w:t>(9)《水环境监测规范》(SL 219—2013)；</w:t>
      </w:r>
    </w:p>
    <w:p w14:paraId="4E553F83">
      <w:pPr>
        <w:snapToGrid w:val="0"/>
        <w:spacing w:line="300" w:lineRule="auto"/>
        <w:ind w:firstLine="420" w:firstLineChars="200"/>
        <w:rPr>
          <w:rFonts w:ascii="宋体" w:hAnsi="宋体" w:eastAsia="宋体"/>
          <w:szCs w:val="21"/>
        </w:rPr>
      </w:pPr>
      <w:r>
        <w:rPr>
          <w:rFonts w:hint="eastAsia" w:ascii="宋体" w:hAnsi="宋体" w:eastAsia="宋体"/>
          <w:szCs w:val="21"/>
        </w:rPr>
        <w:t>(10)《生活垃圾卫生填埋技术规范》(CJJ 17—2004)；</w:t>
      </w:r>
    </w:p>
    <w:p w14:paraId="426CA899">
      <w:pPr>
        <w:snapToGrid w:val="0"/>
        <w:spacing w:line="300" w:lineRule="auto"/>
        <w:ind w:firstLine="420" w:firstLineChars="200"/>
        <w:rPr>
          <w:rFonts w:ascii="宋体" w:hAnsi="宋体" w:eastAsia="宋体"/>
          <w:szCs w:val="21"/>
        </w:rPr>
      </w:pPr>
      <w:r>
        <w:rPr>
          <w:rFonts w:hint="eastAsia" w:ascii="宋体" w:hAnsi="宋体" w:eastAsia="宋体"/>
          <w:szCs w:val="21"/>
        </w:rPr>
        <w:t>(11)《水土保持综合治理验收规范》(GB／T 15773—2008)。</w:t>
      </w:r>
    </w:p>
    <w:p w14:paraId="6922F179">
      <w:pPr>
        <w:adjustRightInd w:val="0"/>
        <w:snapToGrid w:val="0"/>
        <w:spacing w:before="134" w:beforeLines="25" w:line="300" w:lineRule="auto"/>
        <w:outlineLvl w:val="1"/>
        <w:rPr>
          <w:rFonts w:ascii="宋体" w:hAnsi="宋体" w:eastAsia="宋体"/>
          <w:b/>
          <w:bCs/>
          <w:sz w:val="24"/>
          <w:szCs w:val="24"/>
        </w:rPr>
      </w:pPr>
      <w:bookmarkStart w:id="1153" w:name="_Toc304279805"/>
      <w:bookmarkStart w:id="1154" w:name="_Toc332293410"/>
      <w:bookmarkStart w:id="1155" w:name="_Toc307485312"/>
      <w:bookmarkStart w:id="1156" w:name="_Toc304280050"/>
      <w:bookmarkStart w:id="1157" w:name="_Toc304280797"/>
      <w:bookmarkStart w:id="1158" w:name="_Toc325040179"/>
      <w:bookmarkStart w:id="1159" w:name="_Toc267484977"/>
      <w:bookmarkStart w:id="1160" w:name="_Toc300084291"/>
      <w:bookmarkStart w:id="1161" w:name="_Toc332616542"/>
      <w:bookmarkStart w:id="1162" w:name="_Toc347386233"/>
      <w:bookmarkStart w:id="1163" w:name="_Toc347385984"/>
      <w:bookmarkStart w:id="1164" w:name="_Toc325020905"/>
      <w:bookmarkStart w:id="1165" w:name="_Toc304280301"/>
      <w:bookmarkStart w:id="1166" w:name="_Toc307419434"/>
      <w:bookmarkStart w:id="1167" w:name="_Toc307417545"/>
      <w:bookmarkStart w:id="1168" w:name="_Toc300084620"/>
      <w:bookmarkStart w:id="1169" w:name="_Toc347385729"/>
      <w:bookmarkStart w:id="1170" w:name="_Toc300071304"/>
      <w:bookmarkStart w:id="1171" w:name="_Toc300071449"/>
      <w:bookmarkStart w:id="1172" w:name="_Toc304280546"/>
      <w:bookmarkStart w:id="1173" w:name="_Toc381798993"/>
      <w:bookmarkStart w:id="1174" w:name="_Toc381820004"/>
      <w:bookmarkStart w:id="1175" w:name="_Toc307416248"/>
      <w:bookmarkStart w:id="1176" w:name="_Toc285029129"/>
      <w:bookmarkStart w:id="1177" w:name="_Toc325020373"/>
      <w:bookmarkStart w:id="1178" w:name="_Toc370238525"/>
      <w:bookmarkStart w:id="1179" w:name="_Toc332353203"/>
      <w:r>
        <w:rPr>
          <w:rFonts w:hint="eastAsia" w:ascii="宋体" w:hAnsi="宋体" w:eastAsia="宋体"/>
          <w:b/>
          <w:bCs/>
          <w:sz w:val="24"/>
          <w:szCs w:val="24"/>
        </w:rPr>
        <w:t>4.2 施工环境保护</w:t>
      </w:r>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38BA3D8B">
      <w:pPr>
        <w:snapToGrid w:val="0"/>
        <w:spacing w:before="134" w:beforeLines="25" w:line="300" w:lineRule="auto"/>
        <w:ind w:firstLine="210" w:firstLineChars="100"/>
        <w:outlineLvl w:val="2"/>
        <w:rPr>
          <w:rFonts w:ascii="宋体" w:hAnsi="宋体" w:eastAsia="宋体"/>
          <w:b/>
          <w:bCs/>
          <w:szCs w:val="21"/>
        </w:rPr>
      </w:pPr>
      <w:bookmarkStart w:id="1180" w:name="_Toc300084292"/>
      <w:bookmarkStart w:id="1181" w:name="_Toc300071450"/>
      <w:bookmarkStart w:id="1182" w:name="_Toc381798994"/>
      <w:bookmarkStart w:id="1183" w:name="_Toc381820005"/>
      <w:r>
        <w:rPr>
          <w:rFonts w:hint="eastAsia" w:ascii="宋体" w:hAnsi="宋体" w:eastAsia="宋体"/>
          <w:b/>
          <w:bCs/>
          <w:szCs w:val="21"/>
        </w:rPr>
        <w:t>4.2.1生活供水及生活废水处理</w:t>
      </w:r>
      <w:bookmarkEnd w:id="1180"/>
      <w:bookmarkEnd w:id="1181"/>
      <w:bookmarkEnd w:id="1182"/>
      <w:bookmarkEnd w:id="1183"/>
    </w:p>
    <w:p w14:paraId="545D6688">
      <w:pPr>
        <w:snapToGrid w:val="0"/>
        <w:spacing w:line="300" w:lineRule="auto"/>
        <w:ind w:firstLine="420" w:firstLineChars="200"/>
        <w:rPr>
          <w:rFonts w:ascii="宋体" w:hAnsi="宋体" w:eastAsia="宋体"/>
          <w:szCs w:val="21"/>
        </w:rPr>
      </w:pPr>
      <w:r>
        <w:rPr>
          <w:rFonts w:hint="eastAsia" w:ascii="宋体" w:hAnsi="宋体" w:eastAsia="宋体"/>
          <w:szCs w:val="21"/>
        </w:rPr>
        <w:t>(1)饮用水水质应符合GB 5749—2006的规定。</w:t>
      </w:r>
    </w:p>
    <w:p w14:paraId="4FC92F15">
      <w:pPr>
        <w:snapToGrid w:val="0"/>
        <w:spacing w:line="300" w:lineRule="auto"/>
        <w:ind w:firstLine="420" w:firstLineChars="200"/>
        <w:rPr>
          <w:rFonts w:ascii="宋体" w:hAnsi="宋体" w:eastAsia="宋体"/>
          <w:szCs w:val="21"/>
        </w:rPr>
      </w:pPr>
      <w:r>
        <w:rPr>
          <w:rFonts w:hint="eastAsia" w:ascii="宋体" w:hAnsi="宋体" w:eastAsia="宋体"/>
          <w:szCs w:val="21"/>
        </w:rPr>
        <w:t>(2)处理后的废水水质应符合受纳水体环境功能区规划规定的排放要求，或应遵守GB8978—1996的规定，不得将未处理的生活污水直接或间接排入河流水体中，或造成生活供水系统的污染。</w:t>
      </w:r>
    </w:p>
    <w:p w14:paraId="4A2C61B3">
      <w:pPr>
        <w:snapToGrid w:val="0"/>
        <w:spacing w:before="134" w:beforeLines="25" w:line="300" w:lineRule="auto"/>
        <w:ind w:firstLine="210" w:firstLineChars="100"/>
        <w:outlineLvl w:val="2"/>
        <w:rPr>
          <w:rFonts w:ascii="宋体" w:hAnsi="宋体" w:eastAsia="宋体"/>
          <w:b/>
          <w:bCs/>
          <w:szCs w:val="21"/>
        </w:rPr>
      </w:pPr>
      <w:bookmarkStart w:id="1184" w:name="_Toc381820006"/>
      <w:bookmarkStart w:id="1185" w:name="_Toc300071451"/>
      <w:bookmarkStart w:id="1186" w:name="_Toc300084293"/>
      <w:bookmarkStart w:id="1187" w:name="_Toc381798995"/>
      <w:r>
        <w:rPr>
          <w:rFonts w:hint="eastAsia" w:ascii="宋体" w:hAnsi="宋体" w:eastAsia="宋体"/>
          <w:b/>
          <w:bCs/>
          <w:szCs w:val="21"/>
        </w:rPr>
        <w:t>4.2.2生产废水处理</w:t>
      </w:r>
      <w:bookmarkEnd w:id="1184"/>
      <w:bookmarkEnd w:id="1185"/>
      <w:bookmarkEnd w:id="1186"/>
      <w:bookmarkEnd w:id="1187"/>
    </w:p>
    <w:p w14:paraId="1895580F">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基坑排水的排放口位置尽可能设置在靠近河流中的流速较大处，以尽量满足水质保护要求。基坑的经常性排水，应在基坑排水末端设沉淀池，排水量视沉淀池水的浑浊程度而定，做到蓄浑排清。尽量控制水体pH值接近中性时排放。</w:t>
      </w:r>
    </w:p>
    <w:p w14:paraId="06051B1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(2)辅助生产系统等的废水处理应实行雨污分流，建立完善的废水处理系统，将各生产系统经常性排放的废水统一收集处理。</w:t>
      </w:r>
    </w:p>
    <w:p w14:paraId="0FEFDFBC">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(3)废水处理系统排出的污泥需进行必要的脱水(或沉淀)处理后，运至指定的弃渣场堆存。防止污泥进入排水系统或排人河道。</w:t>
      </w:r>
    </w:p>
    <w:p w14:paraId="1F114629">
      <w:pPr>
        <w:snapToGrid w:val="0"/>
        <w:spacing w:line="300" w:lineRule="auto"/>
        <w:ind w:firstLine="420" w:firstLineChars="200"/>
        <w:rPr>
          <w:rFonts w:ascii="宋体" w:hAnsi="宋体" w:eastAsia="宋体"/>
          <w:szCs w:val="21"/>
        </w:rPr>
      </w:pPr>
      <w:r>
        <w:rPr>
          <w:rFonts w:hint="eastAsia" w:ascii="宋体" w:hAnsi="宋体" w:eastAsia="宋体"/>
          <w:szCs w:val="21"/>
        </w:rPr>
        <w:t>(4)机修及汽修系统的废水收集、处理系统应建立专用的废水收集管道，对含油较高的机修废水应选用成套油水分离设备进行油水分离，不得任意设置未经处理的废水排污口。</w:t>
      </w:r>
    </w:p>
    <w:p w14:paraId="58852839">
      <w:pPr>
        <w:snapToGrid w:val="0"/>
        <w:spacing w:line="300" w:lineRule="auto"/>
        <w:ind w:firstLine="420" w:firstLineChars="200"/>
        <w:rPr>
          <w:rFonts w:ascii="宋体" w:hAnsi="宋体" w:eastAsia="宋体"/>
          <w:szCs w:val="21"/>
        </w:rPr>
      </w:pPr>
      <w:r>
        <w:rPr>
          <w:rFonts w:hint="eastAsia" w:ascii="宋体" w:hAnsi="宋体" w:eastAsia="宋体"/>
          <w:szCs w:val="21"/>
        </w:rPr>
        <w:t>(5)混凝土浇筑面的冲洗、冲毛废水，以及灌浆工作面冲洗岩粉的污水和废弃浆液应由专设的沟道集中排放，严禁污水漫流。</w:t>
      </w:r>
    </w:p>
    <w:p w14:paraId="4E251F49">
      <w:pPr>
        <w:snapToGrid w:val="0"/>
        <w:spacing w:before="134" w:beforeLines="25" w:line="300" w:lineRule="auto"/>
        <w:ind w:firstLine="210" w:firstLineChars="100"/>
        <w:outlineLvl w:val="2"/>
        <w:rPr>
          <w:rFonts w:ascii="宋体" w:hAnsi="宋体" w:eastAsia="宋体"/>
          <w:b/>
          <w:bCs/>
          <w:szCs w:val="21"/>
        </w:rPr>
      </w:pPr>
      <w:bookmarkStart w:id="1188" w:name="_Toc381820007"/>
      <w:bookmarkStart w:id="1189" w:name="_Toc300071452"/>
      <w:bookmarkStart w:id="1190" w:name="_Toc300084294"/>
      <w:bookmarkStart w:id="1191" w:name="_Toc381798996"/>
      <w:r>
        <w:rPr>
          <w:rFonts w:hint="eastAsia" w:ascii="宋体" w:hAnsi="宋体" w:eastAsia="宋体"/>
          <w:b/>
          <w:bCs/>
          <w:szCs w:val="21"/>
        </w:rPr>
        <w:t>4.2.3施工区粉尘控制</w:t>
      </w:r>
      <w:bookmarkEnd w:id="1188"/>
      <w:bookmarkEnd w:id="1189"/>
      <w:bookmarkEnd w:id="1190"/>
      <w:bookmarkEnd w:id="1191"/>
    </w:p>
    <w:p w14:paraId="6CA2B04D">
      <w:pPr>
        <w:snapToGrid w:val="0"/>
        <w:spacing w:line="300" w:lineRule="auto"/>
        <w:ind w:firstLine="420" w:firstLineChars="200"/>
        <w:rPr>
          <w:rFonts w:ascii="宋体" w:hAnsi="宋体" w:eastAsia="宋体"/>
          <w:szCs w:val="21"/>
        </w:rPr>
      </w:pPr>
      <w:r>
        <w:rPr>
          <w:rFonts w:hint="eastAsia" w:ascii="宋体" w:hAnsi="宋体" w:eastAsia="宋体"/>
          <w:szCs w:val="21"/>
        </w:rPr>
        <w:t>(1)承包人应根据施工设备类型和施工方法制定除尘实施细则，提交监理人批准。</w:t>
      </w:r>
    </w:p>
    <w:p w14:paraId="5FC27F8E">
      <w:pPr>
        <w:snapToGrid w:val="0"/>
        <w:spacing w:line="300" w:lineRule="auto"/>
        <w:ind w:firstLine="420" w:firstLineChars="200"/>
        <w:rPr>
          <w:rFonts w:ascii="宋体" w:hAnsi="宋体" w:eastAsia="宋体"/>
          <w:szCs w:val="21"/>
        </w:rPr>
      </w:pPr>
      <w:r>
        <w:rPr>
          <w:rFonts w:hint="eastAsia" w:ascii="宋体" w:hAnsi="宋体" w:eastAsia="宋体"/>
          <w:szCs w:val="21"/>
        </w:rPr>
        <w:t>(2)施工过程中，承包人应会同监理人根据批准的除尘实施细则，随时进行除尘措施的检查和检测。检查和检测记录应提交监理人。</w:t>
      </w:r>
    </w:p>
    <w:p w14:paraId="135E8A81">
      <w:pPr>
        <w:snapToGrid w:val="0"/>
        <w:spacing w:line="300" w:lineRule="auto"/>
        <w:ind w:firstLine="420" w:firstLineChars="200"/>
        <w:rPr>
          <w:rFonts w:ascii="宋体" w:hAnsi="宋体" w:eastAsia="宋体"/>
          <w:szCs w:val="21"/>
        </w:rPr>
      </w:pPr>
      <w:r>
        <w:rPr>
          <w:rFonts w:hint="eastAsia" w:ascii="宋体" w:hAnsi="宋体" w:eastAsia="宋体"/>
          <w:szCs w:val="21"/>
        </w:rPr>
        <w:t>(3)施工期间，承包人应根据工程所在区域环境空气功能区划要求，保证施工场界及敏感受体附近空气中允许粉尘浓度限值控制在SL 398—2007表3.4.2规定范围内。</w:t>
      </w:r>
    </w:p>
    <w:p w14:paraId="1326722B">
      <w:pPr>
        <w:snapToGrid w:val="0"/>
        <w:spacing w:line="300" w:lineRule="auto"/>
        <w:ind w:firstLine="420" w:firstLineChars="200"/>
        <w:rPr>
          <w:rFonts w:ascii="宋体" w:hAnsi="宋体" w:eastAsia="宋体"/>
          <w:szCs w:val="21"/>
        </w:rPr>
      </w:pPr>
      <w:r>
        <w:rPr>
          <w:rFonts w:hint="eastAsia" w:ascii="宋体" w:hAnsi="宋体" w:eastAsia="宋体"/>
          <w:szCs w:val="21"/>
        </w:rPr>
        <w:t>(4)承包人制定的除尘措施，应遵守SL 398—2007第3.4.3条的有关规定。还应做到：</w:t>
      </w:r>
    </w:p>
    <w:p w14:paraId="1B8037E5">
      <w:pPr>
        <w:snapToGrid w:val="0"/>
        <w:spacing w:line="300" w:lineRule="auto"/>
        <w:ind w:firstLine="420" w:firstLineChars="200"/>
        <w:rPr>
          <w:rFonts w:ascii="宋体" w:hAnsi="宋体" w:eastAsia="宋体"/>
          <w:szCs w:val="21"/>
        </w:rPr>
      </w:pPr>
      <w:r>
        <w:rPr>
          <w:rFonts w:hint="eastAsia" w:ascii="宋体" w:hAnsi="宋体" w:eastAsia="宋体"/>
          <w:szCs w:val="21"/>
        </w:rPr>
        <w:t>1)施工期间，除尘设备应与生产设备同时运行，并保持良好运行状态；</w:t>
      </w:r>
    </w:p>
    <w:p w14:paraId="5C4F91AC">
      <w:pPr>
        <w:snapToGrid w:val="0"/>
        <w:spacing w:line="300" w:lineRule="auto"/>
        <w:ind w:firstLine="420" w:firstLineChars="200"/>
        <w:rPr>
          <w:rFonts w:ascii="宋体" w:hAnsi="宋体" w:eastAsia="宋体"/>
          <w:szCs w:val="21"/>
        </w:rPr>
      </w:pPr>
      <w:r>
        <w:rPr>
          <w:rFonts w:hint="eastAsia" w:ascii="宋体" w:hAnsi="宋体" w:eastAsia="宋体"/>
          <w:szCs w:val="21"/>
        </w:rPr>
        <w:t>2)选用低尘工艺．钻孔要安装除尘装置；</w:t>
      </w:r>
    </w:p>
    <w:p w14:paraId="2B38E91B">
      <w:pPr>
        <w:snapToGrid w:val="0"/>
        <w:spacing w:line="300" w:lineRule="auto"/>
        <w:ind w:firstLine="420" w:firstLineChars="200"/>
        <w:rPr>
          <w:rFonts w:ascii="宋体" w:hAnsi="宋体" w:eastAsia="宋体"/>
          <w:szCs w:val="21"/>
        </w:rPr>
      </w:pPr>
      <w:r>
        <w:rPr>
          <w:rFonts w:hint="eastAsia" w:ascii="宋体" w:hAnsi="宋体" w:eastAsia="宋体"/>
          <w:szCs w:val="21"/>
        </w:rPr>
        <w:t>3)混凝土系统配置除尘装置，及时更换和修理无法运行的除尘设备；</w:t>
      </w:r>
    </w:p>
    <w:p w14:paraId="6F6F8108">
      <w:pPr>
        <w:snapToGrid w:val="0"/>
        <w:spacing w:line="300" w:lineRule="auto"/>
        <w:ind w:firstLine="420" w:firstLineChars="200"/>
        <w:rPr>
          <w:rFonts w:ascii="宋体" w:hAnsi="宋体" w:eastAsia="宋体"/>
          <w:szCs w:val="21"/>
        </w:rPr>
      </w:pPr>
      <w:r>
        <w:rPr>
          <w:rFonts w:hint="eastAsia" w:ascii="宋体" w:hAnsi="宋体" w:eastAsia="宋体"/>
          <w:szCs w:val="21"/>
        </w:rPr>
        <w:t>4)承包人不得任意安装和使用对空气可能产生污染的锅炉、炉具，以及使用易产生烟尘或其它空气污染物的燃料；</w:t>
      </w:r>
    </w:p>
    <w:p w14:paraId="57C53FF2">
      <w:pPr>
        <w:snapToGrid w:val="0"/>
        <w:spacing w:line="300" w:lineRule="auto"/>
        <w:ind w:firstLine="420" w:firstLineChars="200"/>
        <w:rPr>
          <w:rFonts w:ascii="宋体" w:hAnsi="宋体" w:eastAsia="宋体"/>
          <w:szCs w:val="21"/>
        </w:rPr>
      </w:pPr>
      <w:r>
        <w:rPr>
          <w:rFonts w:hint="eastAsia" w:ascii="宋体" w:hAnsi="宋体" w:eastAsia="宋体"/>
          <w:szCs w:val="21"/>
        </w:rPr>
        <w:t>5)散装水泥、粉煤灰、磷矿渣粉应由封闭系统从罐车卸载到储存罐，所有出口应配有袋式过滤器；</w:t>
      </w:r>
    </w:p>
    <w:p w14:paraId="0C5EDEDB">
      <w:pPr>
        <w:snapToGrid w:val="0"/>
        <w:spacing w:line="300" w:lineRule="auto"/>
        <w:ind w:firstLine="420" w:firstLineChars="200"/>
        <w:rPr>
          <w:rFonts w:ascii="宋体" w:hAnsi="宋体" w:eastAsia="宋体"/>
          <w:szCs w:val="21"/>
        </w:rPr>
      </w:pPr>
      <w:r>
        <w:rPr>
          <w:rFonts w:hint="eastAsia" w:ascii="宋体" w:hAnsi="宋体" w:eastAsia="宋体"/>
          <w:szCs w:val="21"/>
        </w:rPr>
        <w:t>6)承包人应经常清扫施工场地和道路，向多尘工地和路面充分洒水；</w:t>
      </w:r>
    </w:p>
    <w:p w14:paraId="10114C05">
      <w:pPr>
        <w:snapToGrid w:val="0"/>
        <w:spacing w:line="300" w:lineRule="auto"/>
        <w:ind w:firstLine="420" w:firstLineChars="200"/>
        <w:rPr>
          <w:rFonts w:ascii="宋体" w:hAnsi="宋体" w:eastAsia="宋体"/>
          <w:szCs w:val="21"/>
        </w:rPr>
      </w:pPr>
      <w:r>
        <w:rPr>
          <w:rFonts w:hint="eastAsia" w:ascii="宋体" w:hAnsi="宋体" w:eastAsia="宋体"/>
          <w:szCs w:val="21"/>
        </w:rPr>
        <w:t>7)施工场地内应限制卡车、推土机等的车速以减少扬尘；运输可能产生粉尘物料的敞篷运输车，其车厢两侧及尾部均应配备挡板。运输粉尘物料应用干净的雨布加以遮盖；</w:t>
      </w:r>
    </w:p>
    <w:p w14:paraId="34D4A8A3">
      <w:pPr>
        <w:snapToGrid w:val="0"/>
        <w:spacing w:line="300" w:lineRule="auto"/>
        <w:ind w:firstLine="420" w:firstLineChars="200"/>
        <w:rPr>
          <w:rFonts w:ascii="宋体" w:hAnsi="宋体" w:eastAsia="宋体"/>
          <w:szCs w:val="21"/>
        </w:rPr>
      </w:pPr>
      <w:r>
        <w:rPr>
          <w:rFonts w:hint="eastAsia" w:ascii="宋体" w:hAnsi="宋体" w:eastAsia="宋体"/>
          <w:szCs w:val="21"/>
        </w:rPr>
        <w:t>8)洞内施工的液压钻、潜孔钻等应设有收尘装置，钻进不起尘，地下洞室的钻进工作面应设置有效的通风排烟设施，保证洞内空气流通。</w:t>
      </w:r>
    </w:p>
    <w:p w14:paraId="1D82EEB6">
      <w:pPr>
        <w:snapToGrid w:val="0"/>
        <w:spacing w:before="134" w:beforeLines="25" w:line="300" w:lineRule="auto"/>
        <w:ind w:firstLine="210" w:firstLineChars="100"/>
        <w:outlineLvl w:val="2"/>
        <w:rPr>
          <w:rFonts w:ascii="宋体" w:hAnsi="宋体" w:eastAsia="宋体"/>
          <w:b/>
          <w:bCs/>
          <w:szCs w:val="21"/>
        </w:rPr>
      </w:pPr>
      <w:bookmarkStart w:id="1192" w:name="_Toc381798997"/>
      <w:bookmarkStart w:id="1193" w:name="_Toc381820008"/>
      <w:r>
        <w:rPr>
          <w:rFonts w:hint="eastAsia" w:ascii="宋体" w:hAnsi="宋体" w:eastAsia="宋体"/>
          <w:b/>
          <w:bCs/>
          <w:szCs w:val="21"/>
        </w:rPr>
        <w:t>4.2.4施工区噪声污染控制</w:t>
      </w:r>
      <w:bookmarkEnd w:id="1192"/>
      <w:bookmarkEnd w:id="1193"/>
    </w:p>
    <w:p w14:paraId="60729A1B">
      <w:pPr>
        <w:snapToGrid w:val="0"/>
        <w:spacing w:line="300" w:lineRule="auto"/>
        <w:ind w:firstLine="420" w:firstLineChars="200"/>
        <w:rPr>
          <w:rFonts w:ascii="宋体" w:hAnsi="宋体" w:eastAsia="宋体"/>
          <w:szCs w:val="21"/>
        </w:rPr>
      </w:pPr>
      <w:r>
        <w:rPr>
          <w:rFonts w:hint="eastAsia" w:ascii="宋体" w:hAnsi="宋体" w:eastAsia="宋体"/>
          <w:szCs w:val="21"/>
        </w:rPr>
        <w:t>(1)施工过程中，承包人应会同监理人根据批准的降低噪声的措施对施工场地进行噪声的检查和监测，检查和监测记录应提交监理人。</w:t>
      </w:r>
    </w:p>
    <w:p w14:paraId="43BCA7A4">
      <w:pPr>
        <w:snapToGrid w:val="0"/>
        <w:spacing w:line="300" w:lineRule="auto"/>
        <w:ind w:firstLine="420" w:firstLineChars="200"/>
        <w:rPr>
          <w:rFonts w:ascii="宋体" w:hAnsi="宋体" w:eastAsia="宋体"/>
          <w:szCs w:val="21"/>
        </w:rPr>
      </w:pPr>
      <w:r>
        <w:rPr>
          <w:rFonts w:hint="eastAsia" w:ascii="宋体" w:hAnsi="宋体" w:eastAsia="宋体"/>
          <w:szCs w:val="21"/>
        </w:rPr>
        <w:t>(2)施工期间，承包人应按SL 398—2007第3.4.4条的规定，控制生产车间和作业场所地点噪声级卫生限值。</w:t>
      </w:r>
    </w:p>
    <w:p w14:paraId="0C52B144">
      <w:pPr>
        <w:snapToGrid w:val="0"/>
        <w:spacing w:line="300" w:lineRule="auto"/>
        <w:ind w:firstLine="420" w:firstLineChars="200"/>
        <w:rPr>
          <w:rFonts w:ascii="宋体" w:hAnsi="宋体" w:eastAsia="宋体"/>
          <w:szCs w:val="21"/>
        </w:rPr>
      </w:pPr>
      <w:r>
        <w:rPr>
          <w:rFonts w:hint="eastAsia" w:ascii="宋体" w:hAnsi="宋体" w:eastAsia="宋体"/>
          <w:szCs w:val="21"/>
        </w:rPr>
        <w:t>(3)生活区噪声声级的限值应遵守SL 398—2007表3.2.8的规定。</w:t>
      </w:r>
    </w:p>
    <w:p w14:paraId="69F3D49A">
      <w:pPr>
        <w:snapToGrid w:val="0"/>
        <w:spacing w:before="134" w:beforeLines="25" w:line="300" w:lineRule="auto"/>
        <w:ind w:firstLine="210" w:firstLineChars="100"/>
        <w:outlineLvl w:val="2"/>
        <w:rPr>
          <w:rFonts w:ascii="宋体" w:hAnsi="宋体" w:eastAsia="宋体"/>
          <w:b/>
          <w:bCs/>
          <w:szCs w:val="21"/>
        </w:rPr>
      </w:pPr>
      <w:bookmarkStart w:id="1194" w:name="_Toc381798998"/>
      <w:bookmarkStart w:id="1195" w:name="_Toc300071453"/>
      <w:bookmarkStart w:id="1196" w:name="_Toc300084295"/>
      <w:bookmarkStart w:id="1197" w:name="_Toc381820009"/>
      <w:r>
        <w:rPr>
          <w:rFonts w:hint="eastAsia" w:ascii="宋体" w:hAnsi="宋体" w:eastAsia="宋体"/>
          <w:b/>
          <w:bCs/>
          <w:szCs w:val="21"/>
        </w:rPr>
        <w:t>4.2.5固体废弃物处理</w:t>
      </w:r>
      <w:bookmarkEnd w:id="1194"/>
      <w:bookmarkEnd w:id="1195"/>
      <w:bookmarkEnd w:id="1196"/>
      <w:bookmarkEnd w:id="1197"/>
    </w:p>
    <w:p w14:paraId="4CA329DD">
      <w:pPr>
        <w:snapToGrid w:val="0"/>
        <w:spacing w:line="300" w:lineRule="auto"/>
        <w:ind w:firstLine="420" w:firstLineChars="200"/>
        <w:rPr>
          <w:rFonts w:ascii="宋体" w:hAnsi="宋体" w:eastAsia="宋体"/>
          <w:szCs w:val="21"/>
        </w:rPr>
      </w:pPr>
      <w:r>
        <w:rPr>
          <w:rFonts w:hint="eastAsia" w:ascii="宋体" w:hAnsi="宋体" w:eastAsia="宋体"/>
          <w:szCs w:val="21"/>
        </w:rPr>
        <w:t>(1)承包人应负责对其施工场地以及生活区范围内的生产和生活垃圾进行清运填埋，应设置必要的生活卫生设施，及时清扫生活垃圾，统一运至指定地点。</w:t>
      </w:r>
    </w:p>
    <w:p w14:paraId="71A41E8B">
      <w:pPr>
        <w:snapToGrid w:val="0"/>
        <w:spacing w:line="300" w:lineRule="auto"/>
        <w:ind w:firstLine="420" w:firstLineChars="200"/>
        <w:rPr>
          <w:rFonts w:ascii="宋体" w:hAnsi="宋体" w:eastAsia="宋体"/>
          <w:szCs w:val="21"/>
        </w:rPr>
      </w:pPr>
      <w:r>
        <w:rPr>
          <w:rFonts w:hint="eastAsia" w:ascii="宋体" w:hAnsi="宋体" w:eastAsia="宋体"/>
          <w:szCs w:val="21"/>
        </w:rPr>
        <w:t>(2)生产垃圾中的金属类废品，应由承包人负责回收利用。</w:t>
      </w:r>
    </w:p>
    <w:p w14:paraId="047B4E5F">
      <w:pPr>
        <w:snapToGrid w:val="0"/>
        <w:spacing w:line="300" w:lineRule="auto"/>
        <w:ind w:firstLine="420" w:firstLineChars="200"/>
        <w:rPr>
          <w:rFonts w:ascii="宋体" w:hAnsi="宋体" w:eastAsia="宋体"/>
          <w:szCs w:val="21"/>
        </w:rPr>
      </w:pPr>
      <w:r>
        <w:rPr>
          <w:rFonts w:hint="eastAsia" w:ascii="宋体" w:hAnsi="宋体" w:eastAsia="宋体"/>
          <w:szCs w:val="21"/>
        </w:rPr>
        <w:t>(3)承包人应按指定的渣场弃渣，弃渣场应采取碾压、挡护或绿化等措施进行处理。</w:t>
      </w:r>
    </w:p>
    <w:p w14:paraId="3ABA6CA2">
      <w:pPr>
        <w:snapToGrid w:val="0"/>
        <w:spacing w:line="300" w:lineRule="auto"/>
        <w:ind w:firstLine="420" w:firstLineChars="200"/>
        <w:rPr>
          <w:rFonts w:ascii="宋体" w:hAnsi="宋体" w:eastAsia="宋体"/>
          <w:szCs w:val="21"/>
        </w:rPr>
      </w:pPr>
      <w:r>
        <w:rPr>
          <w:rFonts w:hint="eastAsia" w:ascii="宋体" w:hAnsi="宋体" w:eastAsia="宋体"/>
          <w:szCs w:val="21"/>
        </w:rPr>
        <w:t>(4)对施工中难以避免滑人河道的渣土、因施工造成的场地塌滑与泥沙漫流等问题，应根据监理人指示和地方环境保护部门要求，采取合理措施进行处理。</w:t>
      </w:r>
    </w:p>
    <w:p w14:paraId="2299E3B3">
      <w:pPr>
        <w:snapToGrid w:val="0"/>
        <w:spacing w:line="300" w:lineRule="auto"/>
        <w:ind w:firstLine="420" w:firstLineChars="200"/>
        <w:rPr>
          <w:rFonts w:ascii="宋体" w:hAnsi="宋体" w:eastAsia="宋体"/>
          <w:szCs w:val="21"/>
        </w:rPr>
      </w:pPr>
      <w:r>
        <w:rPr>
          <w:rFonts w:hint="eastAsia" w:ascii="宋体" w:hAnsi="宋体" w:eastAsia="宋体"/>
          <w:szCs w:val="21"/>
        </w:rPr>
        <w:t>(5)废弃混凝土应运至专设的弃料场，不得在施工场地内任意弃置。</w:t>
      </w:r>
    </w:p>
    <w:p w14:paraId="073ADF6C">
      <w:pPr>
        <w:snapToGrid w:val="0"/>
        <w:spacing w:before="134" w:beforeLines="25" w:line="300" w:lineRule="auto"/>
        <w:ind w:firstLine="210" w:firstLineChars="100"/>
        <w:outlineLvl w:val="2"/>
        <w:rPr>
          <w:rFonts w:ascii="宋体" w:hAnsi="宋体" w:eastAsia="宋体"/>
          <w:b/>
          <w:bCs/>
          <w:szCs w:val="21"/>
        </w:rPr>
      </w:pPr>
      <w:bookmarkStart w:id="1198" w:name="_Toc300084296"/>
      <w:bookmarkStart w:id="1199" w:name="_Toc381820010"/>
      <w:bookmarkStart w:id="1200" w:name="_Toc381798999"/>
      <w:bookmarkStart w:id="1201" w:name="_Toc300071454"/>
      <w:r>
        <w:rPr>
          <w:rFonts w:hint="eastAsia" w:ascii="宋体" w:hAnsi="宋体" w:eastAsia="宋体"/>
          <w:b/>
          <w:bCs/>
          <w:szCs w:val="21"/>
        </w:rPr>
        <w:t>4.2.6有毒有害物质和危险品的管理</w:t>
      </w:r>
      <w:bookmarkEnd w:id="1198"/>
      <w:bookmarkEnd w:id="1199"/>
      <w:bookmarkEnd w:id="1200"/>
      <w:bookmarkEnd w:id="1201"/>
    </w:p>
    <w:p w14:paraId="781049B1">
      <w:pPr>
        <w:snapToGrid w:val="0"/>
        <w:spacing w:line="300" w:lineRule="auto"/>
        <w:ind w:firstLine="420" w:firstLineChars="200"/>
        <w:rPr>
          <w:rFonts w:ascii="宋体" w:hAnsi="宋体" w:eastAsia="宋体"/>
          <w:szCs w:val="21"/>
        </w:rPr>
      </w:pPr>
      <w:r>
        <w:rPr>
          <w:rFonts w:hint="eastAsia" w:ascii="宋体" w:hAnsi="宋体" w:eastAsia="宋体"/>
          <w:szCs w:val="21"/>
        </w:rPr>
        <w:t>有毒有害物质和危险品的管理应遵守SL 398—2007第11.3 1条、第11.3.2条的规定。</w:t>
      </w:r>
    </w:p>
    <w:p w14:paraId="4481FFA5">
      <w:pPr>
        <w:adjustRightInd w:val="0"/>
        <w:snapToGrid w:val="0"/>
        <w:spacing w:before="134" w:beforeLines="25" w:line="300" w:lineRule="auto"/>
        <w:outlineLvl w:val="1"/>
        <w:rPr>
          <w:rFonts w:ascii="宋体" w:hAnsi="宋体" w:eastAsia="宋体"/>
          <w:b/>
          <w:bCs/>
          <w:sz w:val="24"/>
          <w:szCs w:val="24"/>
        </w:rPr>
      </w:pPr>
      <w:bookmarkStart w:id="1202" w:name="_Toc381820011"/>
      <w:bookmarkStart w:id="1203" w:name="_Toc304280302"/>
      <w:bookmarkStart w:id="1204" w:name="_Toc381799000"/>
      <w:bookmarkStart w:id="1205" w:name="_Toc325020374"/>
      <w:bookmarkStart w:id="1206" w:name="_Toc304280547"/>
      <w:bookmarkStart w:id="1207" w:name="_Toc347385730"/>
      <w:bookmarkStart w:id="1208" w:name="_Toc304280798"/>
      <w:bookmarkStart w:id="1209" w:name="_Toc325040180"/>
      <w:bookmarkStart w:id="1210" w:name="_Toc300071455"/>
      <w:bookmarkStart w:id="1211" w:name="_Toc267484978"/>
      <w:bookmarkStart w:id="1212" w:name="_Toc285029130"/>
      <w:bookmarkStart w:id="1213" w:name="_Toc347385985"/>
      <w:bookmarkStart w:id="1214" w:name="_Toc304280051"/>
      <w:bookmarkStart w:id="1215" w:name="_Toc332616543"/>
      <w:bookmarkStart w:id="1216" w:name="_Toc332293411"/>
      <w:bookmarkStart w:id="1217" w:name="_Toc325020906"/>
      <w:bookmarkStart w:id="1218" w:name="_Toc307417546"/>
      <w:bookmarkStart w:id="1219" w:name="_Toc307416249"/>
      <w:bookmarkStart w:id="1220" w:name="_Toc300071305"/>
      <w:bookmarkStart w:id="1221" w:name="_Toc307419435"/>
      <w:bookmarkStart w:id="1222" w:name="_Toc347386234"/>
      <w:bookmarkStart w:id="1223" w:name="_Toc300084297"/>
      <w:bookmarkStart w:id="1224" w:name="_Toc307485313"/>
      <w:bookmarkStart w:id="1225" w:name="_Toc300084621"/>
      <w:bookmarkStart w:id="1226" w:name="_Toc332353204"/>
      <w:bookmarkStart w:id="1227" w:name="_Toc304279806"/>
      <w:bookmarkStart w:id="1228" w:name="_Toc370238526"/>
      <w:r>
        <w:rPr>
          <w:rFonts w:hint="eastAsia" w:ascii="宋体" w:hAnsi="宋体" w:eastAsia="宋体"/>
          <w:b/>
          <w:bCs/>
          <w:sz w:val="24"/>
          <w:szCs w:val="24"/>
        </w:rPr>
        <w:t>4.3生态环境保护</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14:paraId="251FEB17">
      <w:pPr>
        <w:snapToGrid w:val="0"/>
        <w:spacing w:before="134" w:beforeLines="25" w:line="300" w:lineRule="auto"/>
        <w:ind w:firstLine="210" w:firstLineChars="100"/>
        <w:outlineLvl w:val="2"/>
        <w:rPr>
          <w:rFonts w:ascii="宋体" w:hAnsi="宋体" w:eastAsia="宋体"/>
          <w:b/>
          <w:bCs/>
          <w:szCs w:val="21"/>
        </w:rPr>
      </w:pPr>
      <w:bookmarkStart w:id="1229" w:name="_Toc381820012"/>
      <w:bookmarkStart w:id="1230" w:name="_Toc381799001"/>
      <w:bookmarkStart w:id="1231" w:name="_Toc300084298"/>
      <w:bookmarkStart w:id="1232" w:name="_Toc300071456"/>
      <w:r>
        <w:rPr>
          <w:rFonts w:hint="eastAsia" w:ascii="宋体" w:hAnsi="宋体" w:eastAsia="宋体"/>
          <w:b/>
          <w:bCs/>
          <w:szCs w:val="21"/>
        </w:rPr>
        <w:t>4.3.1陆生动植物及资源保护</w:t>
      </w:r>
      <w:bookmarkEnd w:id="1229"/>
      <w:bookmarkEnd w:id="1230"/>
      <w:bookmarkEnd w:id="1231"/>
      <w:bookmarkEnd w:id="1232"/>
    </w:p>
    <w:p w14:paraId="0462A546">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(1)承包人因工程施工需要在施工场地范围内进行砍树、清除表土和草皮时，必须按环境保护主管部门和监理人批准的环境保护规划要求进行。</w:t>
      </w:r>
    </w:p>
    <w:p w14:paraId="03BECE75">
      <w:pPr>
        <w:snapToGrid w:val="0"/>
        <w:spacing w:line="300" w:lineRule="auto"/>
        <w:ind w:firstLine="420" w:firstLineChars="200"/>
        <w:rPr>
          <w:rFonts w:ascii="宋体" w:hAnsi="宋体" w:eastAsia="宋体"/>
          <w:szCs w:val="21"/>
        </w:rPr>
      </w:pPr>
      <w:r>
        <w:rPr>
          <w:rFonts w:hint="eastAsia" w:ascii="宋体" w:hAnsi="宋体" w:eastAsia="宋体"/>
          <w:szCs w:val="21"/>
        </w:rPr>
        <w:t>(2)承包人在施工场地内发现国家保护级的鸟巢、受保护动物和巢穴，应按国家的有关规定妥善保护。</w:t>
      </w:r>
    </w:p>
    <w:p w14:paraId="59A475D9">
      <w:pPr>
        <w:snapToGrid w:val="0"/>
        <w:spacing w:line="300" w:lineRule="auto"/>
        <w:ind w:firstLine="420" w:firstLineChars="200"/>
        <w:rPr>
          <w:rFonts w:ascii="宋体" w:hAnsi="宋体" w:eastAsia="宋体"/>
          <w:szCs w:val="21"/>
        </w:rPr>
      </w:pPr>
      <w:r>
        <w:rPr>
          <w:rFonts w:hint="eastAsia" w:ascii="宋体" w:hAnsi="宋体" w:eastAsia="宋体"/>
          <w:szCs w:val="21"/>
        </w:rPr>
        <w:t>(3)承包人在施工区附近的水域，发现受保护的鱼类应立即报告监理人，并按国家有关规定处理。严禁在施工区以外的保护林区捕猎野生动物。</w:t>
      </w:r>
    </w:p>
    <w:p w14:paraId="4294265C">
      <w:pPr>
        <w:snapToGrid w:val="0"/>
        <w:spacing w:before="134" w:beforeLines="25" w:line="300" w:lineRule="auto"/>
        <w:ind w:firstLine="210" w:firstLineChars="100"/>
        <w:outlineLvl w:val="2"/>
        <w:rPr>
          <w:rFonts w:ascii="宋体" w:hAnsi="宋体" w:eastAsia="宋体"/>
          <w:b/>
          <w:bCs/>
          <w:szCs w:val="21"/>
        </w:rPr>
      </w:pPr>
      <w:bookmarkStart w:id="1233" w:name="_Toc381820013"/>
      <w:bookmarkStart w:id="1234" w:name="_Toc381799002"/>
      <w:r>
        <w:rPr>
          <w:rFonts w:hint="eastAsia" w:ascii="宋体" w:hAnsi="宋体" w:eastAsia="宋体"/>
          <w:b/>
          <w:bCs/>
          <w:szCs w:val="21"/>
        </w:rPr>
        <w:t>4.3.2景观与视觉保护</w:t>
      </w:r>
      <w:bookmarkEnd w:id="1233"/>
      <w:bookmarkEnd w:id="1234"/>
    </w:p>
    <w:p w14:paraId="204036D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(1)施工期间，承包人应负责保护好施工场地附近的风景区、自然保护区及温泉等的景观免受工程施工的影响。</w:t>
      </w:r>
    </w:p>
    <w:p w14:paraId="13B35D60">
      <w:pPr>
        <w:snapToGrid w:val="0"/>
        <w:spacing w:line="300" w:lineRule="auto"/>
        <w:ind w:firstLine="420" w:firstLineChars="200"/>
        <w:rPr>
          <w:rFonts w:ascii="宋体" w:hAnsi="宋体" w:eastAsia="宋体"/>
          <w:szCs w:val="21"/>
        </w:rPr>
      </w:pPr>
      <w:r>
        <w:rPr>
          <w:rFonts w:hint="eastAsia" w:ascii="宋体" w:hAnsi="宋体" w:eastAsia="宋体"/>
          <w:szCs w:val="21"/>
        </w:rPr>
        <w:t>(2)承包人应做好生活营地周围的绿化和美化工作，保护生态，改善生活环境。修建的各项临时设施应尽可能与周围环境协调。</w:t>
      </w:r>
    </w:p>
    <w:p w14:paraId="701CC38E">
      <w:pPr>
        <w:adjustRightInd w:val="0"/>
        <w:snapToGrid w:val="0"/>
        <w:spacing w:before="134" w:beforeLines="25" w:line="300" w:lineRule="auto"/>
        <w:outlineLvl w:val="1"/>
        <w:rPr>
          <w:rFonts w:ascii="宋体" w:hAnsi="宋体" w:eastAsia="宋体"/>
          <w:b/>
          <w:bCs/>
          <w:sz w:val="24"/>
          <w:szCs w:val="24"/>
        </w:rPr>
      </w:pPr>
      <w:bookmarkStart w:id="1235" w:name="_Toc300084622"/>
      <w:bookmarkStart w:id="1236" w:name="_Toc347385986"/>
      <w:bookmarkStart w:id="1237" w:name="_Toc347386235"/>
      <w:bookmarkStart w:id="1238" w:name="_Toc307416250"/>
      <w:bookmarkStart w:id="1239" w:name="_Toc304279807"/>
      <w:bookmarkStart w:id="1240" w:name="_Toc307417547"/>
      <w:bookmarkStart w:id="1241" w:name="_Toc285029131"/>
      <w:bookmarkStart w:id="1242" w:name="_Toc332353205"/>
      <w:bookmarkStart w:id="1243" w:name="_Toc307419436"/>
      <w:bookmarkStart w:id="1244" w:name="_Toc304280799"/>
      <w:bookmarkStart w:id="1245" w:name="_Toc304280303"/>
      <w:bookmarkStart w:id="1246" w:name="_Toc381799003"/>
      <w:bookmarkStart w:id="1247" w:name="_Toc300071457"/>
      <w:bookmarkStart w:id="1248" w:name="_Toc325020375"/>
      <w:bookmarkStart w:id="1249" w:name="_Toc300084299"/>
      <w:bookmarkStart w:id="1250" w:name="_Toc332293412"/>
      <w:bookmarkStart w:id="1251" w:name="_Toc307485314"/>
      <w:bookmarkStart w:id="1252" w:name="_Toc332616544"/>
      <w:bookmarkStart w:id="1253" w:name="_Toc347385731"/>
      <w:bookmarkStart w:id="1254" w:name="_Toc325040181"/>
      <w:bookmarkStart w:id="1255" w:name="_Toc370238527"/>
      <w:bookmarkStart w:id="1256" w:name="_Toc304280052"/>
      <w:bookmarkStart w:id="1257" w:name="_Toc267484979"/>
      <w:bookmarkStart w:id="1258" w:name="_Toc300071306"/>
      <w:bookmarkStart w:id="1259" w:name="_Toc325020907"/>
      <w:bookmarkStart w:id="1260" w:name="_Toc381820014"/>
      <w:bookmarkStart w:id="1261" w:name="_Toc304280548"/>
      <w:r>
        <w:rPr>
          <w:rFonts w:hint="eastAsia" w:ascii="宋体" w:hAnsi="宋体" w:eastAsia="宋体"/>
          <w:b/>
          <w:bCs/>
          <w:sz w:val="24"/>
          <w:szCs w:val="24"/>
        </w:rPr>
        <w:t>4.4水土保持</w:t>
      </w:r>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14:paraId="3ECE4EB7">
      <w:pPr>
        <w:snapToGrid w:val="0"/>
        <w:spacing w:before="134" w:beforeLines="25" w:line="300" w:lineRule="auto"/>
        <w:ind w:firstLine="210" w:firstLineChars="100"/>
        <w:outlineLvl w:val="2"/>
        <w:rPr>
          <w:rFonts w:ascii="宋体" w:hAnsi="宋体" w:eastAsia="宋体"/>
          <w:b/>
          <w:bCs/>
          <w:szCs w:val="21"/>
        </w:rPr>
      </w:pPr>
      <w:bookmarkStart w:id="1262" w:name="_Toc381820015"/>
      <w:bookmarkStart w:id="1263" w:name="_Toc381799004"/>
      <w:bookmarkStart w:id="1264" w:name="_Toc300084300"/>
      <w:bookmarkStart w:id="1265" w:name="_Toc300071458"/>
      <w:r>
        <w:rPr>
          <w:rFonts w:hint="eastAsia" w:ascii="宋体" w:hAnsi="宋体" w:eastAsia="宋体"/>
          <w:b/>
          <w:bCs/>
          <w:szCs w:val="21"/>
        </w:rPr>
        <w:t>4.4.1执行水土保持措施计划</w:t>
      </w:r>
      <w:bookmarkEnd w:id="1262"/>
      <w:bookmarkEnd w:id="1263"/>
      <w:bookmarkEnd w:id="1264"/>
      <w:bookmarkEnd w:id="1265"/>
    </w:p>
    <w:p w14:paraId="54118039">
      <w:pPr>
        <w:snapToGrid w:val="0"/>
        <w:spacing w:line="300" w:lineRule="auto"/>
        <w:ind w:firstLine="420" w:firstLineChars="200"/>
        <w:rPr>
          <w:rFonts w:ascii="宋体" w:hAnsi="宋体" w:eastAsia="宋体"/>
          <w:szCs w:val="21"/>
        </w:rPr>
      </w:pPr>
      <w:r>
        <w:rPr>
          <w:rFonts w:hint="eastAsia" w:ascii="宋体" w:hAnsi="宋体" w:eastAsia="宋体"/>
          <w:szCs w:val="21"/>
        </w:rPr>
        <w:t>承包人应按监理人批准的水土保持措施计划，负责实施本合同责任范围内(包括施工开挖的场地、生活区、施工道路和渣场等)的水土保持措施，并在工程结束后，按合同要求进行场地清理和整治。</w:t>
      </w:r>
    </w:p>
    <w:p w14:paraId="0637F209">
      <w:pPr>
        <w:snapToGrid w:val="0"/>
        <w:spacing w:before="134" w:beforeLines="25" w:line="300" w:lineRule="auto"/>
        <w:ind w:firstLine="210" w:firstLineChars="100"/>
        <w:outlineLvl w:val="2"/>
        <w:rPr>
          <w:rFonts w:ascii="宋体" w:hAnsi="宋体" w:eastAsia="宋体"/>
          <w:b/>
          <w:bCs/>
          <w:szCs w:val="21"/>
        </w:rPr>
      </w:pPr>
      <w:bookmarkStart w:id="1266" w:name="_Toc381799005"/>
      <w:bookmarkStart w:id="1267" w:name="_Toc381820016"/>
      <w:bookmarkStart w:id="1268" w:name="_Toc300084301"/>
      <w:bookmarkStart w:id="1269" w:name="_Toc300071459"/>
      <w:r>
        <w:rPr>
          <w:rFonts w:hint="eastAsia" w:ascii="宋体" w:hAnsi="宋体" w:eastAsia="宋体"/>
          <w:b/>
          <w:bCs/>
          <w:szCs w:val="21"/>
        </w:rPr>
        <w:t>4.4.2做好水土保持工程措施</w:t>
      </w:r>
      <w:bookmarkEnd w:id="1266"/>
      <w:bookmarkEnd w:id="1267"/>
      <w:bookmarkEnd w:id="1268"/>
      <w:bookmarkEnd w:id="1269"/>
    </w:p>
    <w:p w14:paraId="05916CE7">
      <w:pPr>
        <w:snapToGrid w:val="0"/>
        <w:spacing w:line="300" w:lineRule="auto"/>
        <w:ind w:firstLine="420" w:firstLineChars="200"/>
        <w:rPr>
          <w:rFonts w:ascii="宋体" w:hAnsi="宋体" w:eastAsia="宋体"/>
          <w:szCs w:val="21"/>
        </w:rPr>
      </w:pPr>
      <w:r>
        <w:rPr>
          <w:rFonts w:hint="eastAsia" w:ascii="宋体" w:hAnsi="宋体" w:eastAsia="宋体"/>
          <w:szCs w:val="21"/>
        </w:rPr>
        <w:t>(1)承包人应做好场内道路上下边坡水土流失的防治工程措施；施工场地应设置完善的排水系统，防止降雨径流对施工场地和渣场的冲刷。</w:t>
      </w:r>
    </w:p>
    <w:p w14:paraId="0C6E0D1F">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(2)承包人应按监理人批准的水土保持工程措施，做好料场、渣场的挡护、排水等工程措施和植物种植保护措施，并负责料场和渣场施工期的维护管理工作。</w:t>
      </w:r>
    </w:p>
    <w:p w14:paraId="462CA070">
      <w:pPr>
        <w:snapToGrid w:val="0"/>
        <w:spacing w:line="300" w:lineRule="auto"/>
        <w:ind w:firstLine="420" w:firstLineChars="200"/>
        <w:rPr>
          <w:rFonts w:ascii="宋体" w:hAnsi="宋体" w:eastAsia="宋体"/>
          <w:szCs w:val="21"/>
        </w:rPr>
      </w:pPr>
      <w:r>
        <w:rPr>
          <w:rFonts w:hint="eastAsia" w:ascii="宋体" w:hAnsi="宋体" w:eastAsia="宋体"/>
          <w:szCs w:val="21"/>
        </w:rPr>
        <w:t>(3)承包人应选择不易受径流冲刷侵蚀的场地堆放开挖料和弃渣，并在其堆放场地周边修建临时排水沟引排周边汇水。</w:t>
      </w:r>
    </w:p>
    <w:p w14:paraId="63EEC32C">
      <w:pPr>
        <w:snapToGrid w:val="0"/>
        <w:spacing w:line="300" w:lineRule="auto"/>
        <w:ind w:firstLine="420" w:firstLineChars="200"/>
        <w:rPr>
          <w:rFonts w:ascii="宋体" w:hAnsi="宋体" w:eastAsia="宋体"/>
          <w:szCs w:val="21"/>
        </w:rPr>
      </w:pPr>
      <w:r>
        <w:rPr>
          <w:rFonts w:hint="eastAsia" w:ascii="宋体" w:hAnsi="宋体" w:eastAsia="宋体"/>
          <w:szCs w:val="21"/>
        </w:rPr>
        <w:t>(4)承包人应保护施工场地周边的林草和水土保持设施（包括水库、渠、塘坝、梯田和拦渣坝等），避免或减少由于施工造成的水土流失。</w:t>
      </w:r>
    </w:p>
    <w:p w14:paraId="77B4498E">
      <w:pPr>
        <w:adjustRightInd w:val="0"/>
        <w:snapToGrid w:val="0"/>
        <w:spacing w:before="134" w:beforeLines="25" w:line="300" w:lineRule="auto"/>
        <w:outlineLvl w:val="1"/>
        <w:rPr>
          <w:rFonts w:ascii="宋体" w:hAnsi="宋体" w:eastAsia="宋体"/>
          <w:b/>
          <w:bCs/>
          <w:sz w:val="24"/>
          <w:szCs w:val="24"/>
        </w:rPr>
      </w:pPr>
      <w:bookmarkStart w:id="1270" w:name="_Toc304280800"/>
      <w:bookmarkStart w:id="1271" w:name="_Toc300084302"/>
      <w:bookmarkStart w:id="1272" w:name="_Toc381799006"/>
      <w:bookmarkStart w:id="1273" w:name="_Toc332293413"/>
      <w:bookmarkStart w:id="1274" w:name="_Toc347385732"/>
      <w:bookmarkStart w:id="1275" w:name="_Toc304280549"/>
      <w:bookmarkStart w:id="1276" w:name="_Toc300071307"/>
      <w:bookmarkStart w:id="1277" w:name="_Toc325020376"/>
      <w:bookmarkStart w:id="1278" w:name="_Toc285029132"/>
      <w:bookmarkStart w:id="1279" w:name="_Toc381820017"/>
      <w:bookmarkStart w:id="1280" w:name="_Toc325020908"/>
      <w:bookmarkStart w:id="1281" w:name="_Toc332616545"/>
      <w:bookmarkStart w:id="1282" w:name="_Toc307485315"/>
      <w:bookmarkStart w:id="1283" w:name="_Toc300084623"/>
      <w:bookmarkStart w:id="1284" w:name="_Toc347385987"/>
      <w:bookmarkStart w:id="1285" w:name="_Toc307419437"/>
      <w:bookmarkStart w:id="1286" w:name="_Toc325040182"/>
      <w:bookmarkStart w:id="1287" w:name="_Toc370238528"/>
      <w:bookmarkStart w:id="1288" w:name="_Toc307417548"/>
      <w:bookmarkStart w:id="1289" w:name="_Toc332353206"/>
      <w:bookmarkStart w:id="1290" w:name="_Toc267484980"/>
      <w:bookmarkStart w:id="1291" w:name="_Toc304279808"/>
      <w:bookmarkStart w:id="1292" w:name="_Toc300071460"/>
      <w:bookmarkStart w:id="1293" w:name="_Toc347386236"/>
      <w:bookmarkStart w:id="1294" w:name="_Toc304280304"/>
      <w:bookmarkStart w:id="1295" w:name="_Toc304280053"/>
      <w:bookmarkStart w:id="1296" w:name="_Toc307416251"/>
      <w:r>
        <w:rPr>
          <w:rFonts w:hint="eastAsia" w:ascii="宋体" w:hAnsi="宋体" w:eastAsia="宋体"/>
          <w:b/>
          <w:bCs/>
          <w:sz w:val="24"/>
          <w:szCs w:val="24"/>
        </w:rPr>
        <w:t>4.5环境清理</w:t>
      </w:r>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14:paraId="3E0EEC79">
      <w:pPr>
        <w:snapToGrid w:val="0"/>
        <w:spacing w:before="134" w:beforeLines="25" w:line="300" w:lineRule="auto"/>
        <w:ind w:firstLine="210" w:firstLineChars="100"/>
        <w:outlineLvl w:val="2"/>
        <w:rPr>
          <w:rFonts w:ascii="宋体" w:hAnsi="宋体" w:eastAsia="宋体"/>
          <w:b/>
          <w:bCs/>
          <w:szCs w:val="21"/>
        </w:rPr>
      </w:pPr>
      <w:bookmarkStart w:id="1297" w:name="_Toc381820018"/>
      <w:bookmarkStart w:id="1298" w:name="_Toc300084303"/>
      <w:bookmarkStart w:id="1299" w:name="_Toc381799007"/>
      <w:bookmarkStart w:id="1300" w:name="_Toc300071461"/>
      <w:r>
        <w:rPr>
          <w:rFonts w:hint="eastAsia" w:ascii="宋体" w:hAnsi="宋体" w:eastAsia="宋体"/>
          <w:b/>
          <w:bCs/>
          <w:szCs w:val="21"/>
        </w:rPr>
        <w:t>4.5.1环境清理措施计划</w:t>
      </w:r>
      <w:bookmarkEnd w:id="1297"/>
      <w:bookmarkEnd w:id="1298"/>
      <w:bookmarkEnd w:id="1299"/>
      <w:bookmarkEnd w:id="1300"/>
    </w:p>
    <w:p w14:paraId="5D5E62AA">
      <w:pPr>
        <w:snapToGrid w:val="0"/>
        <w:spacing w:line="300" w:lineRule="auto"/>
        <w:ind w:firstLine="420" w:firstLineChars="200"/>
        <w:rPr>
          <w:rFonts w:ascii="宋体" w:hAnsi="宋体" w:eastAsia="宋体"/>
          <w:szCs w:val="21"/>
        </w:rPr>
      </w:pPr>
      <w:r>
        <w:rPr>
          <w:rFonts w:hint="eastAsia" w:ascii="宋体" w:hAnsi="宋体" w:eastAsia="宋体"/>
          <w:szCs w:val="21"/>
        </w:rPr>
        <w:t>承包人应按监理人指示，在工程基本完工后，制定一份环境清理措施计划，提交监理人批准，其内容应包括：</w:t>
      </w:r>
    </w:p>
    <w:p w14:paraId="26090FE3">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(1)环境清理范围(包括本合同施工场地及施工场地以外遭受施工损坏的地区)；</w:t>
      </w:r>
    </w:p>
    <w:p w14:paraId="45E5EF35">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(2)环境保护辅助工程设施；</w:t>
      </w:r>
    </w:p>
    <w:p w14:paraId="0C08C62D">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(3)植被种植措施。</w:t>
      </w:r>
    </w:p>
    <w:p w14:paraId="51A08186">
      <w:pPr>
        <w:snapToGrid w:val="0"/>
        <w:spacing w:before="134" w:beforeLines="25" w:line="300" w:lineRule="auto"/>
        <w:ind w:firstLine="210" w:firstLineChars="100"/>
        <w:outlineLvl w:val="2"/>
        <w:rPr>
          <w:rFonts w:ascii="宋体" w:hAnsi="宋体" w:eastAsia="宋体"/>
          <w:b/>
          <w:bCs/>
          <w:szCs w:val="21"/>
        </w:rPr>
      </w:pPr>
      <w:bookmarkStart w:id="1301" w:name="_Toc300084304"/>
      <w:bookmarkStart w:id="1302" w:name="_Toc381799008"/>
      <w:bookmarkStart w:id="1303" w:name="_Toc300071462"/>
      <w:bookmarkStart w:id="1304" w:name="_Toc381820019"/>
      <w:r>
        <w:rPr>
          <w:rFonts w:hint="eastAsia" w:ascii="宋体" w:hAnsi="宋体" w:eastAsia="宋体"/>
          <w:b/>
          <w:bCs/>
          <w:szCs w:val="21"/>
        </w:rPr>
        <w:t>4.5.2环境清理</w:t>
      </w:r>
      <w:bookmarkEnd w:id="1301"/>
      <w:bookmarkEnd w:id="1302"/>
      <w:bookmarkEnd w:id="1303"/>
      <w:bookmarkEnd w:id="1304"/>
    </w:p>
    <w:p w14:paraId="65742C41">
      <w:pPr>
        <w:snapToGrid w:val="0"/>
        <w:spacing w:line="300" w:lineRule="auto"/>
        <w:ind w:firstLine="420" w:firstLineChars="200"/>
        <w:rPr>
          <w:rFonts w:ascii="宋体" w:hAnsi="宋体" w:eastAsia="宋体"/>
          <w:szCs w:val="21"/>
        </w:rPr>
      </w:pPr>
      <w:r>
        <w:rPr>
          <w:rFonts w:hint="eastAsia" w:ascii="宋体" w:hAnsi="宋体" w:eastAsia="宋体"/>
          <w:szCs w:val="21"/>
        </w:rPr>
        <w:t>(1)在每一施工作业区施工结束后，承包人应及时拆除各种临时建筑结构和各种临时设施(包括已废弃的沉淀池和临时挡洪设施等)。</w:t>
      </w:r>
    </w:p>
    <w:p w14:paraId="273F190A">
      <w:pPr>
        <w:snapToGrid w:val="0"/>
        <w:spacing w:line="300" w:lineRule="auto"/>
        <w:ind w:firstLine="420" w:firstLineChars="200"/>
        <w:rPr>
          <w:rFonts w:ascii="宋体" w:hAnsi="宋体" w:eastAsia="宋体"/>
          <w:szCs w:val="21"/>
        </w:rPr>
      </w:pPr>
      <w:r>
        <w:rPr>
          <w:rFonts w:hint="eastAsia" w:ascii="宋体" w:hAnsi="宋体" w:eastAsia="宋体"/>
          <w:szCs w:val="21"/>
        </w:rPr>
        <w:t>(2)完工后，承包人应按计划将所有材料和设备撤离现场，工地范围内废弃的材料、设备及其它生产垃圾应按环境规划要求和(或)监理人指示的方式处理。</w:t>
      </w:r>
    </w:p>
    <w:p w14:paraId="0C09B432">
      <w:pPr>
        <w:snapToGrid w:val="0"/>
        <w:spacing w:line="300" w:lineRule="auto"/>
        <w:ind w:firstLine="420" w:firstLineChars="200"/>
        <w:rPr>
          <w:rFonts w:ascii="宋体" w:hAnsi="宋体" w:eastAsia="宋体"/>
          <w:szCs w:val="21"/>
        </w:rPr>
      </w:pPr>
      <w:r>
        <w:rPr>
          <w:rFonts w:hint="eastAsia" w:ascii="宋体" w:hAnsi="宋体" w:eastAsia="宋体"/>
          <w:szCs w:val="21"/>
        </w:rPr>
        <w:t>(3)对防治范围内的排水沟道、挡护措施等永久性水土保持设施，应在撤离前进行疏通和修整。按合同要求拆除和撤离的其它设施和结构应及时清理出场。</w:t>
      </w:r>
    </w:p>
    <w:p w14:paraId="31C29FD5">
      <w:pPr>
        <w:snapToGrid w:val="0"/>
        <w:spacing w:line="300" w:lineRule="auto"/>
        <w:ind w:firstLine="420" w:firstLineChars="200"/>
        <w:rPr>
          <w:rFonts w:ascii="宋体" w:hAnsi="宋体" w:eastAsia="宋体"/>
          <w:szCs w:val="21"/>
        </w:rPr>
      </w:pPr>
      <w:r>
        <w:rPr>
          <w:rFonts w:hint="eastAsia" w:ascii="宋体" w:hAnsi="宋体" w:eastAsia="宋体"/>
          <w:szCs w:val="21"/>
        </w:rPr>
        <w:t>(4)承包人应有责任保证其种植的林草按SL 277—2002第7.2.2条第2款规定的“林草恢复期”内成活。</w:t>
      </w:r>
    </w:p>
    <w:p w14:paraId="26980C08">
      <w:pPr>
        <w:snapToGrid w:val="0"/>
        <w:spacing w:line="300" w:lineRule="auto"/>
        <w:ind w:firstLine="420" w:firstLineChars="200"/>
        <w:rPr>
          <w:rFonts w:ascii="宋体" w:hAnsi="宋体" w:eastAsia="宋体"/>
          <w:szCs w:val="21"/>
        </w:rPr>
      </w:pPr>
      <w:r>
        <w:rPr>
          <w:rFonts w:hint="eastAsia" w:ascii="宋体" w:hAnsi="宋体" w:eastAsia="宋体"/>
          <w:szCs w:val="21"/>
        </w:rPr>
        <w:t>(5)占用耕地的料场，应在开采前将剥离的耕植土妥善堆存保管，完工后将其返还摊铺，还田复耕。</w:t>
      </w:r>
    </w:p>
    <w:p w14:paraId="481EE076">
      <w:pPr>
        <w:adjustRightInd w:val="0"/>
        <w:snapToGrid w:val="0"/>
        <w:spacing w:before="134" w:beforeLines="25" w:line="300" w:lineRule="auto"/>
        <w:outlineLvl w:val="1"/>
        <w:rPr>
          <w:rFonts w:ascii="宋体" w:hAnsi="宋体" w:eastAsia="宋体"/>
          <w:b/>
          <w:bCs/>
          <w:sz w:val="24"/>
          <w:szCs w:val="24"/>
        </w:rPr>
      </w:pPr>
      <w:bookmarkStart w:id="1305" w:name="_Toc304280801"/>
      <w:bookmarkStart w:id="1306" w:name="_Toc304279809"/>
      <w:bookmarkStart w:id="1307" w:name="_Toc332293414"/>
      <w:bookmarkStart w:id="1308" w:name="_Toc307485316"/>
      <w:bookmarkStart w:id="1309" w:name="_Toc307417549"/>
      <w:bookmarkStart w:id="1310" w:name="_Toc285029133"/>
      <w:bookmarkStart w:id="1311" w:name="_Toc347386237"/>
      <w:bookmarkStart w:id="1312" w:name="_Toc300084305"/>
      <w:bookmarkStart w:id="1313" w:name="_Toc267484981"/>
      <w:bookmarkStart w:id="1314" w:name="_Toc381820020"/>
      <w:bookmarkStart w:id="1315" w:name="_Toc370238529"/>
      <w:bookmarkStart w:id="1316" w:name="_Toc332353207"/>
      <w:bookmarkStart w:id="1317" w:name="_Toc304280550"/>
      <w:bookmarkStart w:id="1318" w:name="_Toc347385733"/>
      <w:bookmarkStart w:id="1319" w:name="_Toc300071463"/>
      <w:bookmarkStart w:id="1320" w:name="_Toc381799009"/>
      <w:bookmarkStart w:id="1321" w:name="_Toc325040183"/>
      <w:bookmarkStart w:id="1322" w:name="_Toc325020377"/>
      <w:bookmarkStart w:id="1323" w:name="_Toc347385988"/>
      <w:bookmarkStart w:id="1324" w:name="_Toc300071308"/>
      <w:bookmarkStart w:id="1325" w:name="_Toc304280305"/>
      <w:bookmarkStart w:id="1326" w:name="_Toc300084624"/>
      <w:bookmarkStart w:id="1327" w:name="_Toc304280054"/>
      <w:bookmarkStart w:id="1328" w:name="_Toc325020909"/>
      <w:bookmarkStart w:id="1329" w:name="_Toc332616546"/>
      <w:bookmarkStart w:id="1330" w:name="_Toc307419438"/>
      <w:bookmarkStart w:id="1331" w:name="_Toc307416252"/>
      <w:r>
        <w:rPr>
          <w:rFonts w:hint="eastAsia" w:ascii="宋体" w:hAnsi="宋体" w:eastAsia="宋体"/>
          <w:b/>
          <w:bCs/>
          <w:sz w:val="24"/>
          <w:szCs w:val="24"/>
        </w:rPr>
        <w:t>4.6环境保护工程的验收</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26E55396">
      <w:pPr>
        <w:snapToGrid w:val="0"/>
        <w:spacing w:before="134" w:beforeLines="25" w:line="300" w:lineRule="auto"/>
        <w:ind w:firstLine="210" w:firstLineChars="100"/>
        <w:outlineLvl w:val="2"/>
        <w:rPr>
          <w:rFonts w:ascii="宋体" w:hAnsi="宋体" w:eastAsia="宋体"/>
          <w:b/>
          <w:bCs/>
          <w:szCs w:val="21"/>
        </w:rPr>
      </w:pPr>
      <w:bookmarkStart w:id="1332" w:name="_Toc300071464"/>
      <w:bookmarkStart w:id="1333" w:name="_Toc381820021"/>
      <w:bookmarkStart w:id="1334" w:name="_Toc300084306"/>
      <w:bookmarkStart w:id="1335" w:name="_Toc381799010"/>
      <w:r>
        <w:rPr>
          <w:rFonts w:hint="eastAsia" w:ascii="宋体" w:hAnsi="宋体" w:eastAsia="宋体"/>
          <w:b/>
          <w:bCs/>
          <w:szCs w:val="21"/>
        </w:rPr>
        <w:t>4.6.1施工期环境保护临时设施的检查和验收</w:t>
      </w:r>
      <w:bookmarkEnd w:id="1332"/>
      <w:bookmarkEnd w:id="1333"/>
      <w:bookmarkEnd w:id="1334"/>
      <w:bookmarkEnd w:id="1335"/>
    </w:p>
    <w:p w14:paraId="517DF8DA">
      <w:pPr>
        <w:snapToGrid w:val="0"/>
        <w:spacing w:line="300" w:lineRule="auto"/>
        <w:ind w:firstLine="420" w:firstLineChars="200"/>
        <w:rPr>
          <w:rFonts w:ascii="宋体" w:hAnsi="宋体" w:eastAsia="宋体"/>
          <w:szCs w:val="21"/>
        </w:rPr>
      </w:pPr>
      <w:r>
        <w:rPr>
          <w:rFonts w:hint="eastAsia" w:ascii="宋体" w:hAnsi="宋体" w:eastAsia="宋体"/>
          <w:szCs w:val="21"/>
        </w:rPr>
        <w:t>各项施工期环境保护临时设施投入使用前，应由监理人会同环保部门代表与承包人共同进行环境保护临时设施的质量检查和验收。承包人应为上述检查和验收提供以下资料：</w:t>
      </w:r>
    </w:p>
    <w:p w14:paraId="27B2CD9A">
      <w:pPr>
        <w:snapToGrid w:val="0"/>
        <w:spacing w:line="300" w:lineRule="auto"/>
        <w:ind w:firstLine="420" w:firstLineChars="200"/>
        <w:rPr>
          <w:rFonts w:ascii="宋体" w:hAnsi="宋体" w:eastAsia="宋体"/>
          <w:szCs w:val="21"/>
        </w:rPr>
      </w:pPr>
      <w:r>
        <w:rPr>
          <w:rFonts w:hint="eastAsia" w:ascii="宋体" w:hAnsi="宋体" w:eastAsia="宋体"/>
          <w:szCs w:val="21"/>
        </w:rPr>
        <w:t>(1)监理人批准的“环境保护及水土保持工程”的施工措施计划；</w:t>
      </w:r>
    </w:p>
    <w:p w14:paraId="105D2F59">
      <w:pPr>
        <w:snapToGrid w:val="0"/>
        <w:spacing w:line="300" w:lineRule="auto"/>
        <w:ind w:firstLine="420" w:firstLineChars="200"/>
        <w:rPr>
          <w:rFonts w:ascii="宋体" w:hAnsi="宋体" w:eastAsia="宋体"/>
          <w:szCs w:val="21"/>
        </w:rPr>
      </w:pPr>
      <w:r>
        <w:rPr>
          <w:rFonts w:hint="eastAsia" w:ascii="宋体" w:hAnsi="宋体" w:eastAsia="宋体"/>
          <w:szCs w:val="21"/>
        </w:rPr>
        <w:t>(2)各项环境保护临时设施布置图；</w:t>
      </w:r>
    </w:p>
    <w:p w14:paraId="270362E2">
      <w:pPr>
        <w:snapToGrid w:val="0"/>
        <w:spacing w:line="300" w:lineRule="auto"/>
        <w:ind w:firstLine="420" w:firstLineChars="200"/>
        <w:rPr>
          <w:rFonts w:ascii="宋体" w:hAnsi="宋体" w:eastAsia="宋体"/>
          <w:szCs w:val="21"/>
        </w:rPr>
      </w:pPr>
      <w:r>
        <w:rPr>
          <w:rFonts w:hint="eastAsia" w:ascii="宋体" w:hAnsi="宋体" w:eastAsia="宋体"/>
          <w:szCs w:val="21"/>
        </w:rPr>
        <w:t>(3)施工质量检查记录；</w:t>
      </w:r>
    </w:p>
    <w:p w14:paraId="5C688AE5">
      <w:pPr>
        <w:snapToGrid w:val="0"/>
        <w:spacing w:line="300" w:lineRule="auto"/>
        <w:ind w:firstLine="420" w:firstLineChars="200"/>
        <w:rPr>
          <w:rFonts w:ascii="宋体" w:hAnsi="宋体" w:eastAsia="宋体"/>
          <w:szCs w:val="21"/>
        </w:rPr>
      </w:pPr>
      <w:r>
        <w:rPr>
          <w:rFonts w:hint="eastAsia" w:ascii="宋体" w:hAnsi="宋体" w:eastAsia="宋体"/>
          <w:szCs w:val="21"/>
        </w:rPr>
        <w:t>(4)生活和生产供水水质、污水和废水处理水质，以及固体废弃物处理效果等的检验和实测资料。</w:t>
      </w:r>
    </w:p>
    <w:p w14:paraId="368091B2">
      <w:pPr>
        <w:snapToGrid w:val="0"/>
        <w:spacing w:before="134" w:beforeLines="25" w:line="300" w:lineRule="auto"/>
        <w:ind w:firstLine="210" w:firstLineChars="100"/>
        <w:outlineLvl w:val="2"/>
        <w:rPr>
          <w:rFonts w:ascii="宋体" w:hAnsi="宋体" w:eastAsia="宋体"/>
          <w:b/>
          <w:bCs/>
          <w:szCs w:val="21"/>
        </w:rPr>
      </w:pPr>
      <w:bookmarkStart w:id="1336" w:name="_Toc300071465"/>
      <w:bookmarkStart w:id="1337" w:name="_Toc381820022"/>
      <w:bookmarkStart w:id="1338" w:name="_Toc300084307"/>
      <w:bookmarkStart w:id="1339" w:name="_Toc381799011"/>
      <w:r>
        <w:rPr>
          <w:rFonts w:hint="eastAsia" w:ascii="宋体" w:hAnsi="宋体" w:eastAsia="宋体"/>
          <w:b/>
          <w:bCs/>
          <w:szCs w:val="21"/>
        </w:rPr>
        <w:t>4.6.2环境保护和水土保持工程的质量检查和验收</w:t>
      </w:r>
      <w:bookmarkEnd w:id="1336"/>
      <w:bookmarkEnd w:id="1337"/>
      <w:bookmarkEnd w:id="1338"/>
      <w:bookmarkEnd w:id="1339"/>
    </w:p>
    <w:p w14:paraId="41B881FF">
      <w:pPr>
        <w:snapToGrid w:val="0"/>
        <w:spacing w:line="300" w:lineRule="auto"/>
        <w:ind w:firstLine="420" w:firstLineChars="200"/>
        <w:rPr>
          <w:rFonts w:ascii="宋体" w:hAnsi="宋体" w:eastAsia="宋体"/>
          <w:szCs w:val="21"/>
        </w:rPr>
      </w:pPr>
      <w:r>
        <w:rPr>
          <w:rFonts w:hint="eastAsia" w:ascii="宋体" w:hAnsi="宋体" w:eastAsia="宋体"/>
          <w:szCs w:val="21"/>
        </w:rPr>
        <w:t>本章第4.2～4.5节所涉及的本工程环境保护和水土保持设施，包括为环境清理修建的永久性设施，均应由监理人会同环境保护部门代表与承包人共同按国家的环境保护法规和本合同技术条款的有关规定进行质量检查和验收。</w:t>
      </w:r>
    </w:p>
    <w:p w14:paraId="3027ED2A">
      <w:pPr>
        <w:snapToGrid w:val="0"/>
        <w:spacing w:line="300" w:lineRule="auto"/>
        <w:ind w:firstLine="420" w:firstLineChars="200"/>
        <w:rPr>
          <w:rFonts w:ascii="宋体" w:hAnsi="宋体" w:eastAsia="宋体"/>
          <w:szCs w:val="21"/>
        </w:rPr>
      </w:pPr>
      <w:r>
        <w:rPr>
          <w:rFonts w:hint="eastAsia" w:ascii="宋体" w:hAnsi="宋体" w:eastAsia="宋体"/>
          <w:szCs w:val="21"/>
        </w:rPr>
        <w:t>承包人应为上述永久性环境保护设施的检查和验收提供以下资料</w:t>
      </w:r>
    </w:p>
    <w:p w14:paraId="0685D788">
      <w:pPr>
        <w:snapToGrid w:val="0"/>
        <w:spacing w:line="300" w:lineRule="auto"/>
        <w:ind w:firstLine="420" w:firstLineChars="200"/>
        <w:rPr>
          <w:rFonts w:ascii="宋体" w:hAnsi="宋体" w:eastAsia="宋体"/>
          <w:szCs w:val="21"/>
        </w:rPr>
      </w:pPr>
      <w:r>
        <w:rPr>
          <w:rFonts w:hint="eastAsia" w:ascii="宋体" w:hAnsi="宋体" w:eastAsia="宋体"/>
          <w:szCs w:val="21"/>
        </w:rPr>
        <w:t>(1)永久性环境保护工程和设施的各项工程布置图；</w:t>
      </w:r>
    </w:p>
    <w:p w14:paraId="1AB33557">
      <w:pPr>
        <w:snapToGrid w:val="0"/>
        <w:spacing w:line="300" w:lineRule="auto"/>
        <w:ind w:firstLine="420" w:firstLineChars="200"/>
        <w:rPr>
          <w:rFonts w:ascii="宋体" w:hAnsi="宋体" w:eastAsia="宋体"/>
          <w:szCs w:val="21"/>
        </w:rPr>
      </w:pPr>
      <w:r>
        <w:rPr>
          <w:rFonts w:hint="eastAsia" w:ascii="宋体" w:hAnsi="宋体" w:eastAsia="宋体"/>
          <w:szCs w:val="21"/>
        </w:rPr>
        <w:t>(2)永久性环境保护工程和设施的工程质量检查验收记录；</w:t>
      </w:r>
    </w:p>
    <w:p w14:paraId="23A9E078">
      <w:pPr>
        <w:snapToGrid w:val="0"/>
        <w:spacing w:line="300" w:lineRule="auto"/>
        <w:ind w:firstLine="420" w:firstLineChars="200"/>
        <w:rPr>
          <w:rFonts w:ascii="宋体" w:hAnsi="宋体" w:eastAsia="宋体"/>
          <w:szCs w:val="21"/>
        </w:rPr>
      </w:pPr>
      <w:r>
        <w:rPr>
          <w:rFonts w:hint="eastAsia" w:ascii="宋体" w:hAnsi="宋体" w:eastAsia="宋体"/>
          <w:szCs w:val="21"/>
        </w:rPr>
        <w:t>(3)植被种植计划的完成情况和检查验收记录；</w:t>
      </w:r>
    </w:p>
    <w:p w14:paraId="7E57E901">
      <w:pPr>
        <w:snapToGrid w:val="0"/>
        <w:spacing w:line="300" w:lineRule="auto"/>
        <w:ind w:firstLine="420" w:firstLineChars="200"/>
        <w:rPr>
          <w:rFonts w:ascii="宋体" w:hAnsi="宋体" w:eastAsia="宋体"/>
          <w:szCs w:val="21"/>
        </w:rPr>
      </w:pPr>
      <w:r>
        <w:rPr>
          <w:rFonts w:hint="eastAsia" w:ascii="宋体" w:hAnsi="宋体" w:eastAsia="宋体"/>
          <w:szCs w:val="21"/>
        </w:rPr>
        <w:t>(4)“林草恢复期”内，各区植被的维护管理措施。</w:t>
      </w:r>
    </w:p>
    <w:p w14:paraId="7BC21EF3">
      <w:pPr>
        <w:snapToGrid w:val="0"/>
        <w:spacing w:before="134" w:beforeLines="25" w:line="300" w:lineRule="auto"/>
        <w:ind w:firstLine="210" w:firstLineChars="100"/>
        <w:outlineLvl w:val="2"/>
        <w:rPr>
          <w:rFonts w:ascii="宋体" w:hAnsi="宋体" w:eastAsia="宋体"/>
          <w:b/>
          <w:bCs/>
          <w:szCs w:val="21"/>
        </w:rPr>
      </w:pPr>
      <w:bookmarkStart w:id="1340" w:name="_Toc381820023"/>
      <w:bookmarkStart w:id="1341" w:name="_Toc381799012"/>
      <w:bookmarkStart w:id="1342" w:name="_Toc300084308"/>
      <w:bookmarkStart w:id="1343" w:name="_Toc300071466"/>
      <w:r>
        <w:rPr>
          <w:rFonts w:hint="eastAsia" w:ascii="宋体" w:hAnsi="宋体" w:eastAsia="宋体"/>
          <w:b/>
          <w:bCs/>
          <w:szCs w:val="21"/>
        </w:rPr>
        <w:t>4.6.3永久性环境保护工程的完工验收</w:t>
      </w:r>
      <w:bookmarkEnd w:id="1340"/>
      <w:bookmarkEnd w:id="1341"/>
      <w:bookmarkEnd w:id="1342"/>
      <w:bookmarkEnd w:id="1343"/>
    </w:p>
    <w:p w14:paraId="74F55A9F">
      <w:pPr>
        <w:snapToGrid w:val="0"/>
        <w:spacing w:line="300" w:lineRule="auto"/>
        <w:ind w:firstLine="420" w:firstLineChars="200"/>
        <w:rPr>
          <w:rFonts w:ascii="宋体" w:hAnsi="宋体" w:eastAsia="宋体"/>
          <w:szCs w:val="21"/>
        </w:rPr>
      </w:pPr>
      <w:r>
        <w:rPr>
          <w:rFonts w:hint="eastAsia" w:ascii="宋体" w:hAnsi="宋体" w:eastAsia="宋体"/>
          <w:szCs w:val="21"/>
        </w:rPr>
        <w:t>上述条款所列的全部永久性环境保护和水土保持设施项目验收合格后，承包人应按监理人的指示，向发包人提交要求对全部永久性环境保护工程和设施进行完工验收的申请报告。经发包人同意后，由监理人会同承包人和环境保护部门代表共同进行完工验收。承包人应为永久性环境保护工程的完工验收提供以下资料：</w:t>
      </w:r>
    </w:p>
    <w:p w14:paraId="3E52DA9F">
      <w:pPr>
        <w:snapToGrid w:val="0"/>
        <w:spacing w:line="300" w:lineRule="auto"/>
        <w:ind w:firstLine="420" w:firstLineChars="200"/>
        <w:rPr>
          <w:rFonts w:ascii="宋体" w:hAnsi="宋体" w:eastAsia="宋体"/>
          <w:szCs w:val="21"/>
        </w:rPr>
      </w:pPr>
      <w:r>
        <w:rPr>
          <w:rFonts w:hint="eastAsia" w:ascii="宋体" w:hAnsi="宋体" w:eastAsia="宋体"/>
          <w:szCs w:val="21"/>
        </w:rPr>
        <w:t>(1)各项永久性环境保护工程的竣工图及其有关的竣工资料；</w:t>
      </w:r>
    </w:p>
    <w:p w14:paraId="12113BBA">
      <w:pPr>
        <w:snapToGrid w:val="0"/>
        <w:spacing w:line="300" w:lineRule="auto"/>
        <w:ind w:firstLine="420" w:firstLineChars="200"/>
        <w:rPr>
          <w:rFonts w:ascii="宋体" w:hAnsi="宋体" w:eastAsia="宋体"/>
          <w:szCs w:val="21"/>
        </w:rPr>
      </w:pPr>
      <w:r>
        <w:rPr>
          <w:rFonts w:hint="eastAsia" w:ascii="宋体" w:hAnsi="宋体" w:eastAsia="宋体"/>
          <w:szCs w:val="21"/>
        </w:rPr>
        <w:t>(2)各项永久性环境保护工程的质量检查记录和质量鉴定成果；</w:t>
      </w:r>
    </w:p>
    <w:p w14:paraId="182AEBFD">
      <w:pPr>
        <w:snapToGrid w:val="0"/>
        <w:spacing w:line="300" w:lineRule="auto"/>
        <w:ind w:firstLine="420" w:firstLineChars="200"/>
        <w:rPr>
          <w:rFonts w:ascii="宋体" w:hAnsi="宋体" w:eastAsia="宋体"/>
          <w:szCs w:val="21"/>
        </w:rPr>
      </w:pPr>
      <w:r>
        <w:rPr>
          <w:rFonts w:hint="eastAsia" w:ascii="宋体" w:hAnsi="宋体" w:eastAsia="宋体"/>
          <w:szCs w:val="21"/>
        </w:rPr>
        <w:t>(3)监理人要求提交的其它完工验收资料。</w:t>
      </w:r>
    </w:p>
    <w:p w14:paraId="6EAC4A57">
      <w:pPr>
        <w:adjustRightInd w:val="0"/>
        <w:snapToGrid w:val="0"/>
        <w:spacing w:before="134" w:beforeLines="25" w:line="300" w:lineRule="auto"/>
        <w:outlineLvl w:val="1"/>
        <w:rPr>
          <w:rFonts w:ascii="宋体" w:hAnsi="宋体" w:eastAsia="宋体"/>
          <w:b/>
          <w:bCs/>
          <w:sz w:val="24"/>
          <w:szCs w:val="24"/>
        </w:rPr>
      </w:pPr>
      <w:bookmarkStart w:id="1344" w:name="_Toc307416253"/>
      <w:bookmarkStart w:id="1345" w:name="_Toc381820024"/>
      <w:bookmarkStart w:id="1346" w:name="_Toc267484982"/>
      <w:bookmarkStart w:id="1347" w:name="_Toc347385989"/>
      <w:bookmarkStart w:id="1348" w:name="_Toc300084309"/>
      <w:bookmarkStart w:id="1349" w:name="_Toc304280802"/>
      <w:bookmarkStart w:id="1350" w:name="_Toc285029134"/>
      <w:bookmarkStart w:id="1351" w:name="_Toc300071467"/>
      <w:bookmarkStart w:id="1352" w:name="_Toc307417550"/>
      <w:bookmarkStart w:id="1353" w:name="_Toc370238530"/>
      <w:bookmarkStart w:id="1354" w:name="_Toc300071309"/>
      <w:bookmarkStart w:id="1355" w:name="_Toc325020910"/>
      <w:bookmarkStart w:id="1356" w:name="_Toc304279810"/>
      <w:bookmarkStart w:id="1357" w:name="_Toc307419439"/>
      <w:bookmarkStart w:id="1358" w:name="_Toc332616547"/>
      <w:bookmarkStart w:id="1359" w:name="_Toc325020378"/>
      <w:bookmarkStart w:id="1360" w:name="_Toc325040184"/>
      <w:bookmarkStart w:id="1361" w:name="_Toc304280306"/>
      <w:bookmarkStart w:id="1362" w:name="_Toc300084625"/>
      <w:bookmarkStart w:id="1363" w:name="_Toc304280055"/>
      <w:bookmarkStart w:id="1364" w:name="_Toc332353208"/>
      <w:bookmarkStart w:id="1365" w:name="_Toc347385734"/>
      <w:bookmarkStart w:id="1366" w:name="_Toc381799013"/>
      <w:bookmarkStart w:id="1367" w:name="_Toc347386238"/>
      <w:bookmarkStart w:id="1368" w:name="_Toc332293415"/>
      <w:bookmarkStart w:id="1369" w:name="_Toc304280551"/>
      <w:bookmarkStart w:id="1370" w:name="_Toc307485317"/>
      <w:r>
        <w:rPr>
          <w:rFonts w:hint="eastAsia" w:ascii="宋体" w:hAnsi="宋体" w:eastAsia="宋体"/>
          <w:b/>
          <w:bCs/>
          <w:sz w:val="24"/>
          <w:szCs w:val="24"/>
        </w:rPr>
        <w:t>4.7计量和支付</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14:paraId="591FFCF8">
      <w:pPr>
        <w:snapToGrid w:val="0"/>
        <w:spacing w:line="300" w:lineRule="auto"/>
        <w:ind w:firstLine="420" w:firstLineChars="200"/>
        <w:rPr>
          <w:rFonts w:ascii="宋体" w:hAnsi="宋体" w:eastAsia="宋体"/>
          <w:szCs w:val="21"/>
        </w:rPr>
      </w:pPr>
      <w:r>
        <w:rPr>
          <w:rFonts w:hint="eastAsia" w:ascii="宋体" w:hAnsi="宋体" w:eastAsia="宋体"/>
          <w:szCs w:val="21"/>
        </w:rPr>
        <w:t>工程项目的水土保持和环境保护所需的费用，按《工程量清单》计量支付。</w:t>
      </w:r>
    </w:p>
    <w:p w14:paraId="0206D7BD">
      <w:pPr>
        <w:snapToGrid w:val="0"/>
        <w:spacing w:line="300" w:lineRule="auto"/>
        <w:ind w:firstLine="420" w:firstLineChars="200"/>
        <w:rPr>
          <w:rFonts w:ascii="宋体" w:hAnsi="宋体" w:eastAsia="宋体"/>
          <w:szCs w:val="21"/>
        </w:rPr>
        <w:sectPr>
          <w:headerReference r:id="rId3" w:type="first"/>
          <w:footerReference r:id="rId5" w:type="first"/>
          <w:footerReference r:id="rId4" w:type="default"/>
          <w:pgSz w:w="11907" w:h="16840"/>
          <w:pgMar w:top="1418" w:right="1418" w:bottom="1418" w:left="1418" w:header="851" w:footer="851" w:gutter="0"/>
          <w:cols w:space="720" w:num="1"/>
          <w:docGrid w:type="linesAndChars" w:linePitch="537" w:charSpace="0"/>
        </w:sectPr>
      </w:pPr>
    </w:p>
    <w:p w14:paraId="1F401F9A">
      <w:pPr>
        <w:pStyle w:val="3"/>
        <w:keepNext w:val="0"/>
        <w:keepLines w:val="0"/>
        <w:spacing w:before="0" w:after="0" w:line="480" w:lineRule="auto"/>
        <w:jc w:val="center"/>
        <w:rPr>
          <w:rFonts w:ascii="宋体" w:hAnsi="宋体" w:eastAsia="宋体" w:cs="宋体"/>
          <w:sz w:val="28"/>
          <w:szCs w:val="28"/>
        </w:rPr>
      </w:pPr>
      <w:bookmarkStart w:id="1371" w:name="_Toc31018"/>
      <w:r>
        <w:rPr>
          <w:rFonts w:hint="eastAsia" w:ascii="宋体" w:hAnsi="宋体" w:eastAsia="宋体" w:cs="宋体"/>
          <w:sz w:val="28"/>
          <w:szCs w:val="28"/>
        </w:rPr>
        <w:t>第5节 土方明挖</w:t>
      </w:r>
      <w:bookmarkEnd w:id="1371"/>
    </w:p>
    <w:p w14:paraId="7EF33590">
      <w:pPr>
        <w:adjustRightInd w:val="0"/>
        <w:snapToGrid w:val="0"/>
        <w:spacing w:before="134" w:beforeLines="25" w:line="300" w:lineRule="auto"/>
        <w:outlineLvl w:val="1"/>
        <w:rPr>
          <w:rFonts w:ascii="宋体" w:hAnsi="宋体" w:eastAsia="宋体"/>
          <w:b/>
          <w:bCs/>
          <w:sz w:val="24"/>
          <w:szCs w:val="24"/>
        </w:rPr>
      </w:pPr>
      <w:r>
        <w:rPr>
          <w:rFonts w:hint="eastAsia" w:ascii="宋体" w:hAnsi="宋体" w:eastAsia="宋体"/>
          <w:b/>
          <w:bCs/>
          <w:sz w:val="24"/>
          <w:szCs w:val="24"/>
        </w:rPr>
        <w:t>5.1一般规定</w:t>
      </w:r>
    </w:p>
    <w:p w14:paraId="3597BB9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5.1.1应用范围</w:t>
      </w:r>
    </w:p>
    <w:p w14:paraId="285FB76F">
      <w:pPr>
        <w:snapToGrid w:val="0"/>
        <w:spacing w:line="300" w:lineRule="auto"/>
        <w:ind w:firstLine="420" w:firstLineChars="200"/>
        <w:rPr>
          <w:rFonts w:ascii="宋体" w:hAnsi="宋体" w:eastAsia="宋体"/>
          <w:szCs w:val="21"/>
        </w:rPr>
      </w:pPr>
      <w:r>
        <w:rPr>
          <w:rFonts w:hint="eastAsia" w:ascii="宋体" w:hAnsi="宋体" w:eastAsia="宋体"/>
          <w:szCs w:val="21"/>
        </w:rPr>
        <w:t>(1)本章规定适用于本合同施工图纸所示的永久和临时工程建筑物的基础、边坡、土料场和砂石料场、石料场及其覆盖层等的明挖工程。</w:t>
      </w:r>
    </w:p>
    <w:p w14:paraId="49B2862E">
      <w:pPr>
        <w:snapToGrid w:val="0"/>
        <w:spacing w:line="300" w:lineRule="auto"/>
        <w:ind w:firstLine="420" w:firstLineChars="200"/>
        <w:rPr>
          <w:rFonts w:ascii="宋体" w:hAnsi="宋体" w:eastAsia="宋体"/>
          <w:szCs w:val="21"/>
        </w:rPr>
      </w:pPr>
      <w:r>
        <w:rPr>
          <w:rFonts w:hint="eastAsia" w:ascii="宋体" w:hAnsi="宋体" w:eastAsia="宋体"/>
          <w:szCs w:val="21"/>
        </w:rPr>
        <w:t>(2)本章不包括膨胀性土、多年冻土等特殊地质条件的土方工程。</w:t>
      </w:r>
    </w:p>
    <w:p w14:paraId="6004512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5.1.2承包人责任</w:t>
      </w:r>
    </w:p>
    <w:p w14:paraId="730C8EA3">
      <w:pPr>
        <w:snapToGrid w:val="0"/>
        <w:spacing w:line="300" w:lineRule="auto"/>
        <w:ind w:firstLine="420" w:firstLineChars="200"/>
        <w:rPr>
          <w:rFonts w:ascii="宋体" w:hAnsi="宋体" w:eastAsia="宋体"/>
          <w:szCs w:val="21"/>
        </w:rPr>
      </w:pPr>
      <w:r>
        <w:rPr>
          <w:rFonts w:hint="eastAsia" w:ascii="宋体" w:hAnsi="宋体" w:eastAsia="宋体"/>
          <w:szCs w:val="21"/>
        </w:rPr>
        <w:t>(1)承包人应根据本合同施工图纸和监理人的指示，按建筑物土方明挖工程的开挖线进行开挖施工。</w:t>
      </w:r>
    </w:p>
    <w:p w14:paraId="24E38D45">
      <w:pPr>
        <w:snapToGrid w:val="0"/>
        <w:spacing w:line="300" w:lineRule="auto"/>
        <w:ind w:firstLine="420" w:firstLineChars="200"/>
        <w:rPr>
          <w:rFonts w:ascii="宋体" w:hAnsi="宋体" w:eastAsia="宋体"/>
          <w:szCs w:val="21"/>
        </w:rPr>
      </w:pPr>
      <w:r>
        <w:rPr>
          <w:rFonts w:hint="eastAsia" w:ascii="宋体" w:hAnsi="宋体" w:eastAsia="宋体"/>
          <w:szCs w:val="21"/>
        </w:rPr>
        <w:t>(2)承包人应对开挖过程中可能引起的滑坡和崩塌体，采取有效的预防性保护措施；在陡坡下施工，应事先做好安全清理和支护。</w:t>
      </w:r>
    </w:p>
    <w:p w14:paraId="79B50842">
      <w:pPr>
        <w:snapToGrid w:val="0"/>
        <w:spacing w:line="300" w:lineRule="auto"/>
        <w:ind w:firstLine="420" w:firstLineChars="200"/>
        <w:rPr>
          <w:rFonts w:ascii="宋体" w:hAnsi="宋体" w:eastAsia="宋体"/>
          <w:szCs w:val="21"/>
        </w:rPr>
      </w:pPr>
      <w:r>
        <w:rPr>
          <w:rFonts w:hint="eastAsia" w:ascii="宋体" w:hAnsi="宋体" w:eastAsia="宋体"/>
          <w:szCs w:val="21"/>
        </w:rPr>
        <w:t>(3)在已有建筑物附近进行开挖时，承包人必须采取可靠的施工措施，保证其原有建筑物的稳定和安全，并尽可能做到不影响其正常使用。</w:t>
      </w:r>
    </w:p>
    <w:p w14:paraId="76535206">
      <w:pPr>
        <w:snapToGrid w:val="0"/>
        <w:spacing w:line="300" w:lineRule="auto"/>
        <w:ind w:firstLine="420" w:firstLineChars="200"/>
        <w:rPr>
          <w:rFonts w:ascii="宋体" w:hAnsi="宋体" w:eastAsia="宋体"/>
          <w:szCs w:val="21"/>
        </w:rPr>
      </w:pPr>
      <w:r>
        <w:rPr>
          <w:rFonts w:hint="eastAsia" w:ascii="宋体" w:hAnsi="宋体" w:eastAsia="宋体"/>
          <w:szCs w:val="21"/>
        </w:rPr>
        <w:t>(4)承包人应在开挖的危险作业地带设置安全防护设施和明显的安全警示标志。</w:t>
      </w:r>
    </w:p>
    <w:p w14:paraId="5832D06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5.1.3主要提交件</w:t>
      </w:r>
    </w:p>
    <w:p w14:paraId="7D700B43">
      <w:pPr>
        <w:snapToGrid w:val="0"/>
        <w:spacing w:line="300" w:lineRule="auto"/>
        <w:ind w:firstLine="420" w:firstLineChars="200"/>
        <w:rPr>
          <w:rFonts w:ascii="宋体" w:hAnsi="宋体" w:eastAsia="宋体"/>
          <w:szCs w:val="21"/>
        </w:rPr>
      </w:pPr>
      <w:r>
        <w:rPr>
          <w:rFonts w:hint="eastAsia" w:ascii="宋体" w:hAnsi="宋体" w:eastAsia="宋体"/>
          <w:szCs w:val="21"/>
        </w:rPr>
        <w:t>(1)开挖放样资料</w:t>
      </w:r>
    </w:p>
    <w:p w14:paraId="19F32C89">
      <w:pPr>
        <w:snapToGrid w:val="0"/>
        <w:spacing w:line="300" w:lineRule="auto"/>
        <w:ind w:firstLine="420" w:firstLineChars="200"/>
        <w:rPr>
          <w:rFonts w:ascii="宋体" w:hAnsi="宋体" w:eastAsia="宋体"/>
          <w:szCs w:val="21"/>
        </w:rPr>
      </w:pPr>
      <w:r>
        <w:rPr>
          <w:rFonts w:hint="eastAsia" w:ascii="宋体" w:hAnsi="宋体" w:eastAsia="宋体"/>
          <w:szCs w:val="21"/>
        </w:rPr>
        <w:t>每项单位工程开工前28天，承包人应将开挖前实测地形和开挖放样剖面图提交监理人批准，批准后方可进行开挖。</w:t>
      </w:r>
    </w:p>
    <w:p w14:paraId="17BD8420">
      <w:pPr>
        <w:snapToGrid w:val="0"/>
        <w:spacing w:line="300" w:lineRule="auto"/>
        <w:ind w:firstLine="420" w:firstLineChars="200"/>
        <w:rPr>
          <w:rFonts w:ascii="宋体" w:hAnsi="宋体" w:eastAsia="宋体"/>
          <w:szCs w:val="21"/>
        </w:rPr>
      </w:pPr>
      <w:r>
        <w:rPr>
          <w:rFonts w:hint="eastAsia" w:ascii="宋体" w:hAnsi="宋体" w:eastAsia="宋体"/>
          <w:szCs w:val="21"/>
        </w:rPr>
        <w:t>(2)施工措施计划</w:t>
      </w:r>
    </w:p>
    <w:p w14:paraId="309E46F5">
      <w:pPr>
        <w:snapToGrid w:val="0"/>
        <w:spacing w:line="300" w:lineRule="auto"/>
        <w:ind w:firstLine="420" w:firstLineChars="200"/>
        <w:rPr>
          <w:rFonts w:ascii="宋体" w:hAnsi="宋体" w:eastAsia="宋体"/>
          <w:szCs w:val="21"/>
        </w:rPr>
      </w:pPr>
      <w:r>
        <w:rPr>
          <w:rFonts w:hint="eastAsia" w:ascii="宋体" w:hAnsi="宋体" w:eastAsia="宋体"/>
          <w:szCs w:val="21"/>
        </w:rPr>
        <w:t>承包人应在本工程或每项单位工程开工前7天，按施工图纸和监理人指示，编制土方明挖工程的施工措施计划，提交监理人批准，其内容包括：</w:t>
      </w:r>
    </w:p>
    <w:p w14:paraId="20DFE2AC">
      <w:pPr>
        <w:snapToGrid w:val="0"/>
        <w:spacing w:line="300" w:lineRule="auto"/>
        <w:ind w:firstLine="420" w:firstLineChars="200"/>
        <w:rPr>
          <w:rFonts w:ascii="宋体" w:hAnsi="宋体" w:eastAsia="宋体"/>
          <w:szCs w:val="21"/>
        </w:rPr>
      </w:pPr>
      <w:r>
        <w:rPr>
          <w:rFonts w:hint="eastAsia" w:ascii="宋体" w:hAnsi="宋体" w:eastAsia="宋体"/>
          <w:szCs w:val="21"/>
        </w:rPr>
        <w:t>1)开挖施工平面布置图(含施工交通线路布置图)；</w:t>
      </w:r>
    </w:p>
    <w:p w14:paraId="78035934">
      <w:pPr>
        <w:snapToGrid w:val="0"/>
        <w:spacing w:line="300" w:lineRule="auto"/>
        <w:ind w:firstLine="420" w:firstLineChars="200"/>
        <w:rPr>
          <w:rFonts w:ascii="宋体" w:hAnsi="宋体" w:eastAsia="宋体"/>
          <w:szCs w:val="21"/>
        </w:rPr>
      </w:pPr>
      <w:r>
        <w:rPr>
          <w:rFonts w:hint="eastAsia" w:ascii="宋体" w:hAnsi="宋体" w:eastAsia="宋体"/>
          <w:szCs w:val="21"/>
        </w:rPr>
        <w:t>2)开挖程序与开挖方法；</w:t>
      </w:r>
    </w:p>
    <w:p w14:paraId="6C2F110B">
      <w:pPr>
        <w:snapToGrid w:val="0"/>
        <w:spacing w:line="300" w:lineRule="auto"/>
        <w:ind w:firstLine="420" w:firstLineChars="200"/>
        <w:rPr>
          <w:rFonts w:ascii="宋体" w:hAnsi="宋体" w:eastAsia="宋体"/>
          <w:szCs w:val="21"/>
        </w:rPr>
      </w:pPr>
      <w:r>
        <w:rPr>
          <w:rFonts w:hint="eastAsia" w:ascii="宋体" w:hAnsi="宋体" w:eastAsia="宋体"/>
          <w:szCs w:val="21"/>
        </w:rPr>
        <w:t>3)施工设备的配置和劳动力安排；</w:t>
      </w:r>
    </w:p>
    <w:p w14:paraId="63154F7E">
      <w:pPr>
        <w:snapToGrid w:val="0"/>
        <w:spacing w:line="300" w:lineRule="auto"/>
        <w:ind w:firstLine="420" w:firstLineChars="200"/>
        <w:rPr>
          <w:rFonts w:ascii="宋体" w:hAnsi="宋体" w:eastAsia="宋体"/>
          <w:szCs w:val="21"/>
        </w:rPr>
      </w:pPr>
      <w:r>
        <w:rPr>
          <w:rFonts w:hint="eastAsia" w:ascii="宋体" w:hAnsi="宋体" w:eastAsia="宋体"/>
          <w:szCs w:val="21"/>
        </w:rPr>
        <w:t>4)开挖边坡的排水和边坡保护措施；</w:t>
      </w:r>
    </w:p>
    <w:p w14:paraId="2C8365DC">
      <w:pPr>
        <w:snapToGrid w:val="0"/>
        <w:spacing w:line="300" w:lineRule="auto"/>
        <w:ind w:firstLine="420" w:firstLineChars="200"/>
        <w:rPr>
          <w:rFonts w:ascii="宋体" w:hAnsi="宋体" w:eastAsia="宋体"/>
          <w:szCs w:val="21"/>
        </w:rPr>
      </w:pPr>
      <w:r>
        <w:rPr>
          <w:rFonts w:hint="eastAsia" w:ascii="宋体" w:hAnsi="宋体" w:eastAsia="宋体"/>
          <w:szCs w:val="21"/>
        </w:rPr>
        <w:t>5)土料利用和弃渣措施；</w:t>
      </w:r>
    </w:p>
    <w:p w14:paraId="673F467A">
      <w:pPr>
        <w:snapToGrid w:val="0"/>
        <w:spacing w:line="300" w:lineRule="auto"/>
        <w:ind w:firstLine="420" w:firstLineChars="200"/>
        <w:rPr>
          <w:rFonts w:ascii="宋体" w:hAnsi="宋体" w:eastAsia="宋体"/>
          <w:szCs w:val="21"/>
        </w:rPr>
      </w:pPr>
      <w:r>
        <w:rPr>
          <w:rFonts w:hint="eastAsia" w:ascii="宋体" w:hAnsi="宋体" w:eastAsia="宋体"/>
          <w:szCs w:val="21"/>
        </w:rPr>
        <w:t>6)质量与安全保证措施；</w:t>
      </w:r>
    </w:p>
    <w:p w14:paraId="5C0950E0">
      <w:pPr>
        <w:snapToGrid w:val="0"/>
        <w:spacing w:line="300" w:lineRule="auto"/>
        <w:ind w:firstLine="420" w:firstLineChars="200"/>
        <w:rPr>
          <w:rFonts w:ascii="宋体" w:hAnsi="宋体" w:eastAsia="宋体"/>
          <w:szCs w:val="21"/>
        </w:rPr>
      </w:pPr>
      <w:r>
        <w:rPr>
          <w:rFonts w:hint="eastAsia" w:ascii="宋体" w:hAnsi="宋体" w:eastAsia="宋体"/>
          <w:szCs w:val="21"/>
        </w:rPr>
        <w:t>7)主要开挖工程施工进度计划等。</w:t>
      </w:r>
    </w:p>
    <w:p w14:paraId="5822BD9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5.1.4引用标准</w:t>
      </w:r>
    </w:p>
    <w:p w14:paraId="12AFC997">
      <w:pPr>
        <w:snapToGrid w:val="0"/>
        <w:spacing w:line="300" w:lineRule="auto"/>
        <w:ind w:firstLine="420" w:firstLineChars="200"/>
        <w:rPr>
          <w:rFonts w:ascii="宋体" w:hAnsi="宋体" w:eastAsia="宋体"/>
          <w:szCs w:val="21"/>
        </w:rPr>
      </w:pPr>
      <w:r>
        <w:rPr>
          <w:rFonts w:hint="eastAsia" w:ascii="宋体" w:hAnsi="宋体" w:eastAsia="宋体"/>
          <w:szCs w:val="21"/>
        </w:rPr>
        <w:t>(1)《水利工程工程量清单计价规范》(GB50501-2007)；</w:t>
      </w:r>
    </w:p>
    <w:p w14:paraId="51281503">
      <w:pPr>
        <w:snapToGrid w:val="0"/>
        <w:spacing w:line="300" w:lineRule="auto"/>
        <w:ind w:firstLine="420" w:firstLineChars="200"/>
        <w:rPr>
          <w:rFonts w:ascii="宋体" w:hAnsi="宋体" w:eastAsia="宋体"/>
          <w:szCs w:val="21"/>
        </w:rPr>
      </w:pPr>
      <w:r>
        <w:rPr>
          <w:rFonts w:hint="eastAsia" w:ascii="宋体" w:hAnsi="宋体" w:eastAsia="宋体"/>
          <w:szCs w:val="21"/>
        </w:rPr>
        <w:t>(2)《建筑地基基础工程施工质量验收规范》(GB50202-2018)；</w:t>
      </w:r>
    </w:p>
    <w:p w14:paraId="17208355">
      <w:pPr>
        <w:snapToGrid w:val="0"/>
        <w:spacing w:line="300" w:lineRule="auto"/>
        <w:ind w:firstLine="420" w:firstLineChars="200"/>
        <w:rPr>
          <w:rFonts w:ascii="宋体" w:hAnsi="宋体" w:eastAsia="宋体"/>
          <w:szCs w:val="21"/>
        </w:rPr>
      </w:pPr>
      <w:r>
        <w:rPr>
          <w:rFonts w:hint="eastAsia" w:ascii="宋体" w:hAnsi="宋体" w:eastAsia="宋体"/>
          <w:szCs w:val="21"/>
        </w:rPr>
        <w:t>(3)《水利水电工程施工组织设计规范》(SL303-2017)。</w:t>
      </w:r>
    </w:p>
    <w:p w14:paraId="1D503BB0">
      <w:pPr>
        <w:adjustRightInd w:val="0"/>
        <w:snapToGrid w:val="0"/>
        <w:spacing w:before="134" w:beforeLines="25" w:line="300" w:lineRule="auto"/>
        <w:outlineLvl w:val="1"/>
        <w:rPr>
          <w:rFonts w:ascii="宋体" w:hAnsi="宋体" w:eastAsia="宋体"/>
          <w:b/>
          <w:bCs/>
          <w:sz w:val="24"/>
          <w:szCs w:val="24"/>
        </w:rPr>
      </w:pPr>
      <w:bookmarkStart w:id="1372" w:name="第06章02"/>
      <w:bookmarkEnd w:id="1372"/>
      <w:r>
        <w:rPr>
          <w:rFonts w:hint="eastAsia" w:ascii="宋体" w:hAnsi="宋体" w:eastAsia="宋体"/>
          <w:b/>
          <w:bCs/>
          <w:sz w:val="24"/>
          <w:szCs w:val="24"/>
        </w:rPr>
        <w:t>5.2场地清理</w:t>
      </w:r>
    </w:p>
    <w:p w14:paraId="125752FD">
      <w:pPr>
        <w:snapToGrid w:val="0"/>
        <w:spacing w:line="300" w:lineRule="auto"/>
        <w:ind w:firstLine="420" w:firstLineChars="200"/>
        <w:rPr>
          <w:rFonts w:ascii="宋体" w:hAnsi="宋体" w:eastAsia="宋体"/>
          <w:szCs w:val="21"/>
        </w:rPr>
      </w:pPr>
      <w:r>
        <w:rPr>
          <w:rFonts w:hint="eastAsia" w:ascii="宋体" w:hAnsi="宋体" w:eastAsia="宋体"/>
          <w:szCs w:val="21"/>
        </w:rPr>
        <w:t>场地清理包括植被清理和表土开挖。其范围包括永久和临时工程、料场、存弃渣场等施工用地需要清理的区域地表。</w:t>
      </w:r>
    </w:p>
    <w:p w14:paraId="5726BD4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5.2.1植被清理</w:t>
      </w:r>
    </w:p>
    <w:p w14:paraId="06EEB0D4">
      <w:pPr>
        <w:snapToGrid w:val="0"/>
        <w:spacing w:line="300" w:lineRule="auto"/>
        <w:ind w:firstLine="420" w:firstLineChars="200"/>
        <w:rPr>
          <w:rFonts w:ascii="宋体" w:hAnsi="宋体" w:eastAsia="宋体"/>
          <w:szCs w:val="21"/>
        </w:rPr>
      </w:pPr>
      <w:r>
        <w:rPr>
          <w:rFonts w:hint="eastAsia" w:ascii="宋体" w:hAnsi="宋体" w:eastAsia="宋体"/>
          <w:szCs w:val="21"/>
        </w:rPr>
        <w:t>(1)在场地开挖前，承包人应清理开挖区域内的树根、杂草、垃圾、废渣及其它有碍物，主体工程植被清理的挖除树根范围应延伸到离施工图纸所示最大开挖边线、填筑线或建筑物基础外侧3m距离。</w:t>
      </w:r>
    </w:p>
    <w:p w14:paraId="1759E753">
      <w:pPr>
        <w:snapToGrid w:val="0"/>
        <w:spacing w:line="300" w:lineRule="auto"/>
        <w:ind w:firstLine="420" w:firstLineChars="200"/>
        <w:rPr>
          <w:rFonts w:ascii="宋体" w:hAnsi="宋体" w:eastAsia="宋体"/>
          <w:szCs w:val="21"/>
        </w:rPr>
      </w:pPr>
      <w:r>
        <w:rPr>
          <w:rFonts w:hint="eastAsia" w:ascii="宋体" w:hAnsi="宋体" w:eastAsia="宋体"/>
          <w:szCs w:val="21"/>
        </w:rPr>
        <w:t>(2)除合同另有约定外，主体工程施工场地地表的植被清理，必须延伸至离施工图纸所示最大开挖边线或建筑物基础边线(或填筑坡脚线)外侧至少5m距离。</w:t>
      </w:r>
    </w:p>
    <w:p w14:paraId="047E3EC2">
      <w:pPr>
        <w:snapToGrid w:val="0"/>
        <w:spacing w:line="300" w:lineRule="auto"/>
        <w:ind w:firstLine="420" w:firstLineChars="200"/>
        <w:rPr>
          <w:rFonts w:ascii="宋体" w:hAnsi="宋体" w:eastAsia="宋体"/>
          <w:szCs w:val="21"/>
        </w:rPr>
      </w:pPr>
      <w:r>
        <w:rPr>
          <w:rFonts w:hint="eastAsia" w:ascii="宋体" w:hAnsi="宋体" w:eastAsia="宋体"/>
          <w:szCs w:val="21"/>
        </w:rPr>
        <w:t>(3)承包人应注意保护清理区域附近的天然植被，避免因施工不当造成清理区域附近林业和天然植被资源的毁坏，以及对环境保护工作造成的不良后果。</w:t>
      </w:r>
    </w:p>
    <w:p w14:paraId="0C8AAEF8">
      <w:pPr>
        <w:snapToGrid w:val="0"/>
        <w:spacing w:line="300" w:lineRule="auto"/>
        <w:ind w:firstLine="420" w:firstLineChars="200"/>
        <w:rPr>
          <w:rFonts w:ascii="宋体" w:hAnsi="宋体" w:eastAsia="宋体"/>
          <w:szCs w:val="21"/>
        </w:rPr>
      </w:pPr>
      <w:r>
        <w:rPr>
          <w:rFonts w:hint="eastAsia" w:ascii="宋体" w:hAnsi="宋体" w:eastAsia="宋体"/>
          <w:szCs w:val="21"/>
        </w:rPr>
        <w:t>(4)场地清理范围内，承包人砍伐的成材或清理获得具有商业价值的材料应归发包人所有，承包人应按监理人指示将其运到指定地点。</w:t>
      </w:r>
    </w:p>
    <w:p w14:paraId="0CB5353C">
      <w:pPr>
        <w:snapToGrid w:val="0"/>
        <w:spacing w:line="300" w:lineRule="auto"/>
        <w:ind w:firstLine="420" w:firstLineChars="200"/>
        <w:rPr>
          <w:rFonts w:ascii="宋体" w:hAnsi="宋体" w:eastAsia="宋体"/>
          <w:szCs w:val="21"/>
        </w:rPr>
      </w:pPr>
      <w:r>
        <w:rPr>
          <w:rFonts w:hint="eastAsia" w:ascii="宋体" w:hAnsi="宋体" w:eastAsia="宋体"/>
          <w:szCs w:val="21"/>
        </w:rPr>
        <w:t>(5)凡属无价值的可燃物，承包人应尽快将其焚毁，并按本技术条款第3章规定确保其周边地区的安全。承包人应按指定的地点掩埋废弃物，掩埋物不得妨碍自然排水或污染河川。</w:t>
      </w:r>
    </w:p>
    <w:p w14:paraId="0307419C">
      <w:pPr>
        <w:snapToGrid w:val="0"/>
        <w:spacing w:line="300" w:lineRule="auto"/>
        <w:ind w:firstLine="420" w:firstLineChars="200"/>
        <w:rPr>
          <w:rFonts w:ascii="宋体" w:hAnsi="宋体" w:eastAsia="宋体"/>
          <w:szCs w:val="21"/>
        </w:rPr>
      </w:pPr>
      <w:r>
        <w:rPr>
          <w:rFonts w:hint="eastAsia" w:ascii="宋体" w:hAnsi="宋体" w:eastAsia="宋体"/>
          <w:szCs w:val="21"/>
        </w:rPr>
        <w:t>(6)场地清理中发现文物古迹，承包人应按本合同通用合同条款第1.10款的约定办理。</w:t>
      </w:r>
    </w:p>
    <w:p w14:paraId="354BA33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5.2.2表土的清挖、堆放和有机土壤的使用</w:t>
      </w:r>
    </w:p>
    <w:p w14:paraId="181233C7">
      <w:pPr>
        <w:snapToGrid w:val="0"/>
        <w:spacing w:line="300" w:lineRule="auto"/>
        <w:ind w:firstLine="420" w:firstLineChars="200"/>
        <w:rPr>
          <w:rFonts w:ascii="宋体" w:hAnsi="宋体" w:eastAsia="宋体"/>
          <w:szCs w:val="21"/>
        </w:rPr>
      </w:pPr>
      <w:r>
        <w:rPr>
          <w:rFonts w:hint="eastAsia" w:ascii="宋体" w:hAnsi="宋体" w:eastAsia="宋体"/>
          <w:szCs w:val="21"/>
        </w:rPr>
        <w:t>含细根须、草本植物及覆盖草等植物的表层有机土壤，承包人应按监理人指示和本技术条款第4.5节的规定合理使用有机土壤，并运到指定地点堆放保存，不得任意处置。</w:t>
      </w:r>
    </w:p>
    <w:p w14:paraId="57881149">
      <w:pPr>
        <w:adjustRightInd w:val="0"/>
        <w:snapToGrid w:val="0"/>
        <w:spacing w:before="134" w:beforeLines="25" w:line="300" w:lineRule="auto"/>
        <w:outlineLvl w:val="1"/>
        <w:rPr>
          <w:rFonts w:ascii="宋体" w:hAnsi="宋体" w:eastAsia="宋体"/>
          <w:b/>
          <w:bCs/>
          <w:sz w:val="24"/>
          <w:szCs w:val="24"/>
        </w:rPr>
      </w:pPr>
      <w:bookmarkStart w:id="1373" w:name="第06章03"/>
      <w:bookmarkEnd w:id="1373"/>
      <w:r>
        <w:rPr>
          <w:rFonts w:hint="eastAsia" w:ascii="宋体" w:hAnsi="宋体" w:eastAsia="宋体"/>
          <w:b/>
          <w:bCs/>
          <w:sz w:val="24"/>
          <w:szCs w:val="24"/>
        </w:rPr>
        <w:t>5.3土方开挖</w:t>
      </w:r>
    </w:p>
    <w:p w14:paraId="7074C1E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5.3.1土方定义</w:t>
      </w:r>
    </w:p>
    <w:p w14:paraId="7FDDB31F">
      <w:pPr>
        <w:snapToGrid w:val="0"/>
        <w:spacing w:line="300" w:lineRule="auto"/>
        <w:ind w:firstLine="420" w:firstLineChars="200"/>
        <w:rPr>
          <w:rFonts w:ascii="宋体" w:hAnsi="宋体" w:eastAsia="宋体"/>
          <w:szCs w:val="21"/>
        </w:rPr>
      </w:pPr>
      <w:r>
        <w:rPr>
          <w:rFonts w:hint="eastAsia" w:ascii="宋体" w:hAnsi="宋体" w:eastAsia="宋体"/>
          <w:szCs w:val="21"/>
        </w:rPr>
        <w:t>(1)指黄土、粘土、砂土(包括淤沙、粉砂、河砂等)、淤泥、砾质土、砂砾石、松散坍塌体、石渣混合料、软弱的全风化岩体，无须采用爆破技术，直接用手工工具或土方开挖机械进行开挖的土方工程。</w:t>
      </w:r>
    </w:p>
    <w:p w14:paraId="4383E607">
      <w:pPr>
        <w:snapToGrid w:val="0"/>
        <w:spacing w:line="300" w:lineRule="auto"/>
        <w:ind w:firstLine="420" w:firstLineChars="200"/>
        <w:rPr>
          <w:rFonts w:ascii="宋体" w:hAnsi="宋体" w:eastAsia="宋体"/>
          <w:szCs w:val="21"/>
        </w:rPr>
      </w:pPr>
      <w:r>
        <w:rPr>
          <w:rFonts w:hint="eastAsia" w:ascii="宋体" w:hAnsi="宋体" w:eastAsia="宋体"/>
          <w:szCs w:val="21"/>
        </w:rPr>
        <w:t>(2)土类开挖级别划分，应符合SL303-2017表C.1.1的规定。</w:t>
      </w:r>
    </w:p>
    <w:p w14:paraId="6E09DE3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5.3.2开挖区临时道路</w:t>
      </w:r>
    </w:p>
    <w:p w14:paraId="732458E5">
      <w:pPr>
        <w:snapToGrid w:val="0"/>
        <w:spacing w:line="300" w:lineRule="auto"/>
        <w:ind w:firstLine="420" w:firstLineChars="200"/>
        <w:rPr>
          <w:rFonts w:ascii="宋体" w:hAnsi="宋体" w:eastAsia="宋体"/>
          <w:szCs w:val="21"/>
        </w:rPr>
      </w:pPr>
      <w:r>
        <w:rPr>
          <w:rFonts w:hint="eastAsia" w:ascii="宋体" w:hAnsi="宋体" w:eastAsia="宋体"/>
          <w:szCs w:val="21"/>
        </w:rPr>
        <w:t>承包人应按SL303-2017第5.3节的规定，以及监理人批准的施工总布置设计进行场内交通道路布置。</w:t>
      </w:r>
    </w:p>
    <w:p w14:paraId="5C28D3D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5.3.3校核测量</w:t>
      </w:r>
    </w:p>
    <w:p w14:paraId="1CC6568D">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承包人应按施工图纸的要求，校核测量开挖区域的平面位置、水平标高、控制桩号、水准点和边坡坡度等。监理人有权随时抽验承包人的校核测量成果，有必要时，监理人可与承包人联合进行校核测量。</w:t>
      </w:r>
    </w:p>
    <w:p w14:paraId="1162775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5.3.4临时边坡的稳定</w:t>
      </w:r>
    </w:p>
    <w:p w14:paraId="39CAB61D">
      <w:pPr>
        <w:snapToGrid w:val="0"/>
        <w:spacing w:line="300" w:lineRule="auto"/>
        <w:ind w:firstLine="420" w:firstLineChars="200"/>
        <w:rPr>
          <w:rFonts w:ascii="宋体" w:hAnsi="宋体" w:eastAsia="宋体"/>
          <w:szCs w:val="21"/>
        </w:rPr>
      </w:pPr>
      <w:r>
        <w:rPr>
          <w:rFonts w:hint="eastAsia" w:ascii="宋体" w:hAnsi="宋体" w:eastAsia="宋体"/>
          <w:szCs w:val="21"/>
        </w:rPr>
        <w:t>主体工程的临时开挖边坡，应按施工图纸所示或监理人指示进行开挖。对于承包人自行确定的开挖边坡，或临时边坡保留时间过长，经监理人检查有不安全因素时，承包人应立即进行补充开挖和采取保护措施。</w:t>
      </w:r>
    </w:p>
    <w:p w14:paraId="6D69B8C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5.3.5基础和边坡开挖</w:t>
      </w:r>
    </w:p>
    <w:p w14:paraId="3AAF9691">
      <w:pPr>
        <w:snapToGrid w:val="0"/>
        <w:spacing w:line="300" w:lineRule="auto"/>
        <w:ind w:firstLine="420" w:firstLineChars="200"/>
        <w:rPr>
          <w:rFonts w:ascii="宋体" w:hAnsi="宋体" w:eastAsia="宋体"/>
          <w:szCs w:val="21"/>
        </w:rPr>
      </w:pPr>
      <w:r>
        <w:rPr>
          <w:rFonts w:hint="eastAsia" w:ascii="宋体" w:hAnsi="宋体" w:eastAsia="宋体"/>
          <w:szCs w:val="21"/>
        </w:rPr>
        <w:t>基础和边坡开挖的施工方法应符合SL303-2017第4.2节的规定。</w:t>
      </w:r>
    </w:p>
    <w:p w14:paraId="6C0FCC0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5.3.6边坡的护面和加固</w:t>
      </w:r>
    </w:p>
    <w:p w14:paraId="3D0111EA">
      <w:pPr>
        <w:snapToGrid w:val="0"/>
        <w:spacing w:line="300" w:lineRule="auto"/>
        <w:ind w:firstLine="420" w:firstLineChars="200"/>
        <w:rPr>
          <w:rFonts w:ascii="宋体" w:hAnsi="宋体" w:eastAsia="宋体"/>
          <w:szCs w:val="21"/>
        </w:rPr>
      </w:pPr>
      <w:r>
        <w:rPr>
          <w:rFonts w:hint="eastAsia" w:ascii="宋体" w:hAnsi="宋体" w:eastAsia="宋体"/>
          <w:szCs w:val="21"/>
        </w:rPr>
        <w:t>为防止修整后的开挖边坡遭受雨水冲刷，边坡的护面和加固工作应在雨季前严格按施工图纸要求完成。冬季施工的开挖边坡修整及其护面和加固工作，应在解冻后进行。</w:t>
      </w:r>
    </w:p>
    <w:p w14:paraId="40D781D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5.3.7开挖线的变更</w:t>
      </w:r>
    </w:p>
    <w:p w14:paraId="2242BD1A">
      <w:pPr>
        <w:snapToGrid w:val="0"/>
        <w:spacing w:line="300" w:lineRule="auto"/>
        <w:ind w:firstLine="420" w:firstLineChars="200"/>
        <w:rPr>
          <w:rFonts w:ascii="宋体" w:hAnsi="宋体" w:eastAsia="宋体"/>
          <w:szCs w:val="21"/>
        </w:rPr>
      </w:pPr>
      <w:r>
        <w:rPr>
          <w:rFonts w:hint="eastAsia" w:ascii="宋体" w:hAnsi="宋体" w:eastAsia="宋体"/>
          <w:szCs w:val="21"/>
        </w:rPr>
        <w:t>在开挖过程中，经监理人批准，承包人可根据土方明挖边坡和基础揭示的地质特性，对施工图纸所示的开挖线作必要修改，涉及合同变更的，应按本合同通用合同条款第15条的约定办理。</w:t>
      </w:r>
    </w:p>
    <w:p w14:paraId="1800B6D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5.3.8边坡安全的应急措施</w:t>
      </w:r>
    </w:p>
    <w:p w14:paraId="6AD57D15">
      <w:pPr>
        <w:snapToGrid w:val="0"/>
        <w:spacing w:line="300" w:lineRule="auto"/>
        <w:ind w:firstLine="420" w:firstLineChars="200"/>
        <w:rPr>
          <w:rFonts w:ascii="宋体" w:hAnsi="宋体" w:eastAsia="宋体"/>
          <w:szCs w:val="21"/>
        </w:rPr>
      </w:pPr>
      <w:r>
        <w:rPr>
          <w:rFonts w:hint="eastAsia" w:ascii="宋体" w:hAnsi="宋体" w:eastAsia="宋体"/>
          <w:szCs w:val="21"/>
        </w:rPr>
        <w:t>若开挖过程中出现裂缝和滑动迹象时，承包人应立即暂停施工，并通知监理人。必要时承包人应按监理人的指示设置观测点，及时观测边坡变化情况，并做好记录。</w:t>
      </w:r>
    </w:p>
    <w:p w14:paraId="68C4117A">
      <w:pPr>
        <w:adjustRightInd w:val="0"/>
        <w:snapToGrid w:val="0"/>
        <w:spacing w:before="134" w:beforeLines="25" w:line="300" w:lineRule="auto"/>
        <w:outlineLvl w:val="1"/>
        <w:rPr>
          <w:rFonts w:ascii="宋体" w:hAnsi="宋体" w:eastAsia="宋体"/>
          <w:b/>
          <w:bCs/>
          <w:sz w:val="24"/>
          <w:szCs w:val="24"/>
        </w:rPr>
      </w:pPr>
      <w:bookmarkStart w:id="1374" w:name="第06章04"/>
      <w:bookmarkEnd w:id="1374"/>
      <w:r>
        <w:rPr>
          <w:rFonts w:hint="eastAsia" w:ascii="宋体" w:hAnsi="宋体" w:eastAsia="宋体"/>
          <w:b/>
          <w:bCs/>
          <w:sz w:val="24"/>
          <w:szCs w:val="24"/>
        </w:rPr>
        <w:t>5.4施工期临时排水</w:t>
      </w:r>
    </w:p>
    <w:p w14:paraId="348CFB3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5.4.1排水措施</w:t>
      </w:r>
    </w:p>
    <w:p w14:paraId="18D5E395">
      <w:pPr>
        <w:snapToGrid w:val="0"/>
        <w:spacing w:line="300" w:lineRule="auto"/>
        <w:ind w:firstLine="420" w:firstLineChars="200"/>
        <w:rPr>
          <w:rFonts w:ascii="宋体" w:hAnsi="宋体" w:eastAsia="宋体"/>
          <w:szCs w:val="21"/>
        </w:rPr>
      </w:pPr>
      <w:r>
        <w:rPr>
          <w:rFonts w:hint="eastAsia" w:ascii="宋体" w:hAnsi="宋体" w:eastAsia="宋体"/>
          <w:szCs w:val="21"/>
        </w:rPr>
        <w:t>(1)承包人应在每项开挖工程开始前，结合永久性排水设施的布置，规划好开挖区域内外的临时性排水措施，保证主体工程建筑物的基础开挖在干地施工。</w:t>
      </w:r>
    </w:p>
    <w:p w14:paraId="4F50E9B9">
      <w:pPr>
        <w:snapToGrid w:val="0"/>
        <w:spacing w:line="300" w:lineRule="auto"/>
        <w:ind w:firstLine="420" w:firstLineChars="200"/>
        <w:rPr>
          <w:rFonts w:ascii="宋体" w:hAnsi="宋体" w:eastAsia="宋体"/>
          <w:szCs w:val="21"/>
        </w:rPr>
      </w:pPr>
      <w:r>
        <w:rPr>
          <w:rFonts w:hint="eastAsia" w:ascii="宋体" w:hAnsi="宋体" w:eastAsia="宋体"/>
          <w:szCs w:val="21"/>
        </w:rPr>
        <w:t>(2)承包人应在边坡开挖前，按施工图纸要求完成边坡上部永久性山坡截水沟的开挖和衬护。对其上部未设置永久性山坡截水沟的边坡面，应由承包人自行加设临时性山坡截水沟。</w:t>
      </w:r>
    </w:p>
    <w:p w14:paraId="6A8E4F5E">
      <w:pPr>
        <w:snapToGrid w:val="0"/>
        <w:spacing w:line="300" w:lineRule="auto"/>
        <w:ind w:firstLine="420" w:firstLineChars="200"/>
        <w:rPr>
          <w:rFonts w:ascii="宋体" w:hAnsi="宋体" w:eastAsia="宋体"/>
          <w:szCs w:val="21"/>
        </w:rPr>
      </w:pPr>
      <w:r>
        <w:rPr>
          <w:rFonts w:hint="eastAsia" w:ascii="宋体" w:hAnsi="宋体" w:eastAsia="宋体"/>
          <w:szCs w:val="21"/>
        </w:rPr>
        <w:t>(3)在开挖过程中，承包人应做好地面排水设施，包括保持必要的地面排水坡度、设置临时坑槽、使用机械排除积水，以及开挖排水沟道排走雨水和地面积水等。</w:t>
      </w:r>
    </w:p>
    <w:p w14:paraId="3F22FD20">
      <w:pPr>
        <w:snapToGrid w:val="0"/>
        <w:spacing w:line="300" w:lineRule="auto"/>
        <w:ind w:firstLine="420" w:firstLineChars="200"/>
        <w:rPr>
          <w:rFonts w:ascii="宋体" w:hAnsi="宋体" w:eastAsia="宋体"/>
          <w:szCs w:val="21"/>
        </w:rPr>
      </w:pPr>
      <w:r>
        <w:rPr>
          <w:rFonts w:hint="eastAsia" w:ascii="宋体" w:hAnsi="宋体" w:eastAsia="宋体"/>
          <w:szCs w:val="21"/>
        </w:rPr>
        <w:t>(4)在平地或凹地进行开挖时，承包人应在开挖区周围设置挡水堤和开挖周边排水沟，以及采取集水坑抽水等措施，阻止场外水流进入场地，并有效排除积水。</w:t>
      </w:r>
    </w:p>
    <w:p w14:paraId="7A52976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5.4.2降低地下水位的排水措施</w:t>
      </w:r>
    </w:p>
    <w:p w14:paraId="79FE075C">
      <w:pPr>
        <w:snapToGrid w:val="0"/>
        <w:spacing w:line="300" w:lineRule="auto"/>
        <w:ind w:firstLine="420" w:firstLineChars="200"/>
        <w:rPr>
          <w:rFonts w:ascii="宋体" w:hAnsi="宋体" w:eastAsia="宋体"/>
          <w:szCs w:val="21"/>
        </w:rPr>
      </w:pPr>
      <w:r>
        <w:rPr>
          <w:rFonts w:hint="eastAsia" w:ascii="宋体" w:hAnsi="宋体" w:eastAsia="宋体"/>
          <w:szCs w:val="21"/>
        </w:rPr>
        <w:t>(1)对位于地下水位以下的基坑需要进行干地开挖时，可根据基坑的工程地质条件采用降低地下水位的措施。并将降低基坑地下水位的施工措施，提交监理人批准。</w:t>
      </w:r>
    </w:p>
    <w:p w14:paraId="19F5B6B2">
      <w:pPr>
        <w:snapToGrid w:val="0"/>
        <w:spacing w:line="300" w:lineRule="auto"/>
        <w:ind w:firstLine="420" w:firstLineChars="200"/>
        <w:rPr>
          <w:rFonts w:ascii="宋体" w:hAnsi="宋体" w:eastAsia="宋体"/>
          <w:szCs w:val="21"/>
        </w:rPr>
      </w:pPr>
      <w:r>
        <w:rPr>
          <w:rFonts w:hint="eastAsia" w:ascii="宋体" w:hAnsi="宋体" w:eastAsia="宋体"/>
          <w:szCs w:val="21"/>
        </w:rPr>
        <w:t>(2)采用挖掘机、铲运机、推土机等机械开挖基坑时，应保证地下水位降低至最低开挖面0.5m以下。</w:t>
      </w:r>
    </w:p>
    <w:p w14:paraId="09C23646">
      <w:pPr>
        <w:snapToGrid w:val="0"/>
        <w:spacing w:line="300" w:lineRule="auto"/>
        <w:ind w:firstLine="420" w:firstLineChars="200"/>
        <w:rPr>
          <w:rFonts w:ascii="宋体" w:hAnsi="宋体" w:eastAsia="宋体"/>
          <w:szCs w:val="21"/>
        </w:rPr>
      </w:pPr>
      <w:r>
        <w:rPr>
          <w:rFonts w:hint="eastAsia" w:ascii="宋体" w:hAnsi="宋体" w:eastAsia="宋体"/>
          <w:szCs w:val="21"/>
        </w:rPr>
        <w:t>(3)在基坑开挖期间，承包人应对基坑及其周围受降低水位影响的地区进行地下水位和地面沉降观测。承包人应将观测点布置、观测仪器设置和定期观测记录提交监理人。</w:t>
      </w:r>
    </w:p>
    <w:p w14:paraId="0C3CDD2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5.4.3保护永久建筑物和永久边坡免受冲刷</w:t>
      </w:r>
    </w:p>
    <w:p w14:paraId="60DE6FDA">
      <w:pPr>
        <w:snapToGrid w:val="0"/>
        <w:spacing w:line="300" w:lineRule="auto"/>
        <w:ind w:firstLine="420" w:firstLineChars="200"/>
        <w:rPr>
          <w:rFonts w:ascii="宋体" w:hAnsi="宋体" w:eastAsia="宋体"/>
          <w:szCs w:val="21"/>
        </w:rPr>
      </w:pPr>
      <w:r>
        <w:rPr>
          <w:rFonts w:hint="eastAsia" w:ascii="宋体" w:hAnsi="宋体" w:eastAsia="宋体"/>
          <w:szCs w:val="21"/>
        </w:rPr>
        <w:t>承包人的临时排水措施，应注意保护已开挖的永久边坡面及附近建筑物及其基础免受冲刷和侵蚀破坏。</w:t>
      </w:r>
    </w:p>
    <w:p w14:paraId="1427059F">
      <w:pPr>
        <w:adjustRightInd w:val="0"/>
        <w:snapToGrid w:val="0"/>
        <w:spacing w:before="134" w:beforeLines="25" w:line="300" w:lineRule="auto"/>
        <w:outlineLvl w:val="1"/>
        <w:rPr>
          <w:rFonts w:ascii="宋体" w:hAnsi="宋体" w:eastAsia="宋体"/>
          <w:b/>
          <w:bCs/>
          <w:sz w:val="24"/>
          <w:szCs w:val="24"/>
        </w:rPr>
      </w:pPr>
      <w:bookmarkStart w:id="1375" w:name="第06章05"/>
      <w:bookmarkEnd w:id="1375"/>
      <w:r>
        <w:rPr>
          <w:rFonts w:hint="eastAsia" w:ascii="宋体" w:hAnsi="宋体" w:eastAsia="宋体"/>
          <w:b/>
          <w:bCs/>
          <w:sz w:val="24"/>
          <w:szCs w:val="24"/>
        </w:rPr>
        <w:t>5.5土料场和砂砾料场开采</w:t>
      </w:r>
    </w:p>
    <w:p w14:paraId="053A588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5.5.1料场开采</w:t>
      </w:r>
    </w:p>
    <w:p w14:paraId="229D3223">
      <w:pPr>
        <w:snapToGrid w:val="0"/>
        <w:spacing w:line="300" w:lineRule="auto"/>
        <w:ind w:firstLine="420" w:firstLineChars="200"/>
        <w:rPr>
          <w:rFonts w:ascii="宋体" w:hAnsi="宋体" w:eastAsia="宋体"/>
          <w:szCs w:val="21"/>
        </w:rPr>
      </w:pPr>
      <w:r>
        <w:rPr>
          <w:rFonts w:hint="eastAsia" w:ascii="宋体" w:hAnsi="宋体" w:eastAsia="宋体"/>
          <w:szCs w:val="21"/>
        </w:rPr>
        <w:t>(1)土料场周围及开采区内，应按本章第6.4节的规定设置有效的排水系统和采取必要的防洪措施，以保证土料质量和开挖工作的顺利进行。</w:t>
      </w:r>
    </w:p>
    <w:p w14:paraId="6A5E59AF">
      <w:pPr>
        <w:snapToGrid w:val="0"/>
        <w:spacing w:line="300" w:lineRule="auto"/>
        <w:ind w:firstLine="420" w:firstLineChars="200"/>
        <w:rPr>
          <w:rFonts w:ascii="宋体" w:hAnsi="宋体" w:eastAsia="宋体"/>
          <w:szCs w:val="21"/>
        </w:rPr>
      </w:pPr>
      <w:r>
        <w:rPr>
          <w:rFonts w:hint="eastAsia" w:ascii="宋体" w:hAnsi="宋体" w:eastAsia="宋体"/>
          <w:szCs w:val="21"/>
        </w:rPr>
        <w:t>(2)土料和砂砾料的开采和加工处理应符合SL303-2017第4.4.9条、第4.4.10条的规定。</w:t>
      </w:r>
    </w:p>
    <w:p w14:paraId="17CAEBE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5.5.2开采结束后的料场整治</w:t>
      </w:r>
    </w:p>
    <w:p w14:paraId="1B575549">
      <w:pPr>
        <w:snapToGrid w:val="0"/>
        <w:spacing w:line="300" w:lineRule="auto"/>
        <w:ind w:firstLine="420" w:firstLineChars="200"/>
        <w:rPr>
          <w:rFonts w:ascii="宋体" w:hAnsi="宋体" w:eastAsia="宋体"/>
          <w:szCs w:val="21"/>
        </w:rPr>
      </w:pPr>
      <w:r>
        <w:rPr>
          <w:rFonts w:hint="eastAsia" w:ascii="宋体" w:hAnsi="宋体" w:eastAsia="宋体"/>
          <w:szCs w:val="21"/>
        </w:rPr>
        <w:t>料场取料结束后，承包人应按发包人的环境恢复设计及其施工措施计划，以及监理人指示，进行以下料场整治和环境恢复工作。包括：</w:t>
      </w:r>
    </w:p>
    <w:p w14:paraId="266782DD">
      <w:pPr>
        <w:snapToGrid w:val="0"/>
        <w:spacing w:line="300" w:lineRule="auto"/>
        <w:ind w:firstLine="420" w:firstLineChars="200"/>
        <w:rPr>
          <w:rFonts w:ascii="宋体" w:hAnsi="宋体" w:eastAsia="宋体"/>
          <w:szCs w:val="21"/>
        </w:rPr>
      </w:pPr>
      <w:r>
        <w:rPr>
          <w:rFonts w:hint="eastAsia" w:ascii="宋体" w:hAnsi="宋体" w:eastAsia="宋体"/>
          <w:szCs w:val="21"/>
        </w:rPr>
        <w:t>(1)开挖边坡面的整治。</w:t>
      </w:r>
    </w:p>
    <w:p w14:paraId="5D0FC49B">
      <w:pPr>
        <w:snapToGrid w:val="0"/>
        <w:spacing w:line="300" w:lineRule="auto"/>
        <w:ind w:firstLine="420" w:firstLineChars="200"/>
        <w:rPr>
          <w:rFonts w:ascii="宋体" w:hAnsi="宋体" w:eastAsia="宋体"/>
          <w:szCs w:val="21"/>
        </w:rPr>
      </w:pPr>
      <w:r>
        <w:rPr>
          <w:rFonts w:hint="eastAsia" w:ascii="宋体" w:hAnsi="宋体" w:eastAsia="宋体"/>
          <w:szCs w:val="21"/>
        </w:rPr>
        <w:t>(2)修建环境保护的辅助工程设施。</w:t>
      </w:r>
    </w:p>
    <w:p w14:paraId="12DF464B">
      <w:pPr>
        <w:snapToGrid w:val="0"/>
        <w:spacing w:line="300" w:lineRule="auto"/>
        <w:ind w:firstLine="420" w:firstLineChars="200"/>
        <w:rPr>
          <w:rFonts w:ascii="宋体" w:hAnsi="宋体" w:eastAsia="宋体"/>
          <w:szCs w:val="21"/>
        </w:rPr>
      </w:pPr>
      <w:r>
        <w:rPr>
          <w:rFonts w:hint="eastAsia" w:ascii="宋体" w:hAnsi="宋体" w:eastAsia="宋体"/>
          <w:szCs w:val="21"/>
        </w:rPr>
        <w:t>(3)按批准的环境恢复要求恢复植被和农田。</w:t>
      </w:r>
    </w:p>
    <w:p w14:paraId="10BF515D">
      <w:pPr>
        <w:adjustRightInd w:val="0"/>
        <w:snapToGrid w:val="0"/>
        <w:spacing w:before="134" w:beforeLines="25" w:line="300" w:lineRule="auto"/>
        <w:outlineLvl w:val="1"/>
        <w:rPr>
          <w:rFonts w:ascii="宋体" w:hAnsi="宋体" w:eastAsia="宋体"/>
          <w:b/>
          <w:bCs/>
          <w:sz w:val="24"/>
          <w:szCs w:val="24"/>
        </w:rPr>
      </w:pPr>
      <w:bookmarkStart w:id="1376" w:name="第06章06"/>
      <w:bookmarkEnd w:id="1376"/>
      <w:r>
        <w:rPr>
          <w:rFonts w:hint="eastAsia" w:ascii="宋体" w:hAnsi="宋体" w:eastAsia="宋体"/>
          <w:b/>
          <w:bCs/>
          <w:sz w:val="24"/>
          <w:szCs w:val="24"/>
        </w:rPr>
        <w:t>5.6开挖渣料的利用和弃渣处理</w:t>
      </w:r>
    </w:p>
    <w:p w14:paraId="23C7BAD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5.6.1可利用渣料的利用</w:t>
      </w:r>
    </w:p>
    <w:p w14:paraId="6924A67B">
      <w:pPr>
        <w:snapToGrid w:val="0"/>
        <w:spacing w:line="300" w:lineRule="auto"/>
        <w:ind w:firstLine="420" w:firstLineChars="200"/>
        <w:rPr>
          <w:rFonts w:ascii="宋体" w:hAnsi="宋体" w:eastAsia="宋体"/>
          <w:szCs w:val="21"/>
        </w:rPr>
      </w:pPr>
      <w:r>
        <w:rPr>
          <w:rFonts w:hint="eastAsia" w:ascii="宋体" w:hAnsi="宋体" w:eastAsia="宋体"/>
          <w:szCs w:val="21"/>
        </w:rPr>
        <w:t>(1)承包人提交的土方开挖施工措施计划中，应对开挖获得的可利用渣料进行统一规划，渣料应首先专用于本工程永久和临时工程的填筑及场地平整等。</w:t>
      </w:r>
    </w:p>
    <w:p w14:paraId="736C2E9B">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(2)承包人应按批准的堆渣地点和堆渣方式，将可利用渣料运至指定地点分类堆存。渣料堆体应保持边坡稳定，并设有良好的自由排水措施。</w:t>
      </w:r>
    </w:p>
    <w:p w14:paraId="2F6583C8">
      <w:pPr>
        <w:snapToGrid w:val="0"/>
        <w:spacing w:line="300" w:lineRule="auto"/>
        <w:ind w:firstLine="420" w:firstLineChars="200"/>
        <w:rPr>
          <w:rFonts w:ascii="宋体" w:hAnsi="宋体" w:eastAsia="宋体"/>
          <w:szCs w:val="21"/>
        </w:rPr>
      </w:pPr>
      <w:r>
        <w:rPr>
          <w:rFonts w:hint="eastAsia" w:ascii="宋体" w:hAnsi="宋体" w:eastAsia="宋体"/>
          <w:szCs w:val="21"/>
        </w:rPr>
        <w:t>(3)对监理人确认的可用料，承包人应在开挖、装运、堆存和其它作业时，采取有效的保质措施，保护可利用渣料免受污染和侵蚀。</w:t>
      </w:r>
    </w:p>
    <w:p w14:paraId="621D8AC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5.6.2弃渣处理</w:t>
      </w:r>
    </w:p>
    <w:p w14:paraId="0A526D6D">
      <w:pPr>
        <w:snapToGrid w:val="0"/>
        <w:spacing w:line="300" w:lineRule="auto"/>
        <w:ind w:firstLine="420" w:firstLineChars="200"/>
        <w:rPr>
          <w:rFonts w:ascii="宋体" w:hAnsi="宋体" w:eastAsia="宋体"/>
          <w:szCs w:val="21"/>
        </w:rPr>
      </w:pPr>
      <w:r>
        <w:rPr>
          <w:rFonts w:hint="eastAsia" w:ascii="宋体" w:hAnsi="宋体" w:eastAsia="宋体"/>
          <w:szCs w:val="21"/>
        </w:rPr>
        <w:t>弃渣应按批准的土方开挖施工措施计划指定的地点有序堆存，防止雨水冲刷流失，危及施工区及周边地区安全。</w:t>
      </w:r>
    </w:p>
    <w:p w14:paraId="204F9711">
      <w:pPr>
        <w:adjustRightInd w:val="0"/>
        <w:snapToGrid w:val="0"/>
        <w:spacing w:before="134" w:beforeLines="25" w:line="300" w:lineRule="auto"/>
        <w:outlineLvl w:val="1"/>
        <w:rPr>
          <w:rFonts w:ascii="宋体" w:hAnsi="宋体" w:eastAsia="宋体"/>
          <w:b/>
          <w:bCs/>
          <w:sz w:val="24"/>
          <w:szCs w:val="24"/>
        </w:rPr>
      </w:pPr>
      <w:bookmarkStart w:id="1377" w:name="第06章07"/>
      <w:bookmarkEnd w:id="1377"/>
      <w:r>
        <w:rPr>
          <w:rFonts w:hint="eastAsia" w:ascii="宋体" w:hAnsi="宋体" w:eastAsia="宋体"/>
          <w:b/>
          <w:bCs/>
          <w:sz w:val="24"/>
          <w:szCs w:val="24"/>
        </w:rPr>
        <w:t>5.7检查和验收</w:t>
      </w:r>
    </w:p>
    <w:p w14:paraId="441ED1A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5.7.1土方开挖前的检查和验收</w:t>
      </w:r>
    </w:p>
    <w:p w14:paraId="258C2B78">
      <w:pPr>
        <w:snapToGrid w:val="0"/>
        <w:spacing w:line="300" w:lineRule="auto"/>
        <w:ind w:firstLine="420" w:firstLineChars="200"/>
        <w:rPr>
          <w:rFonts w:ascii="宋体" w:hAnsi="宋体" w:eastAsia="宋体"/>
          <w:szCs w:val="21"/>
        </w:rPr>
      </w:pPr>
      <w:r>
        <w:rPr>
          <w:rFonts w:hint="eastAsia" w:ascii="宋体" w:hAnsi="宋体" w:eastAsia="宋体"/>
          <w:szCs w:val="21"/>
        </w:rPr>
        <w:t>土方开挖前，承包人应会同监理人进行以下各项检查：</w:t>
      </w:r>
    </w:p>
    <w:p w14:paraId="5B9C051F">
      <w:pPr>
        <w:snapToGrid w:val="0"/>
        <w:spacing w:line="300" w:lineRule="auto"/>
        <w:ind w:firstLine="420" w:firstLineChars="200"/>
        <w:rPr>
          <w:rFonts w:ascii="宋体" w:hAnsi="宋体" w:eastAsia="宋体"/>
          <w:szCs w:val="21"/>
        </w:rPr>
      </w:pPr>
      <w:r>
        <w:rPr>
          <w:rFonts w:hint="eastAsia" w:ascii="宋体" w:hAnsi="宋体" w:eastAsia="宋体"/>
          <w:szCs w:val="21"/>
        </w:rPr>
        <w:t>(1)用于开挖工程量计量的原地形测量剖面的复核检查。</w:t>
      </w:r>
    </w:p>
    <w:p w14:paraId="7F06CD66">
      <w:pPr>
        <w:snapToGrid w:val="0"/>
        <w:spacing w:line="300" w:lineRule="auto"/>
        <w:ind w:firstLine="420" w:firstLineChars="200"/>
        <w:rPr>
          <w:rFonts w:ascii="宋体" w:hAnsi="宋体" w:eastAsia="宋体"/>
          <w:szCs w:val="21"/>
        </w:rPr>
      </w:pPr>
      <w:r>
        <w:rPr>
          <w:rFonts w:hint="eastAsia" w:ascii="宋体" w:hAnsi="宋体" w:eastAsia="宋体"/>
          <w:szCs w:val="21"/>
        </w:rPr>
        <w:t>(2)按施工图纸所示的工程建筑物开挖尺寸进行开挖剖面测量放样成果的检查。承包人的开挖剖面放样成果作为工程量计量的原始依据。</w:t>
      </w:r>
    </w:p>
    <w:p w14:paraId="2C08D1D9">
      <w:pPr>
        <w:snapToGrid w:val="0"/>
        <w:spacing w:line="300" w:lineRule="auto"/>
        <w:ind w:firstLine="420" w:firstLineChars="200"/>
        <w:rPr>
          <w:rFonts w:ascii="宋体" w:hAnsi="宋体" w:eastAsia="宋体"/>
          <w:szCs w:val="21"/>
        </w:rPr>
      </w:pPr>
      <w:r>
        <w:rPr>
          <w:rFonts w:hint="eastAsia" w:ascii="宋体" w:hAnsi="宋体" w:eastAsia="宋体"/>
          <w:szCs w:val="21"/>
        </w:rPr>
        <w:t>(3)按施工图纸所示进行开挖区周围排水和防洪保护设施的质量检查和验收。</w:t>
      </w:r>
    </w:p>
    <w:p w14:paraId="24545C5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5.7.2土方明挖工程完成后的质量检查和验收</w:t>
      </w:r>
    </w:p>
    <w:p w14:paraId="7D4A6A5F">
      <w:pPr>
        <w:snapToGrid w:val="0"/>
        <w:spacing w:line="300" w:lineRule="auto"/>
        <w:ind w:firstLine="420" w:firstLineChars="200"/>
        <w:rPr>
          <w:rFonts w:ascii="宋体" w:hAnsi="宋体" w:eastAsia="宋体"/>
          <w:szCs w:val="21"/>
        </w:rPr>
      </w:pPr>
      <w:r>
        <w:rPr>
          <w:rFonts w:hint="eastAsia" w:ascii="宋体" w:hAnsi="宋体" w:eastAsia="宋体"/>
          <w:szCs w:val="21"/>
        </w:rPr>
        <w:t>(1)土方基础明挖工程完成后，承包人应会同监理人进行以下各项质量检查和验收：</w:t>
      </w:r>
    </w:p>
    <w:p w14:paraId="78E748F7">
      <w:pPr>
        <w:snapToGrid w:val="0"/>
        <w:spacing w:line="300" w:lineRule="auto"/>
        <w:ind w:firstLine="420" w:firstLineChars="200"/>
        <w:rPr>
          <w:rFonts w:ascii="宋体" w:hAnsi="宋体" w:eastAsia="宋体"/>
          <w:szCs w:val="21"/>
        </w:rPr>
      </w:pPr>
      <w:r>
        <w:rPr>
          <w:rFonts w:hint="eastAsia" w:ascii="宋体" w:hAnsi="宋体" w:eastAsia="宋体"/>
          <w:szCs w:val="21"/>
        </w:rPr>
        <w:t>1)按施工图纸要求检查工程基础开挖面的平面尺寸、标高和场地平整度；</w:t>
      </w:r>
    </w:p>
    <w:p w14:paraId="61FCD4B0">
      <w:pPr>
        <w:snapToGrid w:val="0"/>
        <w:spacing w:line="300" w:lineRule="auto"/>
        <w:ind w:firstLine="420" w:firstLineChars="200"/>
        <w:rPr>
          <w:rFonts w:ascii="宋体" w:hAnsi="宋体" w:eastAsia="宋体"/>
          <w:szCs w:val="21"/>
        </w:rPr>
      </w:pPr>
      <w:r>
        <w:rPr>
          <w:rFonts w:hint="eastAsia" w:ascii="宋体" w:hAnsi="宋体" w:eastAsia="宋体"/>
          <w:szCs w:val="21"/>
        </w:rPr>
        <w:t>2)取样检测基础土的物理力学性质指标。</w:t>
      </w:r>
    </w:p>
    <w:p w14:paraId="6C0D4C36">
      <w:pPr>
        <w:snapToGrid w:val="0"/>
        <w:spacing w:line="300" w:lineRule="auto"/>
        <w:ind w:firstLine="420" w:firstLineChars="200"/>
        <w:rPr>
          <w:rFonts w:ascii="宋体" w:hAnsi="宋体" w:eastAsia="宋体"/>
          <w:szCs w:val="21"/>
        </w:rPr>
      </w:pPr>
      <w:r>
        <w:rPr>
          <w:rFonts w:hint="eastAsia" w:ascii="宋体" w:hAnsi="宋体" w:eastAsia="宋体"/>
          <w:szCs w:val="21"/>
        </w:rPr>
        <w:t>(2)基础面覆盖前的质量检验和验收：</w:t>
      </w:r>
    </w:p>
    <w:p w14:paraId="24271118">
      <w:pPr>
        <w:snapToGrid w:val="0"/>
        <w:spacing w:line="300" w:lineRule="auto"/>
        <w:ind w:firstLine="420" w:firstLineChars="200"/>
        <w:rPr>
          <w:rFonts w:ascii="宋体" w:hAnsi="宋体" w:eastAsia="宋体"/>
          <w:szCs w:val="21"/>
        </w:rPr>
      </w:pPr>
      <w:r>
        <w:rPr>
          <w:rFonts w:hint="eastAsia" w:ascii="宋体" w:hAnsi="宋体" w:eastAsia="宋体"/>
          <w:szCs w:val="21"/>
        </w:rPr>
        <w:t>1)基础面覆盖前，应复核检查基础面是否满足本章第6.7.3条第1款的规定；</w:t>
      </w:r>
    </w:p>
    <w:p w14:paraId="6850FC18">
      <w:pPr>
        <w:snapToGrid w:val="0"/>
        <w:spacing w:line="300" w:lineRule="auto"/>
        <w:ind w:firstLine="420" w:firstLineChars="200"/>
        <w:rPr>
          <w:rFonts w:ascii="宋体" w:hAnsi="宋体" w:eastAsia="宋体"/>
          <w:szCs w:val="21"/>
        </w:rPr>
      </w:pPr>
      <w:r>
        <w:rPr>
          <w:rFonts w:hint="eastAsia" w:ascii="宋体" w:hAnsi="宋体" w:eastAsia="宋体"/>
          <w:szCs w:val="21"/>
        </w:rPr>
        <w:t>2)对已开挖完成的土基基础开挖面，应在坝体(或砌体)填筑前清除表面的松土层，并按监理人批准的施工方法进行压实，受积水侵蚀软化的土壤应予清除，并应在监理人检验合格后立即进行覆盖；</w:t>
      </w:r>
    </w:p>
    <w:p w14:paraId="337C4259">
      <w:pPr>
        <w:snapToGrid w:val="0"/>
        <w:spacing w:line="300" w:lineRule="auto"/>
        <w:ind w:firstLine="420" w:firstLineChars="200"/>
        <w:rPr>
          <w:rFonts w:ascii="宋体" w:hAnsi="宋体" w:eastAsia="宋体"/>
          <w:szCs w:val="21"/>
        </w:rPr>
      </w:pPr>
      <w:r>
        <w:rPr>
          <w:rFonts w:hint="eastAsia" w:ascii="宋体" w:hAnsi="宋体" w:eastAsia="宋体"/>
          <w:szCs w:val="21"/>
        </w:rPr>
        <w:t>3)上述第(1)项基础面开挖完成后的检查验收，与本项规定的在基础面覆盖前进行的基础清理作业后的检验验收是检查和检验目的和性质不同的两次作业，未经监理人同意，承包人不得将这两次作业合并为一次完成。</w:t>
      </w:r>
    </w:p>
    <w:p w14:paraId="6ACD9D09">
      <w:pPr>
        <w:snapToGrid w:val="0"/>
        <w:spacing w:line="300" w:lineRule="auto"/>
        <w:ind w:firstLine="420" w:firstLineChars="200"/>
        <w:rPr>
          <w:rFonts w:ascii="宋体" w:hAnsi="宋体" w:eastAsia="宋体"/>
          <w:szCs w:val="21"/>
        </w:rPr>
      </w:pPr>
      <w:r>
        <w:rPr>
          <w:rFonts w:hint="eastAsia" w:ascii="宋体" w:hAnsi="宋体" w:eastAsia="宋体"/>
          <w:szCs w:val="21"/>
        </w:rPr>
        <w:t>(3)永久边坡的检查和验收：</w:t>
      </w:r>
    </w:p>
    <w:p w14:paraId="765CC0B4">
      <w:pPr>
        <w:snapToGrid w:val="0"/>
        <w:spacing w:line="300" w:lineRule="auto"/>
        <w:ind w:firstLine="420" w:firstLineChars="200"/>
        <w:rPr>
          <w:rFonts w:ascii="宋体" w:hAnsi="宋体" w:eastAsia="宋体"/>
          <w:szCs w:val="21"/>
        </w:rPr>
      </w:pPr>
      <w:r>
        <w:rPr>
          <w:rFonts w:hint="eastAsia" w:ascii="宋体" w:hAnsi="宋体" w:eastAsia="宋体"/>
          <w:szCs w:val="21"/>
        </w:rPr>
        <w:t>1)永久边坡的坡度和平整度的复测检查；</w:t>
      </w:r>
    </w:p>
    <w:p w14:paraId="4CA5CD2D">
      <w:pPr>
        <w:snapToGrid w:val="0"/>
        <w:spacing w:line="300" w:lineRule="auto"/>
        <w:ind w:firstLine="420" w:firstLineChars="200"/>
        <w:rPr>
          <w:rFonts w:ascii="宋体" w:hAnsi="宋体" w:eastAsia="宋体"/>
          <w:szCs w:val="21"/>
        </w:rPr>
      </w:pPr>
      <w:r>
        <w:rPr>
          <w:rFonts w:hint="eastAsia" w:ascii="宋体" w:hAnsi="宋体" w:eastAsia="宋体"/>
          <w:szCs w:val="21"/>
        </w:rPr>
        <w:t>2)边坡永久性排水沟道的坡度和尺寸的复测检查。</w:t>
      </w:r>
    </w:p>
    <w:p w14:paraId="5972405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5.7.3完工验收</w:t>
      </w:r>
    </w:p>
    <w:p w14:paraId="33C3998E">
      <w:pPr>
        <w:snapToGrid w:val="0"/>
        <w:spacing w:line="300" w:lineRule="auto"/>
        <w:ind w:firstLine="420" w:firstLineChars="200"/>
        <w:rPr>
          <w:rFonts w:ascii="宋体" w:hAnsi="宋体" w:eastAsia="宋体"/>
          <w:szCs w:val="21"/>
        </w:rPr>
      </w:pPr>
      <w:r>
        <w:rPr>
          <w:rFonts w:hint="eastAsia" w:ascii="宋体" w:hAnsi="宋体" w:eastAsia="宋体"/>
          <w:szCs w:val="21"/>
        </w:rPr>
        <w:t>各项土方明挖工程完工后，承包人应申请完工验收，并提交以下完工验收资料：</w:t>
      </w:r>
    </w:p>
    <w:p w14:paraId="4B4BD17B">
      <w:pPr>
        <w:snapToGrid w:val="0"/>
        <w:spacing w:line="300" w:lineRule="auto"/>
        <w:ind w:firstLine="420" w:firstLineChars="200"/>
        <w:rPr>
          <w:rFonts w:ascii="宋体" w:hAnsi="宋体" w:eastAsia="宋体"/>
          <w:szCs w:val="21"/>
        </w:rPr>
      </w:pPr>
      <w:r>
        <w:rPr>
          <w:rFonts w:hint="eastAsia" w:ascii="宋体" w:hAnsi="宋体" w:eastAsia="宋体"/>
          <w:szCs w:val="21"/>
        </w:rPr>
        <w:t>(1)土方明挖工程竣工平面和剖面图；</w:t>
      </w:r>
    </w:p>
    <w:p w14:paraId="62852306">
      <w:pPr>
        <w:snapToGrid w:val="0"/>
        <w:spacing w:line="300" w:lineRule="auto"/>
        <w:ind w:firstLine="420" w:firstLineChars="200"/>
        <w:rPr>
          <w:rFonts w:ascii="宋体" w:hAnsi="宋体" w:eastAsia="宋体"/>
          <w:szCs w:val="21"/>
        </w:rPr>
      </w:pPr>
      <w:r>
        <w:rPr>
          <w:rFonts w:hint="eastAsia" w:ascii="宋体" w:hAnsi="宋体" w:eastAsia="宋体"/>
          <w:szCs w:val="21"/>
        </w:rPr>
        <w:t>(2)质量检查和验收记录；</w:t>
      </w:r>
    </w:p>
    <w:p w14:paraId="6D97F05E">
      <w:pPr>
        <w:snapToGrid w:val="0"/>
        <w:spacing w:line="300" w:lineRule="auto"/>
        <w:ind w:firstLine="420" w:firstLineChars="200"/>
        <w:rPr>
          <w:rFonts w:ascii="宋体" w:hAnsi="宋体" w:eastAsia="宋体"/>
          <w:szCs w:val="21"/>
        </w:rPr>
      </w:pPr>
      <w:r>
        <w:rPr>
          <w:rFonts w:hint="eastAsia" w:ascii="宋体" w:hAnsi="宋体" w:eastAsia="宋体"/>
          <w:szCs w:val="21"/>
        </w:rPr>
        <w:t>(3)监理人要求提供的其它资料。</w:t>
      </w:r>
    </w:p>
    <w:p w14:paraId="4F5A7909">
      <w:pPr>
        <w:adjustRightInd w:val="0"/>
        <w:snapToGrid w:val="0"/>
        <w:spacing w:before="134" w:beforeLines="25" w:line="300" w:lineRule="auto"/>
        <w:outlineLvl w:val="1"/>
        <w:rPr>
          <w:rFonts w:ascii="宋体" w:hAnsi="宋体" w:eastAsia="宋体"/>
          <w:b/>
          <w:bCs/>
          <w:sz w:val="24"/>
          <w:szCs w:val="24"/>
        </w:rPr>
      </w:pPr>
      <w:bookmarkStart w:id="1378" w:name="第06章08"/>
      <w:bookmarkEnd w:id="1378"/>
      <w:bookmarkStart w:id="1379" w:name="_Hlt268513356"/>
      <w:r>
        <w:rPr>
          <w:rFonts w:hint="eastAsia" w:ascii="宋体" w:hAnsi="宋体" w:eastAsia="宋体"/>
          <w:b/>
          <w:bCs/>
          <w:sz w:val="24"/>
          <w:szCs w:val="24"/>
        </w:rPr>
        <w:t>5.8计量和支付</w:t>
      </w:r>
    </w:p>
    <w:bookmarkEnd w:id="1379"/>
    <w:p w14:paraId="3B06E747">
      <w:pPr>
        <w:snapToGrid w:val="0"/>
        <w:spacing w:line="300" w:lineRule="auto"/>
        <w:ind w:firstLine="420" w:firstLineChars="200"/>
        <w:rPr>
          <w:rFonts w:ascii="宋体" w:hAnsi="宋体" w:eastAsia="宋体"/>
          <w:szCs w:val="21"/>
        </w:rPr>
      </w:pPr>
      <w:r>
        <w:rPr>
          <w:rFonts w:hint="eastAsia" w:ascii="宋体" w:hAnsi="宋体" w:eastAsia="宋体"/>
          <w:szCs w:val="21"/>
        </w:rPr>
        <w:t>(1)场地平整费用，应包含在《工程量清单》各具体工程项目有效工程量的工程单价中，发包人不另行支付。</w:t>
      </w:r>
    </w:p>
    <w:p w14:paraId="53C728DC">
      <w:pPr>
        <w:snapToGrid w:val="0"/>
        <w:spacing w:line="300" w:lineRule="auto"/>
        <w:ind w:firstLine="420" w:firstLineChars="200"/>
        <w:rPr>
          <w:rFonts w:ascii="宋体" w:hAnsi="宋体" w:eastAsia="宋体"/>
          <w:szCs w:val="21"/>
        </w:rPr>
      </w:pPr>
      <w:r>
        <w:rPr>
          <w:rFonts w:hint="eastAsia" w:ascii="宋体" w:hAnsi="宋体" w:eastAsia="宋体"/>
          <w:szCs w:val="21"/>
        </w:rPr>
        <w:t>(2)一般土方开挖、淤泥流砂开挖、沟槽开挖和柱坑开挖按施工图纸所示开挖轮廓尺寸计算的有效自然方体积以立方米为单位计量，由发包人按《工程量清单》相应项目有效工程量的每立方米工程单价支付。</w:t>
      </w:r>
    </w:p>
    <w:p w14:paraId="723C435E">
      <w:pPr>
        <w:snapToGrid w:val="0"/>
        <w:spacing w:line="300" w:lineRule="auto"/>
        <w:ind w:firstLine="420" w:firstLineChars="200"/>
        <w:rPr>
          <w:rFonts w:ascii="宋体" w:hAnsi="宋体" w:eastAsia="宋体"/>
          <w:szCs w:val="21"/>
        </w:rPr>
      </w:pPr>
      <w:r>
        <w:rPr>
          <w:rFonts w:hint="eastAsia" w:ascii="宋体" w:hAnsi="宋体" w:eastAsia="宋体"/>
          <w:szCs w:val="21"/>
        </w:rPr>
        <w:t>(3)塌方清理按施工图纸所示开挖轮廓尺寸计算的有效塌方堆方体积以立方米为单位计量，由发包人按《工程量清单》相应项目有效工程量的每立方米工程单价支付。</w:t>
      </w:r>
    </w:p>
    <w:p w14:paraId="5976A2B7">
      <w:pPr>
        <w:snapToGrid w:val="0"/>
        <w:spacing w:line="300" w:lineRule="auto"/>
        <w:ind w:firstLine="420" w:firstLineChars="200"/>
        <w:rPr>
          <w:rFonts w:ascii="宋体" w:hAnsi="宋体" w:eastAsia="宋体"/>
          <w:szCs w:val="21"/>
        </w:rPr>
      </w:pPr>
      <w:r>
        <w:rPr>
          <w:rFonts w:hint="eastAsia" w:ascii="宋体" w:hAnsi="宋体" w:eastAsia="宋体"/>
          <w:szCs w:val="21"/>
        </w:rPr>
        <w:t>(4)承包人完成本章第5.2.1条所列的“植被清理”工作所需的费用，包含在《工程量清单》相应土方明挖项目有效工程量的每立方米工程单价中，发包人不另行支付。</w:t>
      </w:r>
    </w:p>
    <w:p w14:paraId="7E3AA828">
      <w:pPr>
        <w:snapToGrid w:val="0"/>
        <w:spacing w:line="300" w:lineRule="auto"/>
        <w:ind w:firstLine="420" w:firstLineChars="200"/>
        <w:rPr>
          <w:rFonts w:ascii="宋体" w:hAnsi="宋体" w:eastAsia="宋体"/>
          <w:szCs w:val="21"/>
        </w:rPr>
      </w:pPr>
      <w:r>
        <w:rPr>
          <w:rFonts w:hint="eastAsia" w:ascii="宋体" w:hAnsi="宋体" w:eastAsia="宋体"/>
          <w:szCs w:val="21"/>
        </w:rPr>
        <w:t>(5)土方明挖工程单价包括承包人按合同要求完成场地清理，测量放样，临时性排水措施(包括排水设备的安拆、运行和维修)，土方开挖、装卸和运输1km以内，边坡整治和稳定观测，基础、边坡面的检查和验收。淤泥及弃土外运指将淤泥或废弃的土方运至7km以内监理人指定的堆放区并加以保护、处理等工作所需的费用。</w:t>
      </w:r>
    </w:p>
    <w:p w14:paraId="1E6D9FE5">
      <w:pPr>
        <w:snapToGrid w:val="0"/>
        <w:spacing w:line="300" w:lineRule="auto"/>
        <w:ind w:firstLine="420" w:firstLineChars="200"/>
        <w:rPr>
          <w:rFonts w:ascii="宋体" w:hAnsi="宋体" w:eastAsia="宋体"/>
          <w:szCs w:val="21"/>
        </w:rPr>
      </w:pPr>
      <w:r>
        <w:rPr>
          <w:rFonts w:hint="eastAsia" w:ascii="宋体" w:hAnsi="宋体" w:eastAsia="宋体"/>
          <w:szCs w:val="21"/>
        </w:rPr>
        <w:t>(6)土方明挖开始前，承包人应根据监理人指示，测量开挖区的地形和计量剖面，经监理人检查确认后，作为计量支付的原始资料。土方明挖按施工图纸所示的轮廓尺寸计算有效自然方体积以立方米为单位计量，由发包人按《工程量清单》相应项目有效工程量的每立方米工程单价支付。施工过程中增加的超挖量和施工附加量所需的费用，应包含在《工程量清单》相应项目有效工程量的每立方米工程单价中，发包人不另行支付。</w:t>
      </w:r>
    </w:p>
    <w:p w14:paraId="5CDFD900">
      <w:pPr>
        <w:snapToGrid w:val="0"/>
        <w:spacing w:line="300" w:lineRule="auto"/>
        <w:ind w:firstLine="420" w:firstLineChars="200"/>
        <w:rPr>
          <w:rFonts w:ascii="宋体" w:hAnsi="宋体" w:eastAsia="宋体"/>
          <w:szCs w:val="21"/>
        </w:rPr>
      </w:pPr>
      <w:r>
        <w:rPr>
          <w:rFonts w:hint="eastAsia" w:ascii="宋体" w:hAnsi="宋体" w:eastAsia="宋体"/>
          <w:szCs w:val="21"/>
        </w:rPr>
        <w:t>(7)除合同另有约定外，开采土料或砂砾料(包括取土、含水量调整、弃土处理、土料运输和堆放等工作)所需的费用，包含在《工程量清单》相应项目有效工程量的工程单价或总价中，发包人不另行支付。</w:t>
      </w:r>
    </w:p>
    <w:p w14:paraId="66B49C9C">
      <w:pPr>
        <w:snapToGrid w:val="0"/>
        <w:spacing w:line="300" w:lineRule="auto"/>
        <w:ind w:firstLine="420" w:firstLineChars="200"/>
        <w:rPr>
          <w:rFonts w:ascii="宋体" w:hAnsi="宋体" w:eastAsia="宋体"/>
          <w:szCs w:val="21"/>
        </w:rPr>
      </w:pPr>
      <w:r>
        <w:rPr>
          <w:rFonts w:hint="eastAsia" w:ascii="宋体" w:hAnsi="宋体" w:eastAsia="宋体"/>
          <w:szCs w:val="21"/>
        </w:rPr>
        <w:t>(8)除合同另有约定外，承包人在料场开采结束后完成开采区清理、恢复和绿化等工作所需的费用，应包含在《工程量清单》各具体工程项目有效工程量的工程单价中，发包人不另行支付。</w:t>
      </w:r>
    </w:p>
    <w:p w14:paraId="0B5E9547">
      <w:pPr>
        <w:snapToGrid w:val="0"/>
        <w:spacing w:line="300" w:lineRule="auto"/>
        <w:ind w:firstLine="420" w:firstLineChars="200"/>
        <w:rPr>
          <w:rFonts w:ascii="宋体" w:hAnsi="宋体" w:eastAsia="宋体"/>
          <w:szCs w:val="21"/>
        </w:rPr>
        <w:sectPr>
          <w:pgSz w:w="11907" w:h="16840"/>
          <w:pgMar w:top="1418" w:right="1418" w:bottom="1418" w:left="1418" w:header="851" w:footer="851" w:gutter="0"/>
          <w:cols w:space="720" w:num="1"/>
          <w:docGrid w:type="linesAndChars" w:linePitch="537" w:charSpace="0"/>
        </w:sectPr>
      </w:pPr>
    </w:p>
    <w:p w14:paraId="04AB8685">
      <w:pPr>
        <w:pStyle w:val="3"/>
        <w:keepNext w:val="0"/>
        <w:keepLines w:val="0"/>
        <w:spacing w:before="0" w:after="0" w:line="480" w:lineRule="auto"/>
        <w:jc w:val="center"/>
        <w:rPr>
          <w:rFonts w:ascii="宋体" w:hAnsi="宋体" w:eastAsia="宋体" w:cs="宋体"/>
          <w:sz w:val="28"/>
          <w:szCs w:val="28"/>
        </w:rPr>
      </w:pPr>
      <w:bookmarkStart w:id="1380" w:name="_Toc455652110"/>
      <w:bookmarkStart w:id="1381" w:name="_Toc455650105"/>
      <w:bookmarkStart w:id="1382" w:name="_Toc24561"/>
      <w:r>
        <w:rPr>
          <w:rFonts w:hint="eastAsia" w:ascii="宋体" w:hAnsi="宋体" w:eastAsia="宋体" w:cs="宋体"/>
          <w:sz w:val="28"/>
          <w:szCs w:val="28"/>
        </w:rPr>
        <w:t>第6节 土方填筑工程</w:t>
      </w:r>
      <w:bookmarkEnd w:id="1380"/>
      <w:bookmarkEnd w:id="1381"/>
      <w:bookmarkEnd w:id="1382"/>
    </w:p>
    <w:p w14:paraId="4CCF4882">
      <w:pPr>
        <w:adjustRightInd w:val="0"/>
        <w:snapToGrid w:val="0"/>
        <w:spacing w:before="134" w:beforeLines="25" w:line="300" w:lineRule="auto"/>
        <w:outlineLvl w:val="1"/>
        <w:rPr>
          <w:rFonts w:ascii="宋体" w:hAnsi="宋体" w:eastAsia="宋体"/>
          <w:b/>
          <w:bCs/>
          <w:sz w:val="24"/>
          <w:szCs w:val="24"/>
        </w:rPr>
      </w:pPr>
      <w:bookmarkStart w:id="1383" w:name="_Toc455652111"/>
      <w:bookmarkStart w:id="1384" w:name="_Toc455650106"/>
      <w:bookmarkStart w:id="1385" w:name="_Toc455494731"/>
      <w:bookmarkStart w:id="1386" w:name="_Toc453706501"/>
      <w:bookmarkStart w:id="1387" w:name="_Toc455651092"/>
      <w:bookmarkStart w:id="1388" w:name="_Toc453706983"/>
      <w:r>
        <w:rPr>
          <w:rFonts w:hint="eastAsia" w:ascii="宋体" w:hAnsi="宋体" w:eastAsia="宋体"/>
          <w:b/>
          <w:bCs/>
          <w:sz w:val="24"/>
          <w:szCs w:val="24"/>
        </w:rPr>
        <w:t>6.1一般规定</w:t>
      </w:r>
      <w:bookmarkEnd w:id="1383"/>
      <w:bookmarkEnd w:id="1384"/>
      <w:bookmarkEnd w:id="1385"/>
      <w:bookmarkEnd w:id="1386"/>
      <w:bookmarkEnd w:id="1387"/>
      <w:bookmarkEnd w:id="1388"/>
    </w:p>
    <w:p w14:paraId="028FFC2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6.1.1应用范围</w:t>
      </w:r>
    </w:p>
    <w:p w14:paraId="0FC4D62B">
      <w:pPr>
        <w:numPr>
          <w:ilvl w:val="0"/>
          <w:numId w:val="1"/>
        </w:numPr>
        <w:snapToGrid w:val="0"/>
        <w:spacing w:line="300" w:lineRule="auto"/>
        <w:ind w:firstLine="420" w:firstLineChars="200"/>
        <w:rPr>
          <w:rFonts w:ascii="宋体" w:hAnsi="宋体" w:eastAsia="宋体"/>
          <w:szCs w:val="21"/>
        </w:rPr>
      </w:pPr>
      <w:r>
        <w:rPr>
          <w:rFonts w:hint="eastAsia" w:ascii="宋体" w:hAnsi="宋体" w:eastAsia="宋体"/>
          <w:szCs w:val="21"/>
        </w:rPr>
        <w:t>本章规定适用于本工程施工图纸所示的渠道、建筑物及其它填筑工程的施工。其工作内容包括：土石方料物平衡；土料开采、加工和运输；填筑、碾压和接缝处理；排水设施和护坡以及各项工作内容的质量检查和验收等。</w:t>
      </w:r>
    </w:p>
    <w:p w14:paraId="0540EC75">
      <w:pPr>
        <w:snapToGrid w:val="0"/>
        <w:spacing w:line="300" w:lineRule="auto"/>
        <w:ind w:firstLine="420" w:firstLineChars="200"/>
        <w:rPr>
          <w:rFonts w:ascii="宋体" w:hAnsi="宋体" w:eastAsia="宋体"/>
          <w:szCs w:val="21"/>
        </w:rPr>
      </w:pPr>
      <w:r>
        <w:rPr>
          <w:rFonts w:hint="eastAsia" w:ascii="宋体" w:hAnsi="宋体" w:eastAsia="宋体"/>
          <w:szCs w:val="21"/>
        </w:rPr>
        <w:t>(2) 其工作内容包括：土石方料物平衡；土料开采、加工和运输；填筑、碾压和接缝处理；排水设施和护坡以及各项工作内容的质量检查和验收等。</w:t>
      </w:r>
    </w:p>
    <w:p w14:paraId="5F4EE62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6.1.2承包人的责任</w:t>
      </w:r>
    </w:p>
    <w:p w14:paraId="506B6C39">
      <w:pPr>
        <w:snapToGrid w:val="0"/>
        <w:spacing w:line="300" w:lineRule="auto"/>
        <w:ind w:firstLine="420" w:firstLineChars="200"/>
        <w:rPr>
          <w:rFonts w:ascii="宋体" w:hAnsi="宋体" w:eastAsia="宋体"/>
          <w:szCs w:val="21"/>
        </w:rPr>
      </w:pPr>
      <w:r>
        <w:rPr>
          <w:rFonts w:hint="eastAsia" w:ascii="宋体" w:hAnsi="宋体" w:eastAsia="宋体"/>
          <w:szCs w:val="21"/>
        </w:rPr>
        <w:t>(1) 承包人应根据本工程土料场的统一规划，以及工程施工总进度的安排，做好建筑物开挖料、料场开采料和渠堤填筑料的供求平衡。</w:t>
      </w:r>
    </w:p>
    <w:p w14:paraId="6C2D5146">
      <w:pPr>
        <w:snapToGrid w:val="0"/>
        <w:spacing w:line="300" w:lineRule="auto"/>
        <w:ind w:firstLine="420" w:firstLineChars="200"/>
        <w:rPr>
          <w:rFonts w:ascii="宋体" w:hAnsi="宋体" w:eastAsia="宋体"/>
          <w:szCs w:val="21"/>
        </w:rPr>
      </w:pPr>
      <w:r>
        <w:rPr>
          <w:rFonts w:hint="eastAsia" w:ascii="宋体" w:hAnsi="宋体" w:eastAsia="宋体"/>
          <w:szCs w:val="21"/>
        </w:rPr>
        <w:t>(2) 承包人应按施工图纸的要求，负责土工合成材料的采购、验收、运输和保管，并按本技术条款的规定，完成土工合成材料防渗结构的全部施工作业。</w:t>
      </w:r>
    </w:p>
    <w:p w14:paraId="67DCE3F5">
      <w:pPr>
        <w:snapToGrid w:val="0"/>
        <w:spacing w:line="300" w:lineRule="auto"/>
        <w:ind w:firstLine="420" w:firstLineChars="200"/>
        <w:rPr>
          <w:rFonts w:ascii="宋体" w:hAnsi="宋体" w:eastAsia="宋体"/>
          <w:szCs w:val="21"/>
        </w:rPr>
      </w:pPr>
      <w:r>
        <w:rPr>
          <w:rFonts w:hint="eastAsia" w:ascii="宋体" w:hAnsi="宋体" w:eastAsia="宋体"/>
          <w:szCs w:val="21"/>
        </w:rPr>
        <w:t>(3) 在施工过程中，承包人应做到渠堤坡面及建筑物施工的合理安排，填筑面层次分明，作业面平整填筑竣工后，应修整渠堤外坡面，使其坡面平整，颜色均匀。</w:t>
      </w:r>
    </w:p>
    <w:p w14:paraId="4012ADCD">
      <w:pPr>
        <w:snapToGrid w:val="0"/>
        <w:spacing w:line="300" w:lineRule="auto"/>
        <w:ind w:firstLine="420" w:firstLineChars="200"/>
        <w:rPr>
          <w:rFonts w:ascii="宋体" w:hAnsi="宋体" w:eastAsia="宋体"/>
          <w:szCs w:val="21"/>
        </w:rPr>
      </w:pPr>
      <w:r>
        <w:rPr>
          <w:rFonts w:hint="eastAsia" w:ascii="宋体" w:hAnsi="宋体" w:eastAsia="宋体"/>
          <w:szCs w:val="21"/>
        </w:rPr>
        <w:t>(4) 在填筑过程中，承包人应采取有效措施，保护已埋设仪器和测量标志。</w:t>
      </w:r>
    </w:p>
    <w:p w14:paraId="429B8E6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6.1.3主要提交件</w:t>
      </w:r>
    </w:p>
    <w:p w14:paraId="0C54183B">
      <w:pPr>
        <w:snapToGrid w:val="0"/>
        <w:spacing w:line="300" w:lineRule="auto"/>
        <w:ind w:firstLine="420" w:firstLineChars="200"/>
        <w:rPr>
          <w:rFonts w:ascii="宋体" w:hAnsi="宋体" w:eastAsia="宋体"/>
          <w:szCs w:val="21"/>
        </w:rPr>
      </w:pPr>
      <w:r>
        <w:rPr>
          <w:rFonts w:hint="eastAsia" w:ascii="宋体" w:hAnsi="宋体" w:eastAsia="宋体"/>
          <w:szCs w:val="21"/>
        </w:rPr>
        <w:t>（1）土方填筑施工措施计划</w:t>
      </w:r>
    </w:p>
    <w:p w14:paraId="2873F44F">
      <w:pPr>
        <w:snapToGrid w:val="0"/>
        <w:spacing w:line="300" w:lineRule="auto"/>
        <w:ind w:firstLine="420" w:firstLineChars="200"/>
        <w:rPr>
          <w:rFonts w:ascii="宋体" w:hAnsi="宋体" w:eastAsia="宋体"/>
          <w:szCs w:val="21"/>
        </w:rPr>
      </w:pPr>
      <w:r>
        <w:rPr>
          <w:rFonts w:hint="eastAsia" w:ascii="宋体" w:hAnsi="宋体" w:eastAsia="宋体"/>
          <w:szCs w:val="21"/>
        </w:rPr>
        <w:t>在土石方填筑工程开工前7天，承包人应按施工图纸要求和监理人指示，编制土方填筑施工措施计划，提交监理人批准。其内容包括：</w:t>
      </w:r>
    </w:p>
    <w:p w14:paraId="4A97551B">
      <w:pPr>
        <w:snapToGrid w:val="0"/>
        <w:spacing w:line="300" w:lineRule="auto"/>
        <w:ind w:firstLine="420" w:firstLineChars="200"/>
        <w:rPr>
          <w:rFonts w:ascii="宋体" w:hAnsi="宋体" w:eastAsia="宋体"/>
          <w:szCs w:val="21"/>
        </w:rPr>
      </w:pPr>
      <w:r>
        <w:rPr>
          <w:rFonts w:hint="eastAsia" w:ascii="宋体" w:hAnsi="宋体" w:eastAsia="宋体"/>
          <w:szCs w:val="21"/>
        </w:rPr>
        <w:t>1)渠堤体填筑分期、料物分区图；</w:t>
      </w:r>
    </w:p>
    <w:p w14:paraId="56118C70">
      <w:pPr>
        <w:snapToGrid w:val="0"/>
        <w:spacing w:line="300" w:lineRule="auto"/>
        <w:ind w:firstLine="420" w:firstLineChars="200"/>
        <w:rPr>
          <w:rFonts w:ascii="宋体" w:hAnsi="宋体" w:eastAsia="宋体"/>
          <w:szCs w:val="21"/>
        </w:rPr>
      </w:pPr>
      <w:r>
        <w:rPr>
          <w:rFonts w:hint="eastAsia" w:ascii="宋体" w:hAnsi="宋体" w:eastAsia="宋体"/>
          <w:szCs w:val="21"/>
        </w:rPr>
        <w:t>2)土石方填筑程序和方法；</w:t>
      </w:r>
    </w:p>
    <w:p w14:paraId="1B69DDA5">
      <w:pPr>
        <w:snapToGrid w:val="0"/>
        <w:spacing w:line="300" w:lineRule="auto"/>
        <w:ind w:firstLine="420" w:firstLineChars="200"/>
        <w:rPr>
          <w:rFonts w:ascii="宋体" w:hAnsi="宋体" w:eastAsia="宋体"/>
          <w:szCs w:val="21"/>
        </w:rPr>
      </w:pPr>
      <w:r>
        <w:rPr>
          <w:rFonts w:hint="eastAsia" w:ascii="宋体" w:hAnsi="宋体" w:eastAsia="宋体"/>
          <w:szCs w:val="21"/>
        </w:rPr>
        <w:t>3)料场复查报告、各种填料加工的工艺和料物供应；</w:t>
      </w:r>
    </w:p>
    <w:p w14:paraId="0588EA34">
      <w:pPr>
        <w:snapToGrid w:val="0"/>
        <w:spacing w:line="300" w:lineRule="auto"/>
        <w:ind w:firstLine="420" w:firstLineChars="200"/>
        <w:rPr>
          <w:rFonts w:ascii="宋体" w:hAnsi="宋体" w:eastAsia="宋体"/>
          <w:szCs w:val="21"/>
        </w:rPr>
      </w:pPr>
      <w:r>
        <w:rPr>
          <w:rFonts w:hint="eastAsia" w:ascii="宋体" w:hAnsi="宋体" w:eastAsia="宋体"/>
          <w:szCs w:val="21"/>
        </w:rPr>
        <w:t>4)土方平衡计划；</w:t>
      </w:r>
    </w:p>
    <w:p w14:paraId="16BF3638">
      <w:pPr>
        <w:snapToGrid w:val="0"/>
        <w:spacing w:line="300" w:lineRule="auto"/>
        <w:ind w:firstLine="420" w:firstLineChars="200"/>
        <w:rPr>
          <w:rFonts w:ascii="宋体" w:hAnsi="宋体" w:eastAsia="宋体"/>
          <w:szCs w:val="21"/>
        </w:rPr>
      </w:pPr>
      <w:r>
        <w:rPr>
          <w:rFonts w:hint="eastAsia" w:ascii="宋体" w:hAnsi="宋体" w:eastAsia="宋体"/>
          <w:szCs w:val="21"/>
        </w:rPr>
        <w:t>5)施工设备、设施配置；</w:t>
      </w:r>
    </w:p>
    <w:p w14:paraId="51DD3C35">
      <w:pPr>
        <w:snapToGrid w:val="0"/>
        <w:spacing w:line="300" w:lineRule="auto"/>
        <w:ind w:firstLine="420" w:firstLineChars="200"/>
        <w:rPr>
          <w:rFonts w:ascii="宋体" w:hAnsi="宋体" w:eastAsia="宋体"/>
          <w:szCs w:val="21"/>
        </w:rPr>
      </w:pPr>
      <w:r>
        <w:rPr>
          <w:rFonts w:hint="eastAsia" w:ascii="宋体" w:hAnsi="宋体" w:eastAsia="宋体"/>
          <w:szCs w:val="21"/>
        </w:rPr>
        <w:t>6)质量控制和安全保证措施；</w:t>
      </w:r>
    </w:p>
    <w:p w14:paraId="6D5CCE09">
      <w:pPr>
        <w:snapToGrid w:val="0"/>
        <w:spacing w:line="300" w:lineRule="auto"/>
        <w:ind w:firstLine="420" w:firstLineChars="200"/>
        <w:rPr>
          <w:rFonts w:ascii="宋体" w:hAnsi="宋体" w:eastAsia="宋体"/>
          <w:szCs w:val="21"/>
        </w:rPr>
      </w:pPr>
      <w:r>
        <w:rPr>
          <w:rFonts w:hint="eastAsia" w:ascii="宋体" w:hAnsi="宋体" w:eastAsia="宋体"/>
          <w:szCs w:val="21"/>
        </w:rPr>
        <w:t>7)施工进度计划；</w:t>
      </w:r>
    </w:p>
    <w:p w14:paraId="636BC9CE">
      <w:pPr>
        <w:snapToGrid w:val="0"/>
        <w:spacing w:line="300" w:lineRule="auto"/>
        <w:ind w:firstLine="420" w:firstLineChars="200"/>
        <w:rPr>
          <w:rFonts w:ascii="宋体" w:hAnsi="宋体" w:eastAsia="宋体"/>
          <w:szCs w:val="21"/>
        </w:rPr>
      </w:pPr>
      <w:r>
        <w:rPr>
          <w:rFonts w:hint="eastAsia" w:ascii="宋体" w:hAnsi="宋体" w:eastAsia="宋体"/>
          <w:szCs w:val="21"/>
        </w:rPr>
        <w:t>8)监理人要求提交的其它文件和资料。</w:t>
      </w:r>
    </w:p>
    <w:p w14:paraId="1A194016">
      <w:pPr>
        <w:snapToGrid w:val="0"/>
        <w:spacing w:line="300" w:lineRule="auto"/>
        <w:ind w:firstLine="420" w:firstLineChars="200"/>
        <w:rPr>
          <w:rFonts w:ascii="宋体" w:hAnsi="宋体" w:eastAsia="宋体"/>
          <w:szCs w:val="21"/>
        </w:rPr>
      </w:pPr>
      <w:r>
        <w:rPr>
          <w:rFonts w:hint="eastAsia" w:ascii="宋体" w:hAnsi="宋体" w:eastAsia="宋体"/>
          <w:szCs w:val="21"/>
        </w:rPr>
        <w:t>（2）地形测量资料</w:t>
      </w:r>
    </w:p>
    <w:p w14:paraId="0AE5D348">
      <w:pPr>
        <w:snapToGrid w:val="0"/>
        <w:spacing w:line="300" w:lineRule="auto"/>
        <w:ind w:firstLine="420" w:firstLineChars="200"/>
        <w:rPr>
          <w:rFonts w:ascii="宋体" w:hAnsi="宋体" w:eastAsia="宋体"/>
          <w:szCs w:val="21"/>
        </w:rPr>
      </w:pPr>
      <w:r>
        <w:rPr>
          <w:rFonts w:hint="eastAsia" w:ascii="宋体" w:hAnsi="宋体" w:eastAsia="宋体"/>
          <w:szCs w:val="21"/>
        </w:rPr>
        <w:t>土方填筑工程开工前3天，承包人应将填筑区基础开挖验收后实测的平、剖面地形测量资料报送监理人，经监理人验收的地形测量资料作为填筑工程量计量的原始依据。</w:t>
      </w:r>
    </w:p>
    <w:p w14:paraId="08FE142D">
      <w:pPr>
        <w:snapToGrid w:val="0"/>
        <w:spacing w:line="300" w:lineRule="auto"/>
        <w:ind w:firstLine="420" w:firstLineChars="200"/>
        <w:rPr>
          <w:rFonts w:ascii="宋体" w:hAnsi="宋体" w:eastAsia="宋体"/>
          <w:szCs w:val="21"/>
        </w:rPr>
      </w:pPr>
      <w:r>
        <w:rPr>
          <w:rFonts w:hint="eastAsia" w:ascii="宋体" w:hAnsi="宋体" w:eastAsia="宋体"/>
          <w:szCs w:val="21"/>
        </w:rPr>
        <w:t>（3）现场试验计划和试验成果报告</w:t>
      </w:r>
    </w:p>
    <w:p w14:paraId="5F3072CC">
      <w:pPr>
        <w:snapToGrid w:val="0"/>
        <w:spacing w:line="300" w:lineRule="auto"/>
        <w:ind w:firstLine="420" w:firstLineChars="200"/>
        <w:rPr>
          <w:rFonts w:ascii="宋体" w:hAnsi="宋体" w:eastAsia="宋体"/>
          <w:szCs w:val="21"/>
        </w:rPr>
      </w:pPr>
      <w:r>
        <w:rPr>
          <w:rFonts w:hint="eastAsia" w:ascii="宋体" w:hAnsi="宋体" w:eastAsia="宋体"/>
          <w:szCs w:val="21"/>
        </w:rPr>
        <w:t>土方填筑工程开工前7天，承包人应根据本章第6.2节获得的料场复查资料，以及根据料场平衡计划中提供的各种土石方填筑料源，将本章第6.3节所列的现场试验计划，提交监理人批准。试验成果应及时提交监理人。</w:t>
      </w:r>
    </w:p>
    <w:p w14:paraId="5A599C7E">
      <w:pPr>
        <w:snapToGrid w:val="0"/>
        <w:spacing w:line="300" w:lineRule="auto"/>
        <w:ind w:firstLine="420" w:firstLineChars="200"/>
        <w:rPr>
          <w:rFonts w:ascii="宋体" w:hAnsi="宋体" w:eastAsia="宋体"/>
          <w:szCs w:val="21"/>
        </w:rPr>
      </w:pPr>
      <w:r>
        <w:rPr>
          <w:rFonts w:hint="eastAsia" w:ascii="宋体" w:hAnsi="宋体" w:eastAsia="宋体"/>
          <w:szCs w:val="21"/>
        </w:rPr>
        <w:t>（4）土工合成材料选择和施工措施</w:t>
      </w:r>
    </w:p>
    <w:p w14:paraId="48CBE384">
      <w:pPr>
        <w:snapToGrid w:val="0"/>
        <w:spacing w:line="300" w:lineRule="auto"/>
        <w:ind w:firstLine="420" w:firstLineChars="200"/>
        <w:rPr>
          <w:rFonts w:ascii="宋体" w:hAnsi="宋体" w:eastAsia="宋体"/>
          <w:szCs w:val="21"/>
        </w:rPr>
      </w:pPr>
      <w:r>
        <w:rPr>
          <w:rFonts w:hint="eastAsia" w:ascii="宋体" w:hAnsi="宋体" w:eastAsia="宋体"/>
          <w:szCs w:val="21"/>
        </w:rPr>
        <w:t>当土方填筑工程采用土工合成材料作防渗结构或反滤、排水设施时，承包人应将土工合成材料选择和施工措施报告，提交监理人批准。</w:t>
      </w:r>
    </w:p>
    <w:p w14:paraId="6915D58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6.1.4引用标准</w:t>
      </w:r>
    </w:p>
    <w:p w14:paraId="5AC87244">
      <w:pPr>
        <w:snapToGrid w:val="0"/>
        <w:spacing w:line="300" w:lineRule="auto"/>
        <w:ind w:firstLine="420" w:firstLineChars="200"/>
        <w:rPr>
          <w:rFonts w:ascii="宋体" w:hAnsi="宋体" w:eastAsia="宋体"/>
          <w:szCs w:val="21"/>
        </w:rPr>
      </w:pPr>
      <w:r>
        <w:rPr>
          <w:rFonts w:hint="eastAsia" w:ascii="宋体" w:hAnsi="宋体" w:eastAsia="宋体"/>
          <w:szCs w:val="21"/>
        </w:rPr>
        <w:t>(1）《土工合成材料应用技术规范》（GB/T50290-2014) ；</w:t>
      </w:r>
    </w:p>
    <w:p w14:paraId="4D840E0C">
      <w:pPr>
        <w:snapToGrid w:val="0"/>
        <w:spacing w:line="300" w:lineRule="auto"/>
        <w:ind w:firstLine="420" w:firstLineChars="200"/>
        <w:rPr>
          <w:rFonts w:ascii="宋体" w:hAnsi="宋体" w:eastAsia="宋体"/>
          <w:szCs w:val="21"/>
        </w:rPr>
      </w:pPr>
      <w:r>
        <w:rPr>
          <w:rFonts w:hint="eastAsia" w:ascii="宋体" w:hAnsi="宋体" w:eastAsia="宋体"/>
          <w:szCs w:val="21"/>
        </w:rPr>
        <w:t>(2）《水利水电工程施工组织设计规范》（SL303—2017)；</w:t>
      </w:r>
    </w:p>
    <w:p w14:paraId="15595C7F">
      <w:pPr>
        <w:snapToGrid w:val="0"/>
        <w:spacing w:line="300" w:lineRule="auto"/>
        <w:ind w:firstLine="420" w:firstLineChars="200"/>
        <w:rPr>
          <w:rFonts w:ascii="宋体" w:hAnsi="宋体" w:eastAsia="宋体"/>
          <w:szCs w:val="21"/>
        </w:rPr>
      </w:pPr>
      <w:r>
        <w:rPr>
          <w:rFonts w:hint="eastAsia" w:ascii="宋体" w:hAnsi="宋体" w:eastAsia="宋体"/>
          <w:szCs w:val="21"/>
        </w:rPr>
        <w:t>(3）《水利水电工程天然建筑材料勘察规程》（SL 251—2015）；</w:t>
      </w:r>
    </w:p>
    <w:p w14:paraId="5CD67AA0">
      <w:pPr>
        <w:snapToGrid w:val="0"/>
        <w:spacing w:line="300" w:lineRule="auto"/>
        <w:ind w:firstLine="420" w:firstLineChars="200"/>
        <w:rPr>
          <w:rFonts w:ascii="宋体" w:hAnsi="宋体" w:eastAsia="宋体"/>
          <w:szCs w:val="21"/>
        </w:rPr>
      </w:pPr>
      <w:r>
        <w:rPr>
          <w:rFonts w:hint="eastAsia" w:ascii="宋体" w:hAnsi="宋体" w:eastAsia="宋体"/>
          <w:szCs w:val="21"/>
        </w:rPr>
        <w:t>(4）《土工试验规程》（SL 237—1999 ) ；</w:t>
      </w:r>
    </w:p>
    <w:p w14:paraId="13560436">
      <w:pPr>
        <w:snapToGrid w:val="0"/>
        <w:spacing w:line="300" w:lineRule="auto"/>
        <w:ind w:firstLine="420" w:firstLineChars="200"/>
        <w:rPr>
          <w:rFonts w:ascii="宋体" w:hAnsi="宋体" w:eastAsia="宋体"/>
          <w:szCs w:val="21"/>
        </w:rPr>
      </w:pPr>
      <w:r>
        <w:rPr>
          <w:rFonts w:hint="eastAsia" w:ascii="宋体" w:hAnsi="宋体" w:eastAsia="宋体"/>
          <w:szCs w:val="21"/>
        </w:rPr>
        <w:t>(5）《土工合成材料测试规程》（SL235—2012 )；</w:t>
      </w:r>
    </w:p>
    <w:p w14:paraId="42DCD8E6">
      <w:pPr>
        <w:snapToGrid w:val="0"/>
        <w:spacing w:line="300" w:lineRule="auto"/>
        <w:ind w:firstLine="420" w:firstLineChars="200"/>
        <w:rPr>
          <w:rFonts w:ascii="宋体" w:hAnsi="宋体" w:eastAsia="宋体"/>
          <w:szCs w:val="21"/>
        </w:rPr>
      </w:pPr>
      <w:r>
        <w:rPr>
          <w:rFonts w:hint="eastAsia" w:ascii="宋体" w:hAnsi="宋体" w:eastAsia="宋体"/>
          <w:szCs w:val="21"/>
        </w:rPr>
        <w:t>(6）《水利水电工程土工合成材料应用技术规范》（SL / T 225—1998 ) ；</w:t>
      </w:r>
    </w:p>
    <w:p w14:paraId="072D22D3">
      <w:pPr>
        <w:snapToGrid w:val="0"/>
        <w:spacing w:line="300" w:lineRule="auto"/>
        <w:ind w:firstLine="420" w:firstLineChars="200"/>
        <w:rPr>
          <w:rFonts w:ascii="宋体" w:hAnsi="宋体" w:eastAsia="宋体"/>
          <w:szCs w:val="21"/>
        </w:rPr>
      </w:pPr>
      <w:r>
        <w:rPr>
          <w:rFonts w:hint="eastAsia" w:ascii="宋体" w:hAnsi="宋体" w:eastAsia="宋体"/>
          <w:szCs w:val="21"/>
        </w:rPr>
        <w:t>(7）《堤防工程施工规范》（SL 260—2014 ) ；</w:t>
      </w:r>
    </w:p>
    <w:p w14:paraId="2DB47568">
      <w:pPr>
        <w:snapToGrid w:val="0"/>
        <w:spacing w:line="300" w:lineRule="auto"/>
        <w:ind w:firstLine="420" w:firstLineChars="200"/>
        <w:rPr>
          <w:rFonts w:ascii="宋体" w:hAnsi="宋体" w:eastAsia="宋体"/>
          <w:szCs w:val="21"/>
        </w:rPr>
      </w:pPr>
      <w:r>
        <w:rPr>
          <w:rFonts w:hint="eastAsia" w:ascii="宋体" w:hAnsi="宋体" w:eastAsia="宋体"/>
          <w:szCs w:val="21"/>
        </w:rPr>
        <w:t>(8）《土石坝安全监测技术规范》（SL 551—2012 ) ；</w:t>
      </w:r>
    </w:p>
    <w:p w14:paraId="06FED486">
      <w:pPr>
        <w:snapToGrid w:val="0"/>
        <w:spacing w:line="300" w:lineRule="auto"/>
        <w:ind w:firstLine="420" w:firstLineChars="200"/>
        <w:rPr>
          <w:rFonts w:ascii="宋体" w:hAnsi="宋体" w:eastAsia="宋体"/>
          <w:szCs w:val="21"/>
        </w:rPr>
      </w:pPr>
      <w:r>
        <w:rPr>
          <w:rFonts w:hint="eastAsia" w:ascii="宋体" w:hAnsi="宋体" w:eastAsia="宋体"/>
          <w:szCs w:val="21"/>
        </w:rPr>
        <w:t>(9）《水工碾压式沥青混凝土施工规范》（DL/ T 5363—2016 ) ；</w:t>
      </w:r>
    </w:p>
    <w:p w14:paraId="2920D65E">
      <w:pPr>
        <w:snapToGrid w:val="0"/>
        <w:spacing w:line="300" w:lineRule="auto"/>
        <w:ind w:firstLine="420" w:firstLineChars="200"/>
        <w:rPr>
          <w:rFonts w:ascii="宋体" w:hAnsi="宋体" w:eastAsia="宋体"/>
          <w:szCs w:val="21"/>
        </w:rPr>
      </w:pPr>
      <w:r>
        <w:rPr>
          <w:rFonts w:hint="eastAsia" w:ascii="宋体" w:hAnsi="宋体" w:eastAsia="宋体"/>
          <w:szCs w:val="21"/>
        </w:rPr>
        <w:t>(10）《碾压式土石坝施工规范》（DL / T 5129—2013)</w:t>
      </w:r>
    </w:p>
    <w:p w14:paraId="42537E2E">
      <w:pPr>
        <w:adjustRightInd w:val="0"/>
        <w:snapToGrid w:val="0"/>
        <w:spacing w:before="134" w:beforeLines="25" w:line="300" w:lineRule="auto"/>
        <w:outlineLvl w:val="1"/>
        <w:rPr>
          <w:rFonts w:ascii="宋体" w:hAnsi="宋体" w:eastAsia="宋体"/>
          <w:b/>
          <w:bCs/>
          <w:sz w:val="24"/>
          <w:szCs w:val="24"/>
        </w:rPr>
      </w:pPr>
      <w:bookmarkStart w:id="1389" w:name="_Toc455652112"/>
      <w:bookmarkStart w:id="1390" w:name="_Toc453706502"/>
      <w:bookmarkStart w:id="1391" w:name="_Toc455651093"/>
      <w:bookmarkStart w:id="1392" w:name="_Toc453706984"/>
      <w:bookmarkStart w:id="1393" w:name="_Toc455494732"/>
      <w:bookmarkStart w:id="1394" w:name="_Toc455650107"/>
      <w:r>
        <w:rPr>
          <w:rFonts w:hint="eastAsia" w:ascii="宋体" w:hAnsi="宋体" w:eastAsia="宋体"/>
          <w:b/>
          <w:bCs/>
          <w:sz w:val="24"/>
          <w:szCs w:val="24"/>
        </w:rPr>
        <w:t>6.2料源要求</w:t>
      </w:r>
      <w:bookmarkEnd w:id="1389"/>
      <w:bookmarkEnd w:id="1390"/>
      <w:bookmarkEnd w:id="1391"/>
      <w:bookmarkEnd w:id="1392"/>
      <w:bookmarkEnd w:id="1393"/>
      <w:bookmarkEnd w:id="1394"/>
    </w:p>
    <w:p w14:paraId="4E3CC27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6.2.1土料</w:t>
      </w:r>
    </w:p>
    <w:p w14:paraId="264AFF6B">
      <w:pPr>
        <w:snapToGrid w:val="0"/>
        <w:spacing w:line="300" w:lineRule="auto"/>
        <w:ind w:firstLine="420" w:firstLineChars="200"/>
        <w:rPr>
          <w:rFonts w:ascii="宋体" w:hAnsi="宋体" w:eastAsia="宋体"/>
          <w:szCs w:val="21"/>
        </w:rPr>
      </w:pPr>
      <w:r>
        <w:rPr>
          <w:rFonts w:hint="eastAsia" w:ascii="宋体" w:hAnsi="宋体" w:eastAsia="宋体"/>
          <w:szCs w:val="21"/>
        </w:rPr>
        <w:t>( 1）防渗土料的填筑含水量应按施工图纸要求或碾压试验确定料场取料的含水量不合格时，应在料场调整合格后，才能运到渠堤上。</w:t>
      </w:r>
    </w:p>
    <w:p w14:paraId="487FC915">
      <w:pPr>
        <w:snapToGrid w:val="0"/>
        <w:spacing w:line="300" w:lineRule="auto"/>
        <w:ind w:firstLine="420" w:firstLineChars="200"/>
        <w:rPr>
          <w:rFonts w:ascii="宋体" w:hAnsi="宋体" w:eastAsia="宋体"/>
          <w:szCs w:val="21"/>
        </w:rPr>
      </w:pPr>
      <w:r>
        <w:rPr>
          <w:rFonts w:hint="eastAsia" w:ascii="宋体" w:hAnsi="宋体" w:eastAsia="宋体"/>
          <w:szCs w:val="21"/>
        </w:rPr>
        <w:t>( 2）砾质土（包括冰积、坡积、洪积和构造残积土）应遵守DL/ T5129—2013第8.2.3条的规定。</w:t>
      </w:r>
    </w:p>
    <w:p w14:paraId="3E810C48">
      <w:pPr>
        <w:snapToGrid w:val="0"/>
        <w:spacing w:line="300" w:lineRule="auto"/>
        <w:ind w:firstLine="420" w:firstLineChars="200"/>
        <w:rPr>
          <w:rFonts w:ascii="宋体" w:hAnsi="宋体" w:eastAsia="宋体"/>
          <w:szCs w:val="21"/>
        </w:rPr>
      </w:pPr>
      <w:r>
        <w:rPr>
          <w:rFonts w:hint="eastAsia" w:ascii="宋体" w:hAnsi="宋体" w:eastAsia="宋体"/>
          <w:szCs w:val="21"/>
        </w:rPr>
        <w:t>( 3）人工掺合砾石土所用的土料和碎石料特性及其比例，以及含水量均应符合施工图纸要求和DL / T 5129—2013第8.2.4条的规定人工掺合料应均匀，不得有砂砾石集中现象。</w:t>
      </w:r>
    </w:p>
    <w:p w14:paraId="7064A51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6.2.2反滤料和垫层料的料源与要求</w:t>
      </w:r>
    </w:p>
    <w:p w14:paraId="17A8E465">
      <w:pPr>
        <w:snapToGrid w:val="0"/>
        <w:spacing w:line="300" w:lineRule="auto"/>
        <w:ind w:firstLine="420" w:firstLineChars="200"/>
        <w:rPr>
          <w:rFonts w:ascii="宋体" w:hAnsi="宋体" w:eastAsia="宋体"/>
          <w:szCs w:val="21"/>
        </w:rPr>
      </w:pPr>
      <w:r>
        <w:rPr>
          <w:rFonts w:hint="eastAsia" w:ascii="宋体" w:hAnsi="宋体" w:eastAsia="宋体"/>
          <w:szCs w:val="21"/>
        </w:rPr>
        <w:t>(1）渠堤防渗体的反滤料利用天然或经加工的砂砾石料，或用致密坚硬石料轧制，或用天然砂砾石料与轧制料的掺合料，反滤料的级配应符合施工图纸要求。</w:t>
      </w:r>
    </w:p>
    <w:p w14:paraId="67E2CD23">
      <w:pPr>
        <w:snapToGrid w:val="0"/>
        <w:spacing w:line="300" w:lineRule="auto"/>
        <w:ind w:firstLine="420" w:firstLineChars="200"/>
        <w:rPr>
          <w:rFonts w:ascii="宋体" w:hAnsi="宋体" w:eastAsia="宋体"/>
          <w:szCs w:val="21"/>
        </w:rPr>
      </w:pPr>
      <w:r>
        <w:rPr>
          <w:rFonts w:hint="eastAsia" w:ascii="宋体" w:hAnsi="宋体" w:eastAsia="宋体"/>
          <w:szCs w:val="21"/>
        </w:rPr>
        <w:t>(2）垫层料的级配应满足施工图纸要求，压实后应具有低压缩性、高抗剪强度，并具有良好的施工特性。</w:t>
      </w:r>
    </w:p>
    <w:p w14:paraId="7F41A777">
      <w:pPr>
        <w:snapToGrid w:val="0"/>
        <w:spacing w:line="300" w:lineRule="auto"/>
        <w:ind w:firstLine="420" w:firstLineChars="200"/>
        <w:rPr>
          <w:rFonts w:ascii="宋体" w:hAnsi="宋体" w:eastAsia="宋体"/>
          <w:szCs w:val="21"/>
        </w:rPr>
      </w:pPr>
      <w:r>
        <w:rPr>
          <w:rFonts w:hint="eastAsia" w:ascii="宋体" w:hAnsi="宋体" w:eastAsia="宋体"/>
          <w:szCs w:val="21"/>
        </w:rPr>
        <w:t>(3）土工合成材料防渗体两侧的垫层料，可用天然砂砾石筛分制备，或采用天然风化砂料和河滩砂料；亦可采用建筑物开挖的新鲜石渣料或经砂石加工系统加工筛分的半成品料，级配应满足施工图纸要求。</w:t>
      </w:r>
    </w:p>
    <w:p w14:paraId="0BEAE83B">
      <w:pPr>
        <w:snapToGrid w:val="0"/>
        <w:spacing w:line="300" w:lineRule="auto"/>
        <w:ind w:firstLine="420" w:firstLineChars="200"/>
        <w:rPr>
          <w:rFonts w:ascii="宋体" w:hAnsi="宋体" w:eastAsia="宋体"/>
          <w:szCs w:val="21"/>
        </w:rPr>
      </w:pPr>
      <w:r>
        <w:rPr>
          <w:rFonts w:hint="eastAsia" w:ascii="宋体" w:hAnsi="宋体" w:eastAsia="宋体"/>
          <w:szCs w:val="21"/>
        </w:rPr>
        <w:t>(4）经加工的反滤料和垫层料应分类堆放不得混杂，并应防止分离。</w:t>
      </w:r>
    </w:p>
    <w:p w14:paraId="6CD1F4E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6.2.3过渡料</w:t>
      </w:r>
    </w:p>
    <w:p w14:paraId="1D770675">
      <w:pPr>
        <w:snapToGrid w:val="0"/>
        <w:spacing w:line="300" w:lineRule="auto"/>
        <w:ind w:firstLine="420" w:firstLineChars="200"/>
        <w:rPr>
          <w:rFonts w:ascii="宋体" w:hAnsi="宋体" w:eastAsia="宋体"/>
          <w:szCs w:val="21"/>
        </w:rPr>
      </w:pPr>
      <w:r>
        <w:rPr>
          <w:rFonts w:hint="eastAsia" w:ascii="宋体" w:hAnsi="宋体" w:eastAsia="宋体"/>
          <w:szCs w:val="21"/>
        </w:rPr>
        <w:t>采用硬岩料作为过渡料时，其级配应满足施工图纸要求。</w:t>
      </w:r>
    </w:p>
    <w:p w14:paraId="257CBC9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6.2.4堆石料</w:t>
      </w:r>
    </w:p>
    <w:p w14:paraId="69A92BB5">
      <w:pPr>
        <w:snapToGrid w:val="0"/>
        <w:spacing w:line="300" w:lineRule="auto"/>
        <w:ind w:firstLine="420" w:firstLineChars="200"/>
        <w:rPr>
          <w:rFonts w:ascii="宋体" w:hAnsi="宋体" w:eastAsia="宋体"/>
          <w:szCs w:val="21"/>
        </w:rPr>
      </w:pPr>
      <w:r>
        <w:rPr>
          <w:rFonts w:hint="eastAsia" w:ascii="宋体" w:hAnsi="宋体" w:eastAsia="宋体"/>
          <w:szCs w:val="21"/>
        </w:rPr>
        <w:t>（1）渠道和建筑物等各种堆石料，应使用经监理人批准的料场开挖料和建筑物开挖料，若承包人要求采用其它料物时，应经监理人批准。</w:t>
      </w:r>
    </w:p>
    <w:p w14:paraId="162EA460">
      <w:pPr>
        <w:snapToGrid w:val="0"/>
        <w:spacing w:line="300" w:lineRule="auto"/>
        <w:ind w:firstLine="420" w:firstLineChars="200"/>
        <w:rPr>
          <w:rFonts w:ascii="宋体" w:hAnsi="宋体" w:eastAsia="宋体"/>
          <w:szCs w:val="21"/>
        </w:rPr>
      </w:pPr>
      <w:r>
        <w:rPr>
          <w:rFonts w:hint="eastAsia" w:ascii="宋体" w:hAnsi="宋体" w:eastAsia="宋体"/>
          <w:szCs w:val="21"/>
        </w:rPr>
        <w:t>（2）石料开采与加工应遵照SL49—2015第4.2节的有关规定.</w:t>
      </w:r>
    </w:p>
    <w:p w14:paraId="44EC3F91">
      <w:pPr>
        <w:snapToGrid w:val="0"/>
        <w:spacing w:line="300" w:lineRule="auto"/>
        <w:ind w:firstLine="420" w:firstLineChars="200"/>
        <w:rPr>
          <w:rFonts w:ascii="宋体" w:hAnsi="宋体" w:eastAsia="宋体"/>
          <w:szCs w:val="21"/>
        </w:rPr>
      </w:pPr>
      <w:r>
        <w:rPr>
          <w:rFonts w:hint="eastAsia" w:ascii="宋体" w:hAnsi="宋体" w:eastAsia="宋体"/>
          <w:szCs w:val="21"/>
        </w:rPr>
        <w:t>（3）护坡块石料应是新鲜坚硬耐风化的石料，其粒经应符合施工图纸要求.</w:t>
      </w:r>
    </w:p>
    <w:p w14:paraId="025F1038">
      <w:pPr>
        <w:adjustRightInd w:val="0"/>
        <w:snapToGrid w:val="0"/>
        <w:spacing w:before="134" w:beforeLines="25" w:line="300" w:lineRule="auto"/>
        <w:outlineLvl w:val="1"/>
        <w:rPr>
          <w:rFonts w:ascii="宋体" w:hAnsi="宋体" w:eastAsia="宋体"/>
          <w:b/>
          <w:bCs/>
          <w:sz w:val="24"/>
          <w:szCs w:val="24"/>
        </w:rPr>
      </w:pPr>
      <w:bookmarkStart w:id="1395" w:name="_Toc455651094"/>
      <w:bookmarkStart w:id="1396" w:name="_Toc455494733"/>
      <w:bookmarkStart w:id="1397" w:name="_Toc455652113"/>
      <w:bookmarkStart w:id="1398" w:name="_Toc455650108"/>
      <w:bookmarkStart w:id="1399" w:name="_Toc453706985"/>
      <w:bookmarkStart w:id="1400" w:name="_Toc453706503"/>
      <w:r>
        <w:rPr>
          <w:rFonts w:hint="eastAsia" w:ascii="宋体" w:hAnsi="宋体" w:eastAsia="宋体"/>
          <w:b/>
          <w:bCs/>
          <w:sz w:val="24"/>
          <w:szCs w:val="24"/>
        </w:rPr>
        <w:t>6.3填筑现场试验</w:t>
      </w:r>
      <w:bookmarkEnd w:id="1395"/>
      <w:bookmarkEnd w:id="1396"/>
      <w:bookmarkEnd w:id="1397"/>
      <w:bookmarkEnd w:id="1398"/>
      <w:bookmarkEnd w:id="1399"/>
      <w:bookmarkEnd w:id="1400"/>
    </w:p>
    <w:p w14:paraId="5064CBA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6.3.1一般要求</w:t>
      </w:r>
    </w:p>
    <w:p w14:paraId="1732610F">
      <w:pPr>
        <w:snapToGrid w:val="0"/>
        <w:spacing w:line="300" w:lineRule="auto"/>
        <w:ind w:firstLine="420" w:firstLineChars="200"/>
        <w:rPr>
          <w:rFonts w:ascii="宋体" w:hAnsi="宋体" w:eastAsia="宋体"/>
          <w:szCs w:val="21"/>
        </w:rPr>
      </w:pPr>
      <w:r>
        <w:rPr>
          <w:rFonts w:hint="eastAsia" w:ascii="宋体" w:hAnsi="宋体" w:eastAsia="宋体"/>
          <w:szCs w:val="21"/>
        </w:rPr>
        <w:t>（1）土石方填筑工程开始前，承包人应根据建筑物设计要求选定的土石方填筑料，并按施工图纸要求进行与实际施工条件相似的现场工艺试验，以确定填筑施工参数。</w:t>
      </w:r>
    </w:p>
    <w:p w14:paraId="6B9C3FAE">
      <w:pPr>
        <w:snapToGrid w:val="0"/>
        <w:spacing w:line="300" w:lineRule="auto"/>
        <w:ind w:firstLine="420" w:firstLineChars="200"/>
        <w:rPr>
          <w:rFonts w:ascii="宋体" w:hAnsi="宋体" w:eastAsia="宋体"/>
          <w:szCs w:val="21"/>
        </w:rPr>
      </w:pPr>
      <w:r>
        <w:rPr>
          <w:rFonts w:hint="eastAsia" w:ascii="宋体" w:hAnsi="宋体" w:eastAsia="宋体"/>
          <w:szCs w:val="21"/>
        </w:rPr>
        <w:t>（2）每项土石方填筑现场工艺试验或现场生产性试验开始前，承包人应编制现场试验措施计划提交监理人批准.试验完成后，应将试验成果报告和试验记录提交监理人.</w:t>
      </w:r>
    </w:p>
    <w:p w14:paraId="6ABF096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6.3.2土料碾压试验</w:t>
      </w:r>
    </w:p>
    <w:p w14:paraId="7CB76821">
      <w:pPr>
        <w:snapToGrid w:val="0"/>
        <w:spacing w:line="300" w:lineRule="auto"/>
        <w:ind w:firstLine="420" w:firstLineChars="200"/>
        <w:rPr>
          <w:rFonts w:ascii="宋体" w:hAnsi="宋体" w:eastAsia="宋体"/>
          <w:szCs w:val="21"/>
        </w:rPr>
      </w:pPr>
      <w:r>
        <w:rPr>
          <w:rFonts w:hint="eastAsia" w:ascii="宋体" w:hAnsi="宋体" w:eastAsia="宋体"/>
          <w:szCs w:val="21"/>
        </w:rPr>
        <w:t>（1）防渗土料应进行土料铺料方式和碾压试验，必要时进行土料含水量调整试验.</w:t>
      </w:r>
    </w:p>
    <w:p w14:paraId="27A2A4DE">
      <w:pPr>
        <w:snapToGrid w:val="0"/>
        <w:spacing w:line="300" w:lineRule="auto"/>
        <w:ind w:firstLine="420" w:firstLineChars="200"/>
        <w:rPr>
          <w:rFonts w:ascii="宋体" w:hAnsi="宋体" w:eastAsia="宋体"/>
          <w:szCs w:val="21"/>
        </w:rPr>
      </w:pPr>
      <w:r>
        <w:rPr>
          <w:rFonts w:hint="eastAsia" w:ascii="宋体" w:hAnsi="宋体" w:eastAsia="宋体"/>
          <w:szCs w:val="21"/>
        </w:rPr>
        <w:t>（2）土料和人工掺合料的混合试验，应进行混合方式、混合效果（土石混合的均匀性）以及含水量变化规律等试验.</w:t>
      </w:r>
    </w:p>
    <w:p w14:paraId="26AC629C">
      <w:pPr>
        <w:snapToGrid w:val="0"/>
        <w:spacing w:line="300" w:lineRule="auto"/>
        <w:ind w:firstLine="420" w:firstLineChars="200"/>
        <w:rPr>
          <w:rFonts w:ascii="宋体" w:hAnsi="宋体" w:eastAsia="宋体"/>
          <w:szCs w:val="21"/>
        </w:rPr>
      </w:pPr>
      <w:r>
        <w:rPr>
          <w:rFonts w:hint="eastAsia" w:ascii="宋体" w:hAnsi="宋体" w:eastAsia="宋体"/>
          <w:szCs w:val="21"/>
        </w:rPr>
        <w:t>（3）土料碾压试验应按施工图纸规定的碾压机械类型、重量和行车速度，进行铺料厚度、碾压遍数和填筑含水量的比较试验，检测各种参数下压实土的干密度和含水量，砾质土或风化土料碾压前后的砾石含量并进行现场渗透试验、原状样的室内压缩和抗剪强度试验.</w:t>
      </w:r>
    </w:p>
    <w:p w14:paraId="7C1E4922">
      <w:pPr>
        <w:snapToGrid w:val="0"/>
        <w:spacing w:line="300" w:lineRule="auto"/>
        <w:ind w:firstLine="420" w:firstLineChars="200"/>
        <w:rPr>
          <w:rFonts w:ascii="宋体" w:hAnsi="宋体" w:eastAsia="宋体"/>
          <w:szCs w:val="21"/>
        </w:rPr>
      </w:pPr>
      <w:r>
        <w:rPr>
          <w:rFonts w:hint="eastAsia" w:ascii="宋体" w:hAnsi="宋体" w:eastAsia="宋体"/>
          <w:szCs w:val="21"/>
        </w:rPr>
        <w:t>（4）土料碾压试验后，应检查压实土层之间及土层本身的结构状况.如发现疏松土层、结合不良或发生剪切破坏等情况，应分析原因，提出改进措施.</w:t>
      </w:r>
    </w:p>
    <w:p w14:paraId="45316415">
      <w:pPr>
        <w:adjustRightInd w:val="0"/>
        <w:snapToGrid w:val="0"/>
        <w:spacing w:before="134" w:beforeLines="25" w:line="300" w:lineRule="auto"/>
        <w:outlineLvl w:val="1"/>
        <w:rPr>
          <w:rFonts w:ascii="宋体" w:hAnsi="宋体" w:eastAsia="宋体"/>
          <w:b/>
          <w:bCs/>
          <w:sz w:val="24"/>
          <w:szCs w:val="24"/>
        </w:rPr>
      </w:pPr>
      <w:bookmarkStart w:id="1401" w:name="_Toc455494734"/>
      <w:bookmarkStart w:id="1402" w:name="_Toc453706986"/>
      <w:bookmarkStart w:id="1403" w:name="_Toc455652114"/>
      <w:bookmarkStart w:id="1404" w:name="_Toc455651095"/>
      <w:bookmarkStart w:id="1405" w:name="_Toc455650109"/>
      <w:bookmarkStart w:id="1406" w:name="_Toc453706504"/>
      <w:r>
        <w:rPr>
          <w:rFonts w:hint="eastAsia" w:ascii="宋体" w:hAnsi="宋体" w:eastAsia="宋体"/>
          <w:b/>
          <w:bCs/>
          <w:sz w:val="24"/>
          <w:szCs w:val="24"/>
        </w:rPr>
        <w:t>6.4填筑合理用料</w:t>
      </w:r>
      <w:bookmarkEnd w:id="1401"/>
      <w:bookmarkEnd w:id="1402"/>
      <w:bookmarkEnd w:id="1403"/>
      <w:bookmarkEnd w:id="1404"/>
      <w:bookmarkEnd w:id="1405"/>
      <w:bookmarkEnd w:id="1406"/>
    </w:p>
    <w:p w14:paraId="2D03AFD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6.4.1料物供求平衡计划</w:t>
      </w:r>
    </w:p>
    <w:p w14:paraId="220C5CD1">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本工程各料场开采储量、质量，以及施工开挖可用于填筑的土石方开挖料，并根据渠形、施工方法、施工进度等进行综合分析，确定不同施工阶段各填筑料的填筑部位，制定取料和填筑的料物供求平衡计划。</w:t>
      </w:r>
    </w:p>
    <w:p w14:paraId="6B5AC850">
      <w:pPr>
        <w:snapToGrid w:val="0"/>
        <w:spacing w:line="300" w:lineRule="auto"/>
        <w:ind w:firstLine="420" w:firstLineChars="200"/>
        <w:rPr>
          <w:rFonts w:ascii="宋体" w:hAnsi="宋体" w:eastAsia="宋体"/>
          <w:szCs w:val="21"/>
        </w:rPr>
      </w:pPr>
      <w:r>
        <w:rPr>
          <w:rFonts w:hint="eastAsia" w:ascii="宋体" w:hAnsi="宋体" w:eastAsia="宋体"/>
          <w:szCs w:val="21"/>
        </w:rPr>
        <w:t>（2）土石方填筑期间，应随时和灌溉管理单位的灌溉调度相协调。</w:t>
      </w:r>
    </w:p>
    <w:p w14:paraId="0C0B348A">
      <w:pPr>
        <w:snapToGrid w:val="0"/>
        <w:spacing w:line="300" w:lineRule="auto"/>
        <w:ind w:firstLine="420" w:firstLineChars="200"/>
        <w:rPr>
          <w:rFonts w:ascii="宋体" w:hAnsi="宋体" w:eastAsia="宋体"/>
          <w:szCs w:val="21"/>
        </w:rPr>
      </w:pPr>
      <w:r>
        <w:rPr>
          <w:rFonts w:hint="eastAsia" w:ascii="宋体" w:hAnsi="宋体" w:eastAsia="宋体"/>
          <w:szCs w:val="21"/>
        </w:rPr>
        <w:t>若遇特殊情况，应备足料源，供渠堤临时度汛高峰期填筑使用。</w:t>
      </w:r>
    </w:p>
    <w:p w14:paraId="046B51F8">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6.4.2合理用料</w:t>
      </w:r>
    </w:p>
    <w:p w14:paraId="1251AD86">
      <w:pPr>
        <w:snapToGrid w:val="0"/>
        <w:spacing w:line="300" w:lineRule="auto"/>
        <w:ind w:firstLine="420" w:firstLineChars="200"/>
        <w:rPr>
          <w:rFonts w:ascii="宋体" w:hAnsi="宋体" w:eastAsia="宋体"/>
          <w:szCs w:val="21"/>
        </w:rPr>
      </w:pPr>
      <w:r>
        <w:rPr>
          <w:rFonts w:hint="eastAsia" w:ascii="宋体" w:hAnsi="宋体" w:eastAsia="宋体"/>
          <w:szCs w:val="21"/>
        </w:rPr>
        <w:t>（1）承包人应根据料场高程、位置、填筑部位作统一规划，合理安排施工顺序，高料高填、低料低填、减少交叉运输的干扰。</w:t>
      </w:r>
    </w:p>
    <w:p w14:paraId="4B9791A6">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（2）承包人应按本技术条款的规定和料物供求平衡计划进行填料的开采和加工，并按监理人指定的地点堆放和贮存料场开挖料和建筑物施工开挖料。</w:t>
      </w:r>
    </w:p>
    <w:p w14:paraId="5C006A04">
      <w:pPr>
        <w:adjustRightInd w:val="0"/>
        <w:snapToGrid w:val="0"/>
        <w:spacing w:before="134" w:beforeLines="25" w:line="300" w:lineRule="auto"/>
        <w:outlineLvl w:val="1"/>
        <w:rPr>
          <w:rFonts w:ascii="宋体" w:hAnsi="宋体" w:eastAsia="宋体"/>
          <w:b/>
          <w:bCs/>
          <w:sz w:val="24"/>
          <w:szCs w:val="24"/>
        </w:rPr>
      </w:pPr>
      <w:bookmarkStart w:id="1407" w:name="_Toc455494735"/>
      <w:bookmarkStart w:id="1408" w:name="_Toc455651096"/>
      <w:bookmarkStart w:id="1409" w:name="_Toc453706505"/>
      <w:bookmarkStart w:id="1410" w:name="_Toc453706987"/>
      <w:bookmarkStart w:id="1411" w:name="_Toc455650110"/>
      <w:bookmarkStart w:id="1412" w:name="_Toc455652115"/>
      <w:r>
        <w:rPr>
          <w:rFonts w:hint="eastAsia" w:ascii="宋体" w:hAnsi="宋体" w:eastAsia="宋体"/>
          <w:b/>
          <w:bCs/>
          <w:sz w:val="24"/>
          <w:szCs w:val="24"/>
        </w:rPr>
        <w:t>6.5填筑料开采和加工</w:t>
      </w:r>
      <w:bookmarkEnd w:id="1407"/>
      <w:bookmarkEnd w:id="1408"/>
      <w:bookmarkEnd w:id="1409"/>
      <w:bookmarkEnd w:id="1410"/>
      <w:bookmarkEnd w:id="1411"/>
      <w:bookmarkEnd w:id="1412"/>
    </w:p>
    <w:p w14:paraId="506CA39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6.5.1土料开采</w:t>
      </w:r>
    </w:p>
    <w:p w14:paraId="0CD88402">
      <w:pPr>
        <w:snapToGrid w:val="0"/>
        <w:spacing w:line="300" w:lineRule="auto"/>
        <w:ind w:firstLine="420" w:firstLineChars="200"/>
        <w:rPr>
          <w:rFonts w:ascii="宋体" w:hAnsi="宋体" w:eastAsia="宋体"/>
          <w:szCs w:val="21"/>
        </w:rPr>
      </w:pPr>
      <w:r>
        <w:rPr>
          <w:rFonts w:hint="eastAsia" w:ascii="宋体" w:hAnsi="宋体" w:eastAsia="宋体"/>
          <w:szCs w:val="21"/>
        </w:rPr>
        <w:t>6.5.1.1开采土料前的准备工作：</w:t>
      </w:r>
    </w:p>
    <w:p w14:paraId="5AC9F3E4">
      <w:pPr>
        <w:snapToGrid w:val="0"/>
        <w:spacing w:line="300" w:lineRule="auto"/>
        <w:ind w:firstLine="420" w:firstLineChars="200"/>
        <w:rPr>
          <w:rFonts w:ascii="宋体" w:hAnsi="宋体" w:eastAsia="宋体"/>
          <w:szCs w:val="21"/>
        </w:rPr>
      </w:pPr>
      <w:r>
        <w:rPr>
          <w:rFonts w:hint="eastAsia" w:ascii="宋体" w:hAnsi="宋体" w:eastAsia="宋体"/>
          <w:szCs w:val="21"/>
        </w:rPr>
        <w:t>(1)对选定的开采区划定界线，并埋设明显的界标;</w:t>
      </w:r>
    </w:p>
    <w:p w14:paraId="154D812E">
      <w:pPr>
        <w:snapToGrid w:val="0"/>
        <w:spacing w:line="300" w:lineRule="auto"/>
        <w:ind w:firstLine="420" w:firstLineChars="200"/>
        <w:rPr>
          <w:rFonts w:ascii="宋体" w:hAnsi="宋体" w:eastAsia="宋体"/>
          <w:szCs w:val="21"/>
        </w:rPr>
      </w:pPr>
      <w:r>
        <w:rPr>
          <w:rFonts w:hint="eastAsia" w:ascii="宋体" w:hAnsi="宋体" w:eastAsia="宋体"/>
          <w:szCs w:val="21"/>
        </w:rPr>
        <w:t>(2)按本技术条款第5.2节的规定完成场地清理工作；</w:t>
      </w:r>
    </w:p>
    <w:p w14:paraId="2E88D898">
      <w:pPr>
        <w:snapToGrid w:val="0"/>
        <w:spacing w:line="300" w:lineRule="auto"/>
        <w:ind w:firstLine="420" w:firstLineChars="200"/>
        <w:rPr>
          <w:rFonts w:ascii="宋体" w:hAnsi="宋体" w:eastAsia="宋体"/>
          <w:szCs w:val="21"/>
        </w:rPr>
      </w:pPr>
      <w:r>
        <w:rPr>
          <w:rFonts w:hint="eastAsia" w:ascii="宋体" w:hAnsi="宋体" w:eastAsia="宋体"/>
          <w:szCs w:val="21"/>
        </w:rPr>
        <w:t>(3)开挖料场周围的截、排水沟，设置必要的排水设施。</w:t>
      </w:r>
    </w:p>
    <w:p w14:paraId="2BB3BCDA">
      <w:pPr>
        <w:snapToGrid w:val="0"/>
        <w:spacing w:line="300" w:lineRule="auto"/>
        <w:ind w:firstLine="420" w:firstLineChars="200"/>
        <w:rPr>
          <w:rFonts w:ascii="宋体" w:hAnsi="宋体" w:eastAsia="宋体"/>
          <w:szCs w:val="21"/>
        </w:rPr>
      </w:pPr>
      <w:r>
        <w:rPr>
          <w:rFonts w:hint="eastAsia" w:ascii="宋体" w:hAnsi="宋体" w:eastAsia="宋体"/>
          <w:szCs w:val="21"/>
        </w:rPr>
        <w:t>6.5.1.2土料开采</w:t>
      </w:r>
    </w:p>
    <w:p w14:paraId="38EFD4C2">
      <w:pPr>
        <w:snapToGrid w:val="0"/>
        <w:spacing w:line="300" w:lineRule="auto"/>
        <w:ind w:firstLine="420" w:firstLineChars="200"/>
        <w:rPr>
          <w:rFonts w:ascii="宋体" w:hAnsi="宋体" w:eastAsia="宋体"/>
          <w:szCs w:val="21"/>
        </w:rPr>
      </w:pPr>
      <w:r>
        <w:rPr>
          <w:rFonts w:hint="eastAsia" w:ascii="宋体" w:hAnsi="宋体" w:eastAsia="宋体"/>
          <w:szCs w:val="21"/>
        </w:rPr>
        <w:t>(1)承包人必须按监理人批准的料场开采范围和开采方法进行开采。</w:t>
      </w:r>
    </w:p>
    <w:p w14:paraId="753034AD">
      <w:pPr>
        <w:snapToGrid w:val="0"/>
        <w:spacing w:line="300" w:lineRule="auto"/>
        <w:ind w:firstLine="420" w:firstLineChars="200"/>
        <w:rPr>
          <w:rFonts w:ascii="宋体" w:hAnsi="宋体" w:eastAsia="宋体"/>
          <w:szCs w:val="21"/>
        </w:rPr>
      </w:pPr>
      <w:r>
        <w:rPr>
          <w:rFonts w:hint="eastAsia" w:ascii="宋体" w:hAnsi="宋体" w:eastAsia="宋体"/>
          <w:szCs w:val="21"/>
        </w:rPr>
        <w:t>(2)土料应采用立采(或平采)的开采方法。</w:t>
      </w:r>
    </w:p>
    <w:p w14:paraId="3AC0183A">
      <w:pPr>
        <w:snapToGrid w:val="0"/>
        <w:spacing w:before="134" w:beforeLines="25" w:line="300" w:lineRule="auto"/>
        <w:ind w:firstLine="210" w:firstLineChars="100"/>
        <w:outlineLvl w:val="2"/>
        <w:rPr>
          <w:rFonts w:ascii="宋体" w:hAnsi="宋体" w:eastAsia="宋体"/>
          <w:b/>
          <w:bCs/>
          <w:szCs w:val="21"/>
        </w:rPr>
      </w:pPr>
      <w:bookmarkStart w:id="1413" w:name="_Toc455652116"/>
      <w:bookmarkStart w:id="1414" w:name="_Toc453706988"/>
      <w:bookmarkStart w:id="1415" w:name="_Toc455650111"/>
      <w:bookmarkStart w:id="1416" w:name="_Toc455494736"/>
      <w:bookmarkStart w:id="1417" w:name="_Toc453706506"/>
      <w:bookmarkStart w:id="1418" w:name="_Toc455651097"/>
      <w:r>
        <w:rPr>
          <w:rFonts w:hint="eastAsia" w:ascii="宋体" w:hAnsi="宋体" w:eastAsia="宋体"/>
          <w:b/>
          <w:bCs/>
          <w:szCs w:val="21"/>
        </w:rPr>
        <w:t>6.5.2填筑料制备和加工</w:t>
      </w:r>
      <w:bookmarkEnd w:id="1413"/>
      <w:bookmarkEnd w:id="1414"/>
      <w:bookmarkEnd w:id="1415"/>
      <w:bookmarkEnd w:id="1416"/>
      <w:bookmarkEnd w:id="1417"/>
      <w:bookmarkEnd w:id="1418"/>
    </w:p>
    <w:p w14:paraId="53951DAB">
      <w:pPr>
        <w:snapToGrid w:val="0"/>
        <w:spacing w:line="300" w:lineRule="auto"/>
        <w:ind w:firstLine="420" w:firstLineChars="200"/>
        <w:rPr>
          <w:rFonts w:ascii="宋体" w:hAnsi="宋体" w:eastAsia="宋体"/>
          <w:szCs w:val="21"/>
        </w:rPr>
      </w:pPr>
      <w:r>
        <w:rPr>
          <w:rFonts w:hint="eastAsia" w:ascii="宋体" w:hAnsi="宋体" w:eastAsia="宋体"/>
          <w:szCs w:val="21"/>
        </w:rPr>
        <w:t>承包人应按批准的施工措施以及现场生产性试验确定的参数进行填筑料制备和加工。</w:t>
      </w:r>
    </w:p>
    <w:p w14:paraId="5D204347">
      <w:pPr>
        <w:snapToGrid w:val="0"/>
        <w:spacing w:line="300" w:lineRule="auto"/>
        <w:ind w:firstLine="420" w:firstLineChars="200"/>
        <w:rPr>
          <w:rFonts w:ascii="宋体" w:hAnsi="宋体" w:eastAsia="宋体"/>
          <w:szCs w:val="21"/>
        </w:rPr>
      </w:pPr>
      <w:r>
        <w:rPr>
          <w:rFonts w:hint="eastAsia" w:ascii="宋体" w:hAnsi="宋体" w:eastAsia="宋体"/>
          <w:szCs w:val="21"/>
        </w:rPr>
        <w:t>6.5.2.1黏性土料</w:t>
      </w:r>
    </w:p>
    <w:p w14:paraId="7CFCAB01">
      <w:pPr>
        <w:snapToGrid w:val="0"/>
        <w:spacing w:line="300" w:lineRule="auto"/>
        <w:ind w:firstLine="420" w:firstLineChars="200"/>
        <w:rPr>
          <w:rFonts w:ascii="宋体" w:hAnsi="宋体" w:eastAsia="宋体"/>
          <w:szCs w:val="21"/>
        </w:rPr>
      </w:pPr>
      <w:r>
        <w:rPr>
          <w:rFonts w:hint="eastAsia" w:ascii="宋体" w:hAnsi="宋体" w:eastAsia="宋体"/>
          <w:szCs w:val="21"/>
        </w:rPr>
        <w:t>土料开采，除应遵照本章第6.5.1条的规定外，应在料场严格控制上坝供土料的含水量。当料场土料的天然含水量大于或小于施工填筑含水量时，应根据土料开挖方式、装运卸流程以及气象等条件对料场土料含水量进行调整，调整方法以翻晒或加水为主。一般情况下，料场土料含水量约大于坝面填筑含水量的2％～3％为宜，具体应通过现场试验确定。</w:t>
      </w:r>
    </w:p>
    <w:p w14:paraId="4F82FAD6">
      <w:pPr>
        <w:snapToGrid w:val="0"/>
        <w:spacing w:line="300" w:lineRule="auto"/>
        <w:ind w:firstLine="420" w:firstLineChars="200"/>
        <w:rPr>
          <w:rFonts w:ascii="宋体" w:hAnsi="宋体" w:eastAsia="宋体"/>
          <w:szCs w:val="21"/>
        </w:rPr>
      </w:pPr>
      <w:r>
        <w:rPr>
          <w:rFonts w:hint="eastAsia" w:ascii="宋体" w:hAnsi="宋体" w:eastAsia="宋体"/>
          <w:szCs w:val="21"/>
        </w:rPr>
        <w:t>6.5.2.2嵌缝材料</w:t>
      </w:r>
    </w:p>
    <w:p w14:paraId="3FBF2F00">
      <w:pPr>
        <w:snapToGrid w:val="0"/>
        <w:spacing w:line="300" w:lineRule="auto"/>
        <w:ind w:firstLine="420" w:firstLineChars="200"/>
        <w:rPr>
          <w:rFonts w:ascii="宋体" w:hAnsi="宋体" w:eastAsia="宋体"/>
          <w:szCs w:val="21"/>
        </w:rPr>
      </w:pPr>
      <w:r>
        <w:rPr>
          <w:rFonts w:hint="eastAsia" w:ascii="宋体" w:hAnsi="宋体" w:eastAsia="宋体"/>
          <w:szCs w:val="21"/>
        </w:rPr>
        <w:t>若嵌缝采用沥青类、高分子塑料类材料则应遵照厂家产品使用说明书的要求进行制备。</w:t>
      </w:r>
    </w:p>
    <w:p w14:paraId="4551853D">
      <w:pPr>
        <w:adjustRightInd w:val="0"/>
        <w:snapToGrid w:val="0"/>
        <w:spacing w:before="134" w:beforeLines="25" w:line="300" w:lineRule="auto"/>
        <w:outlineLvl w:val="1"/>
        <w:rPr>
          <w:rFonts w:ascii="宋体" w:hAnsi="宋体" w:eastAsia="宋体"/>
          <w:b/>
          <w:bCs/>
          <w:sz w:val="24"/>
          <w:szCs w:val="24"/>
        </w:rPr>
      </w:pPr>
      <w:bookmarkStart w:id="1419" w:name="_Toc455494737"/>
      <w:bookmarkStart w:id="1420" w:name="_Toc455650112"/>
      <w:bookmarkStart w:id="1421" w:name="_Toc455651098"/>
      <w:bookmarkStart w:id="1422" w:name="_Toc453706507"/>
      <w:bookmarkStart w:id="1423" w:name="_Toc453706989"/>
      <w:bookmarkStart w:id="1424" w:name="_Toc455652117"/>
      <w:r>
        <w:rPr>
          <w:rFonts w:hint="eastAsia" w:ascii="宋体" w:hAnsi="宋体" w:eastAsia="宋体"/>
          <w:b/>
          <w:bCs/>
          <w:sz w:val="24"/>
          <w:szCs w:val="24"/>
        </w:rPr>
        <w:t>6.6填筑料运输</w:t>
      </w:r>
      <w:bookmarkEnd w:id="1419"/>
      <w:bookmarkEnd w:id="1420"/>
      <w:bookmarkEnd w:id="1421"/>
      <w:bookmarkEnd w:id="1422"/>
      <w:bookmarkEnd w:id="1423"/>
      <w:bookmarkEnd w:id="1424"/>
    </w:p>
    <w:p w14:paraId="20CB67B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6.6.1运输设备</w:t>
      </w:r>
    </w:p>
    <w:p w14:paraId="5F1CE0BD">
      <w:pPr>
        <w:snapToGrid w:val="0"/>
        <w:spacing w:line="300" w:lineRule="auto"/>
        <w:ind w:firstLine="420" w:firstLineChars="200"/>
        <w:rPr>
          <w:rFonts w:ascii="宋体" w:hAnsi="宋体" w:eastAsia="宋体"/>
          <w:szCs w:val="21"/>
        </w:rPr>
      </w:pPr>
      <w:r>
        <w:rPr>
          <w:rFonts w:hint="eastAsia" w:ascii="宋体" w:hAnsi="宋体" w:eastAsia="宋体"/>
          <w:szCs w:val="21"/>
        </w:rPr>
        <w:t>(1)土料运输应采用自卸汽车运输，因施工需要而改用其它方式运输时，承包人应经过论证，并提交措施计划报送监理人批准。</w:t>
      </w:r>
    </w:p>
    <w:p w14:paraId="7E2F571D">
      <w:pPr>
        <w:snapToGrid w:val="0"/>
        <w:spacing w:line="300" w:lineRule="auto"/>
        <w:ind w:firstLine="420" w:firstLineChars="200"/>
        <w:rPr>
          <w:rFonts w:ascii="宋体" w:hAnsi="宋体" w:eastAsia="宋体"/>
          <w:szCs w:val="21"/>
        </w:rPr>
      </w:pPr>
      <w:r>
        <w:rPr>
          <w:rFonts w:hint="eastAsia" w:ascii="宋体" w:hAnsi="宋体" w:eastAsia="宋体"/>
          <w:szCs w:val="21"/>
        </w:rPr>
        <w:t>(2)运输土料、使用的车辆应相对固定，并经常保持车厢、轮胎的清洁，防止残留在车厢和轮胎上的泥土带人清洁的料源及填筑区。</w:t>
      </w:r>
    </w:p>
    <w:p w14:paraId="5DFC826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6.6.2运输措施</w:t>
      </w:r>
    </w:p>
    <w:p w14:paraId="299C2C92">
      <w:pPr>
        <w:snapToGrid w:val="0"/>
        <w:spacing w:line="300" w:lineRule="auto"/>
        <w:ind w:firstLine="420" w:firstLineChars="200"/>
        <w:rPr>
          <w:rFonts w:ascii="宋体" w:hAnsi="宋体" w:eastAsia="宋体"/>
          <w:szCs w:val="21"/>
        </w:rPr>
      </w:pPr>
      <w:r>
        <w:rPr>
          <w:rFonts w:hint="eastAsia" w:ascii="宋体" w:hAnsi="宋体" w:eastAsia="宋体"/>
          <w:szCs w:val="21"/>
        </w:rPr>
        <w:t>(1)土料运输应与料场开采、装料和工作面卸料、铺料等工序持续和连贯进行，以免周转过多而导致含水量的过大变化。</w:t>
      </w:r>
    </w:p>
    <w:p w14:paraId="39392C19">
      <w:pPr>
        <w:snapToGrid w:val="0"/>
        <w:spacing w:line="300" w:lineRule="auto"/>
        <w:ind w:firstLine="420" w:firstLineChars="200"/>
        <w:rPr>
          <w:rFonts w:ascii="宋体" w:hAnsi="宋体" w:eastAsia="宋体"/>
          <w:szCs w:val="21"/>
        </w:rPr>
      </w:pPr>
      <w:r>
        <w:rPr>
          <w:rFonts w:hint="eastAsia" w:ascii="宋体" w:hAnsi="宋体" w:eastAsia="宋体"/>
          <w:szCs w:val="21"/>
        </w:rPr>
        <w:t>(2)监理人认为不合格的土料、一律不得使用。</w:t>
      </w:r>
    </w:p>
    <w:p w14:paraId="4A32A773">
      <w:pPr>
        <w:adjustRightInd w:val="0"/>
        <w:snapToGrid w:val="0"/>
        <w:spacing w:before="134" w:beforeLines="25" w:line="300" w:lineRule="auto"/>
        <w:outlineLvl w:val="1"/>
        <w:rPr>
          <w:rFonts w:ascii="宋体" w:hAnsi="宋体" w:eastAsia="宋体"/>
          <w:b/>
          <w:bCs/>
          <w:sz w:val="24"/>
          <w:szCs w:val="24"/>
        </w:rPr>
      </w:pPr>
      <w:bookmarkStart w:id="1425" w:name="_Toc453706508"/>
      <w:bookmarkStart w:id="1426" w:name="_Toc455652118"/>
      <w:bookmarkStart w:id="1427" w:name="_Toc455650113"/>
      <w:bookmarkStart w:id="1428" w:name="_Toc455651099"/>
      <w:bookmarkStart w:id="1429" w:name="_Toc455494738"/>
      <w:bookmarkStart w:id="1430" w:name="_Toc453706990"/>
      <w:r>
        <w:rPr>
          <w:rFonts w:hint="eastAsia" w:ascii="宋体" w:hAnsi="宋体" w:eastAsia="宋体"/>
          <w:b/>
          <w:bCs/>
          <w:sz w:val="24"/>
          <w:szCs w:val="24"/>
        </w:rPr>
        <w:t>6.7渠道填筑</w:t>
      </w:r>
      <w:bookmarkEnd w:id="1425"/>
      <w:bookmarkEnd w:id="1426"/>
      <w:bookmarkEnd w:id="1427"/>
      <w:bookmarkEnd w:id="1428"/>
      <w:bookmarkEnd w:id="1429"/>
      <w:bookmarkEnd w:id="1430"/>
    </w:p>
    <w:p w14:paraId="1696200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6.7.1说明</w:t>
      </w:r>
    </w:p>
    <w:p w14:paraId="0BA273E5">
      <w:pPr>
        <w:snapToGrid w:val="0"/>
        <w:spacing w:line="300" w:lineRule="auto"/>
        <w:ind w:firstLine="420" w:firstLineChars="200"/>
        <w:rPr>
          <w:rFonts w:ascii="宋体" w:hAnsi="宋体" w:eastAsia="宋体"/>
          <w:szCs w:val="21"/>
        </w:rPr>
      </w:pPr>
      <w:r>
        <w:rPr>
          <w:rFonts w:hint="eastAsia" w:ascii="宋体" w:hAnsi="宋体" w:eastAsia="宋体"/>
          <w:szCs w:val="21"/>
        </w:rPr>
        <w:t>(1)本节所述的渠道填筑适用于本章第6.1.1条所示范围内各种土渠及建筑物的土石方填筑。</w:t>
      </w:r>
    </w:p>
    <w:p w14:paraId="5250F537">
      <w:pPr>
        <w:snapToGrid w:val="0"/>
        <w:spacing w:line="300" w:lineRule="auto"/>
        <w:ind w:firstLine="420" w:firstLineChars="200"/>
        <w:rPr>
          <w:rFonts w:ascii="宋体" w:hAnsi="宋体" w:eastAsia="宋体"/>
          <w:szCs w:val="21"/>
        </w:rPr>
      </w:pPr>
      <w:r>
        <w:rPr>
          <w:rFonts w:hint="eastAsia" w:ascii="宋体" w:hAnsi="宋体" w:eastAsia="宋体"/>
          <w:szCs w:val="21"/>
        </w:rPr>
        <w:t>(2)施工图纸所示的渠道填筑尺寸应是已考虑了沉陷影响后的外形尺寸和高程。</w:t>
      </w:r>
    </w:p>
    <w:p w14:paraId="77AA700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6.7.2渠道填筑前的准备</w:t>
      </w:r>
    </w:p>
    <w:p w14:paraId="3D34EF95">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(1)承包人应按监理人的指示和本技术条款第5.2节和第5.4节的规定，完成土石方填筑部位的基础清理和排水工作。</w:t>
      </w:r>
    </w:p>
    <w:p w14:paraId="248391E0">
      <w:pPr>
        <w:snapToGrid w:val="0"/>
        <w:spacing w:line="300" w:lineRule="auto"/>
        <w:ind w:firstLine="420" w:firstLineChars="200"/>
        <w:rPr>
          <w:rFonts w:ascii="宋体" w:hAnsi="宋体" w:eastAsia="宋体"/>
          <w:szCs w:val="21"/>
        </w:rPr>
      </w:pPr>
      <w:r>
        <w:rPr>
          <w:rFonts w:hint="eastAsia" w:ascii="宋体" w:hAnsi="宋体" w:eastAsia="宋体"/>
          <w:szCs w:val="21"/>
        </w:rPr>
        <w:t>(2)在渠道最终开挖线以下的所有勘探坑槽和平洞，均应按施工图纸的要求回填密实。</w:t>
      </w:r>
    </w:p>
    <w:p w14:paraId="19FF6382">
      <w:pPr>
        <w:snapToGrid w:val="0"/>
        <w:spacing w:line="300" w:lineRule="auto"/>
        <w:ind w:firstLine="420" w:firstLineChars="200"/>
        <w:rPr>
          <w:rFonts w:ascii="宋体" w:hAnsi="宋体" w:eastAsia="宋体"/>
          <w:szCs w:val="21"/>
        </w:rPr>
      </w:pPr>
      <w:r>
        <w:rPr>
          <w:rFonts w:hint="eastAsia" w:ascii="宋体" w:hAnsi="宋体" w:eastAsia="宋体"/>
          <w:szCs w:val="21"/>
        </w:rPr>
        <w:t>(3) 渠道填筑部位的全部基础处理工作，应按施工图纸要求施工完毕。</w:t>
      </w:r>
    </w:p>
    <w:p w14:paraId="0ED85A2A">
      <w:pPr>
        <w:snapToGrid w:val="0"/>
        <w:spacing w:line="300" w:lineRule="auto"/>
        <w:ind w:firstLine="420" w:firstLineChars="200"/>
        <w:rPr>
          <w:rFonts w:ascii="宋体" w:hAnsi="宋体" w:eastAsia="宋体"/>
          <w:szCs w:val="21"/>
        </w:rPr>
      </w:pPr>
      <w:r>
        <w:rPr>
          <w:rFonts w:hint="eastAsia" w:ascii="宋体" w:hAnsi="宋体" w:eastAsia="宋体"/>
          <w:szCs w:val="21"/>
        </w:rPr>
        <w:t>(4) 渠道填筑的基础，应由监理人按本合同《通用合同条款》第3.4.13.5款以及本技术条款第5.7.2条的规定进行验收，合格后，才能开始上部渠堤填筑。</w:t>
      </w:r>
    </w:p>
    <w:p w14:paraId="63FEF80D">
      <w:pPr>
        <w:snapToGrid w:val="0"/>
        <w:spacing w:line="300" w:lineRule="auto"/>
        <w:ind w:firstLine="420" w:firstLineChars="200"/>
        <w:rPr>
          <w:rFonts w:ascii="宋体" w:hAnsi="宋体" w:eastAsia="宋体"/>
          <w:szCs w:val="21"/>
        </w:rPr>
      </w:pPr>
      <w:r>
        <w:rPr>
          <w:rFonts w:hint="eastAsia" w:ascii="宋体" w:hAnsi="宋体" w:eastAsia="宋体"/>
          <w:szCs w:val="21"/>
        </w:rPr>
        <w:t>(5)冬季施工时，施工现场的道路要保持畅通，开挖好的基坑底部应采取必要的保温措施，如铺设草包或覆盖。</w:t>
      </w:r>
    </w:p>
    <w:p w14:paraId="3F516A9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6.7.3渠道土料填筑</w:t>
      </w:r>
    </w:p>
    <w:p w14:paraId="04AF00D7">
      <w:pPr>
        <w:snapToGrid w:val="0"/>
        <w:spacing w:line="300" w:lineRule="auto"/>
        <w:ind w:firstLine="420" w:firstLineChars="200"/>
        <w:rPr>
          <w:rFonts w:ascii="宋体" w:hAnsi="宋体" w:eastAsia="宋体"/>
          <w:szCs w:val="21"/>
        </w:rPr>
      </w:pPr>
      <w:r>
        <w:rPr>
          <w:rFonts w:hint="eastAsia" w:ascii="宋体" w:hAnsi="宋体" w:eastAsia="宋体"/>
          <w:szCs w:val="21"/>
        </w:rPr>
        <w:t>(1)土料填筑前，应在基础（渠床或岸坡）土壤与新填筑土层接触处，按施工图纸要求的尺寸铺设一层纯黏土接触层。</w:t>
      </w:r>
    </w:p>
    <w:p w14:paraId="4785AE78">
      <w:pPr>
        <w:snapToGrid w:val="0"/>
        <w:spacing w:line="300" w:lineRule="auto"/>
        <w:ind w:firstLine="420" w:firstLineChars="200"/>
        <w:rPr>
          <w:rFonts w:ascii="宋体" w:hAnsi="宋体" w:eastAsia="宋体"/>
          <w:szCs w:val="21"/>
        </w:rPr>
      </w:pPr>
      <w:r>
        <w:rPr>
          <w:rFonts w:hint="eastAsia" w:ascii="宋体" w:hAnsi="宋体" w:eastAsia="宋体"/>
          <w:szCs w:val="21"/>
        </w:rPr>
        <w:t>(2) 压实土体不应出现漏压虚土层、干松土、弹簧土、煎力破坏和光面等不良现象。监理人检查认为不合格时，有权要求承包人返工至监理人认可为止。</w:t>
      </w:r>
    </w:p>
    <w:p w14:paraId="5A3239DD">
      <w:pPr>
        <w:snapToGrid w:val="0"/>
        <w:spacing w:line="300" w:lineRule="auto"/>
        <w:ind w:firstLine="420" w:firstLineChars="200"/>
        <w:rPr>
          <w:rFonts w:ascii="宋体" w:hAnsi="宋体" w:eastAsia="宋体"/>
          <w:szCs w:val="21"/>
        </w:rPr>
      </w:pPr>
      <w:r>
        <w:rPr>
          <w:rFonts w:hint="eastAsia" w:ascii="宋体" w:hAnsi="宋体" w:eastAsia="宋体"/>
          <w:szCs w:val="21"/>
        </w:rPr>
        <w:t>(3)在接触的坡面上，应配合填层的上升速度，将表面松土铲除至已压实合格的土层为止。坡面须经刨毛处理，并使含水量控制在规定的范围内，然后才能继续铺填新土进行压实。</w:t>
      </w:r>
    </w:p>
    <w:p w14:paraId="2C3D7FD7">
      <w:pPr>
        <w:snapToGrid w:val="0"/>
        <w:spacing w:line="300" w:lineRule="auto"/>
        <w:ind w:firstLine="420" w:firstLineChars="200"/>
        <w:rPr>
          <w:rFonts w:ascii="宋体" w:hAnsi="宋体" w:eastAsia="宋体"/>
          <w:szCs w:val="21"/>
        </w:rPr>
      </w:pPr>
      <w:r>
        <w:rPr>
          <w:rFonts w:hint="eastAsia" w:ascii="宋体" w:hAnsi="宋体" w:eastAsia="宋体"/>
          <w:szCs w:val="21"/>
        </w:rPr>
        <w:t>(4)为保持土料正常的填筑含水量，逢阴雨天时，应停止填筑。当风力或日照较强时，承包人应按监理人的指示，在坡面上进行洒水润湿，以保持合适的含水量。</w:t>
      </w:r>
    </w:p>
    <w:p w14:paraId="36A604C6">
      <w:pPr>
        <w:snapToGrid w:val="0"/>
        <w:spacing w:line="300" w:lineRule="auto"/>
        <w:ind w:firstLine="420" w:firstLineChars="200"/>
        <w:rPr>
          <w:rFonts w:ascii="宋体" w:hAnsi="宋体" w:eastAsia="宋体"/>
          <w:szCs w:val="21"/>
        </w:rPr>
      </w:pPr>
      <w:r>
        <w:rPr>
          <w:rFonts w:hint="eastAsia" w:ascii="宋体" w:hAnsi="宋体" w:eastAsia="宋体"/>
          <w:szCs w:val="21"/>
        </w:rPr>
        <w:t>(5)渠道或建筑物回填土压实系数不得小于图纸规定要求。</w:t>
      </w:r>
    </w:p>
    <w:p w14:paraId="5FE439F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6.7.4冬季施工土料填筑</w:t>
      </w:r>
    </w:p>
    <w:p w14:paraId="5BDA1574">
      <w:pPr>
        <w:snapToGrid w:val="0"/>
        <w:spacing w:line="300" w:lineRule="auto"/>
        <w:ind w:firstLine="420" w:firstLineChars="200"/>
        <w:rPr>
          <w:rFonts w:ascii="宋体" w:hAnsi="宋体" w:eastAsia="宋体"/>
          <w:szCs w:val="21"/>
        </w:rPr>
      </w:pPr>
      <w:r>
        <w:rPr>
          <w:rFonts w:hint="eastAsia" w:ascii="宋体" w:hAnsi="宋体" w:eastAsia="宋体"/>
          <w:szCs w:val="21"/>
        </w:rPr>
        <w:t>(1)填方工程不宜在冬季施工，如必须在冬季施工时，其施工方法需经过技术经济比较后确定。</w:t>
      </w:r>
    </w:p>
    <w:p w14:paraId="44D02D28">
      <w:pPr>
        <w:snapToGrid w:val="0"/>
        <w:spacing w:line="300" w:lineRule="auto"/>
        <w:ind w:firstLine="420" w:firstLineChars="200"/>
        <w:rPr>
          <w:rFonts w:ascii="宋体" w:hAnsi="宋体" w:eastAsia="宋体"/>
          <w:szCs w:val="21"/>
        </w:rPr>
      </w:pPr>
      <w:r>
        <w:rPr>
          <w:rFonts w:hint="eastAsia" w:ascii="宋体" w:hAnsi="宋体" w:eastAsia="宋体"/>
          <w:szCs w:val="21"/>
        </w:rPr>
        <w:t>(2)填土前，应清除基底上的冰雪和保温材料，填土的上层应用未冻土铺填，其厚度应符合设计要求。</w:t>
      </w:r>
    </w:p>
    <w:p w14:paraId="230BAF14">
      <w:pPr>
        <w:snapToGrid w:val="0"/>
        <w:spacing w:line="300" w:lineRule="auto"/>
        <w:ind w:firstLine="420" w:firstLineChars="200"/>
        <w:rPr>
          <w:rFonts w:ascii="宋体" w:hAnsi="宋体" w:eastAsia="宋体"/>
          <w:szCs w:val="21"/>
        </w:rPr>
      </w:pPr>
      <w:r>
        <w:rPr>
          <w:rFonts w:hint="eastAsia" w:ascii="宋体" w:hAnsi="宋体" w:eastAsia="宋体"/>
          <w:szCs w:val="21"/>
        </w:rPr>
        <w:t>(3)冬季回填土每层铺土厚度应比常温施工时减少20%-50%，其中冻土块体积不得超过填土总体积的15%，其粒径不得大于150mm。铺填时，冻土块应均匀分布，逐层压实。</w:t>
      </w:r>
    </w:p>
    <w:p w14:paraId="0EC8D9EC">
      <w:pPr>
        <w:snapToGrid w:val="0"/>
        <w:spacing w:line="300" w:lineRule="auto"/>
        <w:ind w:firstLine="420" w:firstLineChars="200"/>
        <w:rPr>
          <w:rFonts w:ascii="宋体" w:hAnsi="宋体" w:eastAsia="宋体"/>
          <w:szCs w:val="21"/>
        </w:rPr>
      </w:pPr>
      <w:r>
        <w:rPr>
          <w:rFonts w:hint="eastAsia" w:ascii="宋体" w:hAnsi="宋体" w:eastAsia="宋体"/>
          <w:szCs w:val="21"/>
        </w:rPr>
        <w:t>(4)回填土施工应连续进行，防止基土或已冻土层受冻，应及时采取防冻措施。</w:t>
      </w:r>
    </w:p>
    <w:p w14:paraId="0766EE50">
      <w:pPr>
        <w:adjustRightInd w:val="0"/>
        <w:snapToGrid w:val="0"/>
        <w:spacing w:before="134" w:beforeLines="25" w:line="300" w:lineRule="auto"/>
        <w:outlineLvl w:val="1"/>
        <w:rPr>
          <w:rFonts w:ascii="宋体" w:hAnsi="宋体" w:eastAsia="宋体"/>
          <w:b/>
          <w:bCs/>
          <w:sz w:val="24"/>
          <w:szCs w:val="24"/>
        </w:rPr>
      </w:pPr>
      <w:bookmarkStart w:id="1431" w:name="_Toc455494739"/>
      <w:bookmarkStart w:id="1432" w:name="_Toc453706991"/>
      <w:bookmarkStart w:id="1433" w:name="_Toc455652119"/>
      <w:bookmarkStart w:id="1434" w:name="_Toc453706509"/>
      <w:bookmarkStart w:id="1435" w:name="_Toc455650114"/>
      <w:bookmarkStart w:id="1436" w:name="_Toc455651100"/>
      <w:r>
        <w:rPr>
          <w:rFonts w:hint="eastAsia" w:ascii="宋体" w:hAnsi="宋体" w:eastAsia="宋体"/>
          <w:b/>
          <w:bCs/>
          <w:sz w:val="24"/>
          <w:szCs w:val="24"/>
        </w:rPr>
        <w:t>6.8土工合成材料施工</w:t>
      </w:r>
      <w:bookmarkEnd w:id="1431"/>
      <w:bookmarkEnd w:id="1432"/>
      <w:bookmarkEnd w:id="1433"/>
      <w:bookmarkEnd w:id="1434"/>
      <w:bookmarkEnd w:id="1435"/>
      <w:bookmarkEnd w:id="1436"/>
    </w:p>
    <w:p w14:paraId="5F4337C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6.8.1材料</w:t>
      </w:r>
    </w:p>
    <w:p w14:paraId="5DC5AB24">
      <w:pPr>
        <w:snapToGrid w:val="0"/>
        <w:spacing w:line="300" w:lineRule="auto"/>
        <w:ind w:firstLine="420" w:firstLineChars="200"/>
        <w:rPr>
          <w:rFonts w:ascii="宋体" w:hAnsi="宋体" w:eastAsia="宋体"/>
          <w:szCs w:val="21"/>
        </w:rPr>
      </w:pPr>
      <w:r>
        <w:rPr>
          <w:rFonts w:hint="eastAsia" w:ascii="宋体" w:hAnsi="宋体" w:eastAsia="宋体"/>
          <w:szCs w:val="21"/>
        </w:rPr>
        <w:t>用于渠道、围堰等挡水建筑物的防渗结构、反滤和排水设施的土工合成材料包括土工织物、土工膜和土工复合材料其材料性能应遵守SL / T 225 一1998第3 . 2 节的有关规定。</w:t>
      </w:r>
    </w:p>
    <w:p w14:paraId="5F39406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6.8.2运输及储存</w:t>
      </w:r>
    </w:p>
    <w:p w14:paraId="03A22D7F">
      <w:pPr>
        <w:snapToGrid w:val="0"/>
        <w:spacing w:line="300" w:lineRule="auto"/>
        <w:ind w:firstLine="420" w:firstLineChars="200"/>
        <w:rPr>
          <w:rFonts w:ascii="宋体" w:hAnsi="宋体" w:eastAsia="宋体"/>
          <w:szCs w:val="21"/>
        </w:rPr>
      </w:pPr>
      <w:r>
        <w:rPr>
          <w:rFonts w:hint="eastAsia" w:ascii="宋体" w:hAnsi="宋体" w:eastAsia="宋体"/>
          <w:szCs w:val="21"/>
        </w:rPr>
        <w:t>(1）土工合成材料的运输及储存应遵守SL / T 225一1998第3.3节的规定。</w:t>
      </w:r>
    </w:p>
    <w:p w14:paraId="7C53C146">
      <w:pPr>
        <w:snapToGrid w:val="0"/>
        <w:spacing w:line="300" w:lineRule="auto"/>
        <w:ind w:firstLine="420" w:firstLineChars="200"/>
        <w:rPr>
          <w:rFonts w:ascii="宋体" w:hAnsi="宋体" w:eastAsia="宋体"/>
          <w:szCs w:val="21"/>
        </w:rPr>
      </w:pPr>
      <w:r>
        <w:rPr>
          <w:rFonts w:hint="eastAsia" w:ascii="宋体" w:hAnsi="宋体" w:eastAsia="宋体"/>
          <w:szCs w:val="21"/>
        </w:rPr>
        <w:t>(2）若采用折叠装箱运输土工合成材料，不得使用带钉子的木箱；若采用卷材运输，应注意防止在装卸过程中造成卷材表面的损害。</w:t>
      </w:r>
    </w:p>
    <w:p w14:paraId="2E17A1CB">
      <w:pPr>
        <w:snapToGrid w:val="0"/>
        <w:spacing w:line="300" w:lineRule="auto"/>
        <w:ind w:firstLine="420" w:firstLineChars="200"/>
        <w:rPr>
          <w:rFonts w:ascii="宋体" w:hAnsi="宋体" w:eastAsia="宋体"/>
          <w:szCs w:val="21"/>
        </w:rPr>
      </w:pPr>
      <w:r>
        <w:rPr>
          <w:rFonts w:hint="eastAsia" w:ascii="宋体" w:hAnsi="宋体" w:eastAsia="宋体"/>
          <w:szCs w:val="21"/>
        </w:rPr>
        <w:t>(3）土工合成材料应储存在不受损坏和方便取用的地方，尽量减少装卸次数。</w:t>
      </w:r>
    </w:p>
    <w:p w14:paraId="4E406EC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6.8.3拼接</w:t>
      </w:r>
    </w:p>
    <w:p w14:paraId="67FA3520">
      <w:pPr>
        <w:snapToGrid w:val="0"/>
        <w:spacing w:line="300" w:lineRule="auto"/>
        <w:ind w:firstLine="420" w:firstLineChars="200"/>
        <w:rPr>
          <w:rFonts w:ascii="宋体" w:hAnsi="宋体" w:eastAsia="宋体"/>
          <w:szCs w:val="21"/>
        </w:rPr>
      </w:pPr>
      <w:r>
        <w:rPr>
          <w:rFonts w:hint="eastAsia" w:ascii="宋体" w:hAnsi="宋体" w:eastAsia="宋体"/>
          <w:szCs w:val="21"/>
        </w:rPr>
        <w:t>(1）土工合成材料的拼接方式及搭接长度应满足施工图纸的要求，并遵守SL / T 225一1998第5.6.2一5.6.5条的有关规定。</w:t>
      </w:r>
    </w:p>
    <w:p w14:paraId="57E1D4B0">
      <w:pPr>
        <w:snapToGrid w:val="0"/>
        <w:spacing w:line="300" w:lineRule="auto"/>
        <w:ind w:firstLine="420" w:firstLineChars="200"/>
        <w:rPr>
          <w:rFonts w:ascii="宋体" w:hAnsi="宋体" w:eastAsia="宋体"/>
          <w:szCs w:val="21"/>
        </w:rPr>
      </w:pPr>
      <w:r>
        <w:rPr>
          <w:rFonts w:hint="eastAsia" w:ascii="宋体" w:hAnsi="宋体" w:eastAsia="宋体"/>
          <w:szCs w:val="21"/>
        </w:rPr>
        <w:t>(2）在施工过程中，若气温低于0℃，必须对粘结剂和粘结面进行加热处理。粘结强度必须符合施工图纸的要求。</w:t>
      </w:r>
    </w:p>
    <w:p w14:paraId="6A31A48A">
      <w:pPr>
        <w:snapToGrid w:val="0"/>
        <w:spacing w:line="300" w:lineRule="auto"/>
        <w:ind w:firstLine="420" w:firstLineChars="200"/>
        <w:rPr>
          <w:rFonts w:ascii="宋体" w:hAnsi="宋体" w:eastAsia="宋体"/>
          <w:szCs w:val="21"/>
        </w:rPr>
      </w:pPr>
      <w:r>
        <w:rPr>
          <w:rFonts w:hint="eastAsia" w:ascii="宋体" w:hAnsi="宋体" w:eastAsia="宋体"/>
          <w:szCs w:val="21"/>
        </w:rPr>
        <w:t>(3）采用现场粘结方式拼接土工合成材料应保证有足够的搭接长度，粘结剂应均匀涂满；采用热熔焊接进行拼接时，应保证有足够的焊接宽度，尽量选用宽幅的土工合成材料，若幅宽较窄，应在现场工作棚内拼接成宽幅，以减少现场接缝和粘（搭）结工作量。</w:t>
      </w:r>
    </w:p>
    <w:p w14:paraId="678136A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6.8.4土工合成材料铺设</w:t>
      </w:r>
    </w:p>
    <w:p w14:paraId="5A34D42D">
      <w:pPr>
        <w:snapToGrid w:val="0"/>
        <w:spacing w:line="300" w:lineRule="auto"/>
        <w:ind w:firstLine="420" w:firstLineChars="200"/>
        <w:rPr>
          <w:rFonts w:ascii="宋体" w:hAnsi="宋体" w:eastAsia="宋体"/>
          <w:szCs w:val="21"/>
        </w:rPr>
      </w:pPr>
      <w:r>
        <w:rPr>
          <w:rFonts w:hint="eastAsia" w:ascii="宋体" w:hAnsi="宋体" w:eastAsia="宋体"/>
          <w:szCs w:val="21"/>
        </w:rPr>
        <w:t>(1）采用土工膜或复合土工膜作防渗体时，应规划好跨越土工膜的行驶道路。当车辆、设备等跨越土工膜时，应采取相应的保护措施，防止损伤已铺设的土工合成材料。</w:t>
      </w:r>
    </w:p>
    <w:p w14:paraId="03212EDB">
      <w:pPr>
        <w:snapToGrid w:val="0"/>
        <w:spacing w:line="300" w:lineRule="auto"/>
        <w:ind w:firstLine="420" w:firstLineChars="200"/>
        <w:rPr>
          <w:rFonts w:ascii="宋体" w:hAnsi="宋体" w:eastAsia="宋体"/>
          <w:szCs w:val="21"/>
        </w:rPr>
      </w:pPr>
      <w:r>
        <w:rPr>
          <w:rFonts w:hint="eastAsia" w:ascii="宋体" w:hAnsi="宋体" w:eastAsia="宋体"/>
          <w:szCs w:val="21"/>
        </w:rPr>
        <w:t>(2）土工合成材料的铺设方法应根据渠堤高度和材料的受力方向、施工过程中的度汛要求以及尽量减少接缝的数量等因素确定。</w:t>
      </w:r>
    </w:p>
    <w:p w14:paraId="7A85C497">
      <w:pPr>
        <w:snapToGrid w:val="0"/>
        <w:spacing w:line="300" w:lineRule="auto"/>
        <w:ind w:firstLine="420" w:firstLineChars="200"/>
        <w:rPr>
          <w:rFonts w:ascii="宋体" w:hAnsi="宋体" w:eastAsia="宋体"/>
          <w:szCs w:val="21"/>
        </w:rPr>
      </w:pPr>
      <w:r>
        <w:rPr>
          <w:rFonts w:hint="eastAsia" w:ascii="宋体" w:hAnsi="宋体" w:eastAsia="宋体"/>
          <w:szCs w:val="21"/>
        </w:rPr>
        <w:t>(3）为防止大风吹损，在铺设期间应采用砂袋或软性重物将土工合成材料压住。当天铺设的土工合成材料应在当天拼接完成。</w:t>
      </w:r>
    </w:p>
    <w:p w14:paraId="354ED6B0">
      <w:pPr>
        <w:snapToGrid w:val="0"/>
        <w:spacing w:line="300" w:lineRule="auto"/>
        <w:ind w:firstLine="420" w:firstLineChars="200"/>
        <w:rPr>
          <w:rFonts w:ascii="宋体" w:hAnsi="宋体" w:eastAsia="宋体"/>
          <w:szCs w:val="21"/>
        </w:rPr>
      </w:pPr>
      <w:r>
        <w:rPr>
          <w:rFonts w:hint="eastAsia" w:ascii="宋体" w:hAnsi="宋体" w:eastAsia="宋体"/>
          <w:szCs w:val="21"/>
        </w:rPr>
        <w:t>(4）对施工过程中遭受损坏的土工合成材料，应及时修理，修理时应将破坏部位不符合要求的料物清除干净，补充填人合格料物后进行平整。对受损的土工合成材料，应外铺一层合格的土工合成材料，其各边长度应大于破损部位lm 以上，并将两者进行拼接处理。</w:t>
      </w:r>
    </w:p>
    <w:p w14:paraId="41C0DE98">
      <w:pPr>
        <w:snapToGrid w:val="0"/>
        <w:spacing w:line="300" w:lineRule="auto"/>
        <w:ind w:firstLine="420" w:firstLineChars="200"/>
        <w:rPr>
          <w:rFonts w:ascii="宋体" w:hAnsi="宋体" w:eastAsia="宋体"/>
          <w:szCs w:val="21"/>
        </w:rPr>
      </w:pPr>
      <w:r>
        <w:rPr>
          <w:rFonts w:hint="eastAsia" w:ascii="宋体" w:hAnsi="宋体" w:eastAsia="宋体"/>
          <w:szCs w:val="21"/>
        </w:rPr>
        <w:t>(5）渠道上土工合成材料的铺设应遵守以下规定：</w:t>
      </w:r>
    </w:p>
    <w:p w14:paraId="21AC2C25">
      <w:pPr>
        <w:snapToGrid w:val="0"/>
        <w:spacing w:line="300" w:lineRule="auto"/>
        <w:ind w:firstLine="420" w:firstLineChars="200"/>
        <w:rPr>
          <w:rFonts w:ascii="宋体" w:hAnsi="宋体" w:eastAsia="宋体"/>
          <w:szCs w:val="21"/>
        </w:rPr>
      </w:pPr>
      <w:r>
        <w:rPr>
          <w:rFonts w:hint="eastAsia" w:ascii="宋体" w:hAnsi="宋体" w:eastAsia="宋体"/>
          <w:szCs w:val="21"/>
        </w:rPr>
        <w:t>1）土工合成材料铺设前，应按施工图纸要求完成坡面清理和支持层施工。坡面上应清除一切树根、杂草和尖石；支持层应碾压密实，坡面平整；</w:t>
      </w:r>
    </w:p>
    <w:p w14:paraId="47AF1ADE">
      <w:pPr>
        <w:snapToGrid w:val="0"/>
        <w:spacing w:line="300" w:lineRule="auto"/>
        <w:ind w:firstLine="420" w:firstLineChars="200"/>
        <w:rPr>
          <w:rFonts w:ascii="宋体" w:hAnsi="宋体" w:eastAsia="宋体"/>
          <w:szCs w:val="21"/>
        </w:rPr>
      </w:pPr>
      <w:r>
        <w:rPr>
          <w:rFonts w:hint="eastAsia" w:ascii="宋体" w:hAnsi="宋体" w:eastAsia="宋体"/>
          <w:szCs w:val="21"/>
        </w:rPr>
        <w:t>2）开挖渠坡顶锚固槽，其断面尺寸应符合施工图纸的规定；</w:t>
      </w:r>
    </w:p>
    <w:p w14:paraId="3CF16CF9">
      <w:pPr>
        <w:snapToGrid w:val="0"/>
        <w:spacing w:line="300" w:lineRule="auto"/>
        <w:ind w:firstLine="420" w:firstLineChars="200"/>
        <w:rPr>
          <w:rFonts w:ascii="宋体" w:hAnsi="宋体" w:eastAsia="宋体"/>
          <w:szCs w:val="21"/>
        </w:rPr>
      </w:pPr>
      <w:r>
        <w:rPr>
          <w:rFonts w:hint="eastAsia" w:ascii="宋体" w:hAnsi="宋体" w:eastAsia="宋体"/>
          <w:szCs w:val="21"/>
        </w:rPr>
        <w:t>3）对渠坡顶锚固槽、堤坡坡面进行清理和验收后，由上向下滚铺卷材；</w:t>
      </w:r>
    </w:p>
    <w:p w14:paraId="15070438">
      <w:pPr>
        <w:snapToGrid w:val="0"/>
        <w:spacing w:line="300" w:lineRule="auto"/>
        <w:ind w:firstLine="420" w:firstLineChars="200"/>
        <w:rPr>
          <w:rFonts w:ascii="宋体" w:hAnsi="宋体" w:eastAsia="宋体"/>
          <w:szCs w:val="21"/>
        </w:rPr>
      </w:pPr>
      <w:r>
        <w:rPr>
          <w:rFonts w:hint="eastAsia" w:ascii="宋体" w:hAnsi="宋体" w:eastAsia="宋体"/>
          <w:szCs w:val="21"/>
        </w:rPr>
        <w:t>4）铺设过程中，作业人员不得穿硬底皮鞋及带钉鞋不准在土工合成材料上卸放护坡块体，不准用带尖头的撬动工具，不准进行可能引起土工合成材料损坏的施工作业；</w:t>
      </w:r>
    </w:p>
    <w:p w14:paraId="5C626AFA">
      <w:pPr>
        <w:snapToGrid w:val="0"/>
        <w:spacing w:line="300" w:lineRule="auto"/>
        <w:ind w:firstLine="420" w:firstLineChars="200"/>
        <w:rPr>
          <w:rFonts w:ascii="宋体" w:hAnsi="宋体" w:eastAsia="宋体"/>
          <w:szCs w:val="21"/>
        </w:rPr>
      </w:pPr>
      <w:r>
        <w:rPr>
          <w:rFonts w:hint="eastAsia" w:ascii="宋体" w:hAnsi="宋体" w:eastAsia="宋体"/>
          <w:szCs w:val="21"/>
        </w:rPr>
        <w:t>5）土工合成材料与基础及支持层之间应压平贴紧，避免架空。对易产生架空现象的坝面马道部位可设置水平槽。</w:t>
      </w:r>
    </w:p>
    <w:p w14:paraId="74D377A9">
      <w:pPr>
        <w:snapToGrid w:val="0"/>
        <w:spacing w:line="300" w:lineRule="auto"/>
        <w:ind w:firstLine="420" w:firstLineChars="200"/>
        <w:rPr>
          <w:rFonts w:ascii="宋体" w:hAnsi="宋体" w:eastAsia="宋体"/>
          <w:szCs w:val="21"/>
        </w:rPr>
      </w:pPr>
      <w:r>
        <w:rPr>
          <w:rFonts w:hint="eastAsia" w:ascii="宋体" w:hAnsi="宋体" w:eastAsia="宋体"/>
          <w:szCs w:val="21"/>
        </w:rPr>
        <w:t>(6）土工膜与周边连接施工：</w:t>
      </w:r>
    </w:p>
    <w:p w14:paraId="1FBC4769">
      <w:pPr>
        <w:snapToGrid w:val="0"/>
        <w:spacing w:line="300" w:lineRule="auto"/>
        <w:ind w:firstLine="420" w:firstLineChars="200"/>
        <w:rPr>
          <w:rFonts w:ascii="宋体" w:hAnsi="宋体" w:eastAsia="宋体"/>
          <w:szCs w:val="21"/>
        </w:rPr>
      </w:pPr>
      <w:r>
        <w:rPr>
          <w:rFonts w:hint="eastAsia" w:ascii="宋体" w:hAnsi="宋体" w:eastAsia="宋体"/>
          <w:szCs w:val="21"/>
        </w:rPr>
        <w:t>1）土工膜应通过锚固槽与岸坡的不透水基岩紧密连接，顶部应锚固于渠堤封顶板混凝土下黄土中，以形成整体防渗。其锚固长度应符合施工图纸的要求；</w:t>
      </w:r>
    </w:p>
    <w:p w14:paraId="6C8F7947">
      <w:pPr>
        <w:snapToGrid w:val="0"/>
        <w:spacing w:line="300" w:lineRule="auto"/>
        <w:ind w:firstLine="420" w:firstLineChars="200"/>
        <w:rPr>
          <w:rFonts w:ascii="宋体" w:hAnsi="宋体" w:eastAsia="宋体"/>
          <w:szCs w:val="21"/>
        </w:rPr>
      </w:pPr>
      <w:r>
        <w:rPr>
          <w:rFonts w:hint="eastAsia" w:ascii="宋体" w:hAnsi="宋体" w:eastAsia="宋体"/>
          <w:szCs w:val="21"/>
        </w:rPr>
        <w:t>2）土工膜与周边的连接形式应符合施工图纸的要求。土工膜与渠道建筑物连接，可直接锚在基岩或混凝土面上，或采用粘结剂粘结牢固。</w:t>
      </w:r>
    </w:p>
    <w:p w14:paraId="6C4BE8A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6.8.5保护层施工</w:t>
      </w:r>
    </w:p>
    <w:p w14:paraId="44D02A4A">
      <w:pPr>
        <w:snapToGrid w:val="0"/>
        <w:spacing w:line="300" w:lineRule="auto"/>
        <w:ind w:firstLine="420" w:firstLineChars="200"/>
        <w:rPr>
          <w:rFonts w:ascii="宋体" w:hAnsi="宋体" w:eastAsia="宋体"/>
          <w:szCs w:val="21"/>
        </w:rPr>
      </w:pPr>
      <w:r>
        <w:rPr>
          <w:rFonts w:hint="eastAsia" w:ascii="宋体" w:hAnsi="宋体" w:eastAsia="宋体"/>
          <w:szCs w:val="21"/>
        </w:rPr>
        <w:t>(1）当土工膜用于斜坡防渗时，应在铺设好的土工膜上进行保护层施工。保护层的形式应符合施工图纸的要求。</w:t>
      </w:r>
    </w:p>
    <w:p w14:paraId="1BE43523">
      <w:pPr>
        <w:snapToGrid w:val="0"/>
        <w:spacing w:line="300" w:lineRule="auto"/>
        <w:ind w:firstLine="420" w:firstLineChars="200"/>
        <w:rPr>
          <w:rFonts w:ascii="宋体" w:hAnsi="宋体" w:eastAsia="宋体"/>
          <w:szCs w:val="21"/>
        </w:rPr>
      </w:pPr>
      <w:r>
        <w:rPr>
          <w:rFonts w:hint="eastAsia" w:ascii="宋体" w:hAnsi="宋体" w:eastAsia="宋体"/>
          <w:szCs w:val="21"/>
        </w:rPr>
        <w:t>(2）土料作为保护层、应自下而上分层填筑，铺料厚度和压实干密度应满足施工图纸的要求。</w:t>
      </w:r>
    </w:p>
    <w:p w14:paraId="0B3425F8">
      <w:pPr>
        <w:adjustRightInd w:val="0"/>
        <w:snapToGrid w:val="0"/>
        <w:spacing w:before="134" w:beforeLines="25" w:line="300" w:lineRule="auto"/>
        <w:outlineLvl w:val="1"/>
        <w:rPr>
          <w:rFonts w:ascii="宋体" w:hAnsi="宋体" w:eastAsia="宋体"/>
          <w:b/>
          <w:bCs/>
          <w:sz w:val="24"/>
          <w:szCs w:val="24"/>
        </w:rPr>
      </w:pPr>
      <w:bookmarkStart w:id="1437" w:name="_Toc455651101"/>
      <w:bookmarkStart w:id="1438" w:name="_Toc453706510"/>
      <w:bookmarkStart w:id="1439" w:name="_Toc455650115"/>
      <w:bookmarkStart w:id="1440" w:name="_Toc455494740"/>
      <w:bookmarkStart w:id="1441" w:name="_Toc455652120"/>
      <w:bookmarkStart w:id="1442" w:name="_Toc453706992"/>
      <w:r>
        <w:rPr>
          <w:rFonts w:hint="eastAsia" w:ascii="宋体" w:hAnsi="宋体" w:eastAsia="宋体"/>
          <w:b/>
          <w:bCs/>
          <w:sz w:val="24"/>
          <w:szCs w:val="24"/>
        </w:rPr>
        <w:t>6.9质量检查和验收</w:t>
      </w:r>
      <w:bookmarkEnd w:id="1437"/>
      <w:bookmarkEnd w:id="1438"/>
      <w:bookmarkEnd w:id="1439"/>
      <w:bookmarkEnd w:id="1440"/>
      <w:bookmarkEnd w:id="1441"/>
      <w:bookmarkEnd w:id="1442"/>
    </w:p>
    <w:p w14:paraId="62A937D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6.9.1土石方填筑前的质量检查和验收</w:t>
      </w:r>
    </w:p>
    <w:p w14:paraId="5A2858A5">
      <w:pPr>
        <w:snapToGrid w:val="0"/>
        <w:spacing w:line="300" w:lineRule="auto"/>
        <w:ind w:firstLine="420" w:firstLineChars="200"/>
        <w:rPr>
          <w:rFonts w:ascii="宋体" w:hAnsi="宋体" w:eastAsia="宋体"/>
          <w:szCs w:val="21"/>
        </w:rPr>
      </w:pPr>
      <w:r>
        <w:rPr>
          <w:rFonts w:hint="eastAsia" w:ascii="宋体" w:hAnsi="宋体" w:eastAsia="宋体"/>
          <w:szCs w:val="21"/>
        </w:rPr>
        <w:t>(1) 填筑前的地形平面、剖面测量资料的复核检查；</w:t>
      </w:r>
    </w:p>
    <w:p w14:paraId="1111BE07">
      <w:pPr>
        <w:snapToGrid w:val="0"/>
        <w:spacing w:line="300" w:lineRule="auto"/>
        <w:ind w:firstLine="420" w:firstLineChars="200"/>
        <w:rPr>
          <w:rFonts w:ascii="宋体" w:hAnsi="宋体" w:eastAsia="宋体"/>
          <w:szCs w:val="21"/>
        </w:rPr>
      </w:pPr>
      <w:r>
        <w:rPr>
          <w:rFonts w:hint="eastAsia" w:ascii="宋体" w:hAnsi="宋体" w:eastAsia="宋体"/>
          <w:szCs w:val="21"/>
        </w:rPr>
        <w:t>(2) 填筑前基础面清理的检查和验收；</w:t>
      </w:r>
    </w:p>
    <w:p w14:paraId="54DE272F">
      <w:pPr>
        <w:snapToGrid w:val="0"/>
        <w:spacing w:line="300" w:lineRule="auto"/>
        <w:ind w:firstLine="420" w:firstLineChars="200"/>
        <w:rPr>
          <w:rFonts w:ascii="宋体" w:hAnsi="宋体" w:eastAsia="宋体"/>
          <w:szCs w:val="21"/>
        </w:rPr>
      </w:pPr>
      <w:r>
        <w:rPr>
          <w:rFonts w:hint="eastAsia" w:ascii="宋体" w:hAnsi="宋体" w:eastAsia="宋体"/>
          <w:szCs w:val="21"/>
        </w:rPr>
        <w:t>(3) 料场开采区各种土石方填筑料的物理力学性质的抽检;</w:t>
      </w:r>
    </w:p>
    <w:p w14:paraId="5F84E81B">
      <w:pPr>
        <w:snapToGrid w:val="0"/>
        <w:spacing w:line="300" w:lineRule="auto"/>
        <w:ind w:firstLine="420" w:firstLineChars="200"/>
        <w:rPr>
          <w:rFonts w:ascii="宋体" w:hAnsi="宋体" w:eastAsia="宋体"/>
          <w:szCs w:val="21"/>
        </w:rPr>
      </w:pPr>
      <w:r>
        <w:rPr>
          <w:rFonts w:hint="eastAsia" w:ascii="宋体" w:hAnsi="宋体" w:eastAsia="宋体"/>
          <w:szCs w:val="21"/>
        </w:rPr>
        <w:t>(4) 现场生产性试验选定的施工碾压参数及其各项试验成果的检查和验收。</w:t>
      </w:r>
    </w:p>
    <w:p w14:paraId="2FD28F2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6.9.2土石方填筑过程的质量检查和验收：</w:t>
      </w:r>
    </w:p>
    <w:p w14:paraId="568A6647">
      <w:pPr>
        <w:snapToGrid w:val="0"/>
        <w:spacing w:line="300" w:lineRule="auto"/>
        <w:ind w:firstLine="420" w:firstLineChars="200"/>
        <w:rPr>
          <w:rFonts w:ascii="宋体" w:hAnsi="宋体" w:eastAsia="宋体"/>
          <w:szCs w:val="21"/>
        </w:rPr>
      </w:pPr>
      <w:r>
        <w:rPr>
          <w:rFonts w:hint="eastAsia" w:ascii="宋体" w:hAnsi="宋体" w:eastAsia="宋体"/>
          <w:szCs w:val="21"/>
        </w:rPr>
        <w:t>(1）填筑过程的质量检查的内容、方法和程序应遵守SL49一2015附录A 的规定。</w:t>
      </w:r>
    </w:p>
    <w:p w14:paraId="358615E1">
      <w:pPr>
        <w:snapToGrid w:val="0"/>
        <w:spacing w:line="300" w:lineRule="auto"/>
        <w:ind w:firstLine="420" w:firstLineChars="200"/>
        <w:rPr>
          <w:rFonts w:ascii="宋体" w:hAnsi="宋体" w:eastAsia="宋体"/>
          <w:szCs w:val="21"/>
        </w:rPr>
      </w:pPr>
      <w:r>
        <w:rPr>
          <w:rFonts w:hint="eastAsia" w:ascii="宋体" w:hAnsi="宋体" w:eastAsia="宋体"/>
          <w:szCs w:val="21"/>
        </w:rPr>
        <w:t>(2）在土料场对防渗土料的含水量和颗粒级配进行检验，严格控制土料的含水量</w:t>
      </w:r>
    </w:p>
    <w:p w14:paraId="1B61C401">
      <w:pPr>
        <w:snapToGrid w:val="0"/>
        <w:spacing w:line="300" w:lineRule="auto"/>
        <w:ind w:firstLine="420" w:firstLineChars="200"/>
        <w:rPr>
          <w:rFonts w:ascii="宋体" w:hAnsi="宋体" w:eastAsia="宋体"/>
          <w:szCs w:val="21"/>
        </w:rPr>
      </w:pPr>
      <w:r>
        <w:rPr>
          <w:rFonts w:hint="eastAsia" w:ascii="宋体" w:hAnsi="宋体" w:eastAsia="宋体"/>
          <w:szCs w:val="21"/>
        </w:rPr>
        <w:t>(3）在石料场对石料质量和尺寸外形及堆石料的级配进行检验；在反滤料场对成品料的颗粒级配、含水量、软弱颗粒含量和形状等进行检验。</w:t>
      </w:r>
    </w:p>
    <w:p w14:paraId="144B351D">
      <w:pPr>
        <w:snapToGrid w:val="0"/>
        <w:spacing w:line="300" w:lineRule="auto"/>
        <w:ind w:firstLine="420" w:firstLineChars="200"/>
        <w:rPr>
          <w:rFonts w:ascii="宋体" w:hAnsi="宋体" w:eastAsia="宋体"/>
          <w:szCs w:val="21"/>
        </w:rPr>
      </w:pPr>
      <w:r>
        <w:rPr>
          <w:rFonts w:hint="eastAsia" w:ascii="宋体" w:hAnsi="宋体" w:eastAsia="宋体"/>
          <w:szCs w:val="21"/>
        </w:rPr>
        <w:t>(4）对防渗土料的含水量和干密度、砾质土颗粒级配、反滤料和堆石料的干密度、孔隙率和颗粒级配等碾压参数进行检验。</w:t>
      </w:r>
    </w:p>
    <w:p w14:paraId="21713417">
      <w:pPr>
        <w:snapToGrid w:val="0"/>
        <w:spacing w:line="300" w:lineRule="auto"/>
        <w:ind w:firstLine="420" w:firstLineChars="200"/>
        <w:rPr>
          <w:rFonts w:ascii="宋体" w:hAnsi="宋体" w:eastAsia="宋体"/>
          <w:szCs w:val="21"/>
        </w:rPr>
      </w:pPr>
      <w:r>
        <w:rPr>
          <w:rFonts w:hint="eastAsia" w:ascii="宋体" w:hAnsi="宋体" w:eastAsia="宋体"/>
          <w:szCs w:val="21"/>
        </w:rPr>
        <w:t>(5）对每一层填筑面，应按本合同《通用合同条款》第13.5条和本章第6.7节的规定进行工程隐蔽部位的验收。</w:t>
      </w:r>
    </w:p>
    <w:p w14:paraId="6418DFB2">
      <w:pPr>
        <w:snapToGrid w:val="0"/>
        <w:spacing w:line="300" w:lineRule="auto"/>
        <w:ind w:firstLine="420" w:firstLineChars="200"/>
        <w:rPr>
          <w:rFonts w:ascii="宋体" w:hAnsi="宋体" w:eastAsia="宋体"/>
          <w:szCs w:val="21"/>
        </w:rPr>
      </w:pPr>
      <w:r>
        <w:rPr>
          <w:rFonts w:hint="eastAsia" w:ascii="宋体" w:hAnsi="宋体" w:eastAsia="宋体"/>
          <w:szCs w:val="21"/>
        </w:rPr>
        <w:t>(6）取样测定堆石料干密度，其平均值不应小于施工图纸规定的设计值。</w:t>
      </w:r>
    </w:p>
    <w:p w14:paraId="6CA6BB8C">
      <w:pPr>
        <w:snapToGrid w:val="0"/>
        <w:spacing w:line="300" w:lineRule="auto"/>
        <w:ind w:firstLine="420" w:firstLineChars="200"/>
        <w:rPr>
          <w:rFonts w:ascii="宋体" w:hAnsi="宋体" w:eastAsia="宋体"/>
          <w:szCs w:val="21"/>
        </w:rPr>
      </w:pPr>
      <w:r>
        <w:rPr>
          <w:rFonts w:hint="eastAsia" w:ascii="宋体" w:hAnsi="宋体" w:eastAsia="宋体"/>
          <w:szCs w:val="21"/>
        </w:rPr>
        <w:t>(7）承包人应按监理人指示，针对本章第6.7节的施工内容，提交各项质量检查报告经监理人验收后作为土石方填筑工程完工验收的附件。</w:t>
      </w:r>
    </w:p>
    <w:p w14:paraId="2F79C09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6.9.3渠道工程的施工质量控制和验收</w:t>
      </w:r>
    </w:p>
    <w:p w14:paraId="60503DAB">
      <w:pPr>
        <w:snapToGrid w:val="0"/>
        <w:spacing w:line="300" w:lineRule="auto"/>
        <w:ind w:firstLine="420" w:firstLineChars="200"/>
        <w:rPr>
          <w:rFonts w:ascii="宋体" w:hAnsi="宋体" w:eastAsia="宋体"/>
          <w:szCs w:val="21"/>
        </w:rPr>
      </w:pPr>
      <w:r>
        <w:rPr>
          <w:rFonts w:hint="eastAsia" w:ascii="宋体" w:hAnsi="宋体" w:eastAsia="宋体"/>
          <w:szCs w:val="21"/>
        </w:rPr>
        <w:t>渠道工程施工质量控制和验收应遵守SL223一2008相关章节的规定。</w:t>
      </w:r>
    </w:p>
    <w:p w14:paraId="5E3907D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6.9.4土工合成材料防渗体的质量检查和验收</w:t>
      </w:r>
    </w:p>
    <w:p w14:paraId="63F3336C">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(1）承包人应按本章第6.8.1 条的有关规定对运到工地的每批土工合成材料进行检查和验收。</w:t>
      </w:r>
    </w:p>
    <w:p w14:paraId="6DCA348E">
      <w:pPr>
        <w:snapToGrid w:val="0"/>
        <w:spacing w:line="300" w:lineRule="auto"/>
        <w:ind w:firstLine="420" w:firstLineChars="200"/>
        <w:rPr>
          <w:rFonts w:ascii="宋体" w:hAnsi="宋体" w:eastAsia="宋体"/>
          <w:szCs w:val="21"/>
        </w:rPr>
      </w:pPr>
      <w:r>
        <w:rPr>
          <w:rFonts w:hint="eastAsia" w:ascii="宋体" w:hAnsi="宋体" w:eastAsia="宋体"/>
          <w:szCs w:val="21"/>
        </w:rPr>
        <w:t>(2）每层土工合成材料被回填覆盖前，承包人应会同监理人按工程隐蔽部位的验收要求，对土工合成材料防渗体施工质量进行以下项目的检验和验收：</w:t>
      </w:r>
    </w:p>
    <w:p w14:paraId="480E1163">
      <w:pPr>
        <w:snapToGrid w:val="0"/>
        <w:spacing w:line="300" w:lineRule="auto"/>
        <w:ind w:firstLine="420" w:firstLineChars="200"/>
        <w:rPr>
          <w:rFonts w:ascii="宋体" w:hAnsi="宋体" w:eastAsia="宋体"/>
          <w:szCs w:val="21"/>
        </w:rPr>
      </w:pPr>
      <w:r>
        <w:rPr>
          <w:rFonts w:hint="eastAsia" w:ascii="宋体" w:hAnsi="宋体" w:eastAsia="宋体"/>
          <w:szCs w:val="21"/>
        </w:rPr>
        <w:t>1）每层土工合成材料被覆盖前，应根据SL/T 225—1998第5.6.9 条第1项、第2项的规定，采用目测或用真空法、充气法检查有无漏接，接缝烫损和折皱等缺陷；</w:t>
      </w:r>
    </w:p>
    <w:p w14:paraId="0ECE9E47">
      <w:pPr>
        <w:snapToGrid w:val="0"/>
        <w:spacing w:line="300" w:lineRule="auto"/>
        <w:ind w:firstLine="420" w:firstLineChars="200"/>
        <w:rPr>
          <w:rFonts w:ascii="宋体" w:hAnsi="宋体" w:eastAsia="宋体"/>
          <w:szCs w:val="21"/>
        </w:rPr>
      </w:pPr>
      <w:r>
        <w:rPr>
          <w:rFonts w:hint="eastAsia" w:ascii="宋体" w:hAnsi="宋体" w:eastAsia="宋体"/>
          <w:szCs w:val="21"/>
        </w:rPr>
        <w:t>2）承包人应按SL/T 225一1998第5.6.9条第3项的规定，进行拉伸强度试验，要求接缝处强度不低于母材的80％，且试件断裂不得在接缝处，防止接缝不合格。</w:t>
      </w:r>
    </w:p>
    <w:p w14:paraId="09E5BE1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6.9.5完工验收</w:t>
      </w:r>
    </w:p>
    <w:p w14:paraId="6D49ABD7">
      <w:pPr>
        <w:snapToGrid w:val="0"/>
        <w:spacing w:line="300" w:lineRule="auto"/>
        <w:ind w:firstLine="420" w:firstLineChars="200"/>
        <w:rPr>
          <w:rFonts w:ascii="宋体" w:hAnsi="宋体" w:eastAsia="宋体"/>
          <w:szCs w:val="21"/>
        </w:rPr>
      </w:pPr>
      <w:r>
        <w:rPr>
          <w:rFonts w:hint="eastAsia" w:ascii="宋体" w:hAnsi="宋体" w:eastAsia="宋体"/>
          <w:szCs w:val="21"/>
        </w:rPr>
        <w:t>土石方填筑工程全部完工后，承包人应向监理人申请完工验收，并提交以下完工验收资料：</w:t>
      </w:r>
    </w:p>
    <w:p w14:paraId="5C020AE5">
      <w:pPr>
        <w:snapToGrid w:val="0"/>
        <w:spacing w:line="300" w:lineRule="auto"/>
        <w:ind w:firstLine="420" w:firstLineChars="200"/>
        <w:rPr>
          <w:rFonts w:ascii="宋体" w:hAnsi="宋体" w:eastAsia="宋体"/>
          <w:szCs w:val="21"/>
        </w:rPr>
      </w:pPr>
      <w:r>
        <w:rPr>
          <w:rFonts w:hint="eastAsia" w:ascii="宋体" w:hAnsi="宋体" w:eastAsia="宋体"/>
          <w:szCs w:val="21"/>
        </w:rPr>
        <w:t>(1)土石方填筑工程(包括填筑体防渗结构)竣工图；</w:t>
      </w:r>
    </w:p>
    <w:p w14:paraId="6AA1F810">
      <w:pPr>
        <w:snapToGrid w:val="0"/>
        <w:spacing w:line="300" w:lineRule="auto"/>
        <w:ind w:firstLine="420" w:firstLineChars="200"/>
        <w:rPr>
          <w:rFonts w:ascii="宋体" w:hAnsi="宋体" w:eastAsia="宋体"/>
          <w:szCs w:val="21"/>
        </w:rPr>
      </w:pPr>
      <w:r>
        <w:rPr>
          <w:rFonts w:hint="eastAsia" w:ascii="宋体" w:hAnsi="宋体" w:eastAsia="宋体"/>
          <w:szCs w:val="21"/>
        </w:rPr>
        <w:t>(2)土石方填筑工程基础地质编录资料，</w:t>
      </w:r>
    </w:p>
    <w:p w14:paraId="161CE4F6">
      <w:pPr>
        <w:snapToGrid w:val="0"/>
        <w:spacing w:line="300" w:lineRule="auto"/>
        <w:ind w:firstLine="420" w:firstLineChars="200"/>
        <w:rPr>
          <w:rFonts w:ascii="宋体" w:hAnsi="宋体" w:eastAsia="宋体"/>
          <w:szCs w:val="21"/>
        </w:rPr>
      </w:pPr>
      <w:r>
        <w:rPr>
          <w:rFonts w:hint="eastAsia" w:ascii="宋体" w:hAnsi="宋体" w:eastAsia="宋体"/>
          <w:szCs w:val="21"/>
        </w:rPr>
        <w:t>(3)现场试验成果；</w:t>
      </w:r>
    </w:p>
    <w:p w14:paraId="7CE4A1D9">
      <w:pPr>
        <w:snapToGrid w:val="0"/>
        <w:spacing w:line="300" w:lineRule="auto"/>
        <w:ind w:firstLine="420" w:firstLineChars="200"/>
        <w:rPr>
          <w:rFonts w:ascii="宋体" w:hAnsi="宋体" w:eastAsia="宋体"/>
          <w:szCs w:val="21"/>
        </w:rPr>
      </w:pPr>
      <w:r>
        <w:rPr>
          <w:rFonts w:hint="eastAsia" w:ascii="宋体" w:hAnsi="宋体" w:eastAsia="宋体"/>
          <w:szCs w:val="21"/>
        </w:rPr>
        <w:t>(4)各土石方填筑体的填筑质量及土工布施工质量（包括质量事故处理）报告；</w:t>
      </w:r>
    </w:p>
    <w:p w14:paraId="27CB2C20">
      <w:pPr>
        <w:snapToGrid w:val="0"/>
        <w:spacing w:line="300" w:lineRule="auto"/>
        <w:ind w:firstLine="420" w:firstLineChars="200"/>
        <w:rPr>
          <w:rFonts w:ascii="宋体" w:hAnsi="宋体" w:eastAsia="宋体"/>
          <w:szCs w:val="21"/>
        </w:rPr>
      </w:pPr>
      <w:r>
        <w:rPr>
          <w:rFonts w:hint="eastAsia" w:ascii="宋体" w:hAnsi="宋体" w:eastAsia="宋体"/>
          <w:szCs w:val="21"/>
        </w:rPr>
        <w:t>(5)施工期的观测成果；</w:t>
      </w:r>
    </w:p>
    <w:p w14:paraId="76F5E19A">
      <w:pPr>
        <w:snapToGrid w:val="0"/>
        <w:spacing w:line="300" w:lineRule="auto"/>
        <w:ind w:firstLine="420" w:firstLineChars="200"/>
        <w:rPr>
          <w:rFonts w:ascii="宋体" w:hAnsi="宋体" w:eastAsia="宋体"/>
          <w:szCs w:val="21"/>
        </w:rPr>
      </w:pPr>
      <w:r>
        <w:rPr>
          <w:rFonts w:hint="eastAsia" w:ascii="宋体" w:hAnsi="宋体" w:eastAsia="宋体"/>
          <w:szCs w:val="21"/>
        </w:rPr>
        <w:t>(6)工程隐蔽部位的检查验收报告；</w:t>
      </w:r>
    </w:p>
    <w:p w14:paraId="5861173D">
      <w:pPr>
        <w:snapToGrid w:val="0"/>
        <w:spacing w:line="300" w:lineRule="auto"/>
        <w:ind w:firstLine="420" w:firstLineChars="200"/>
        <w:rPr>
          <w:rFonts w:ascii="宋体" w:hAnsi="宋体" w:eastAsia="宋体"/>
          <w:szCs w:val="21"/>
        </w:rPr>
      </w:pPr>
      <w:r>
        <w:rPr>
          <w:rFonts w:hint="eastAsia" w:ascii="宋体" w:hAnsi="宋体" w:eastAsia="宋体"/>
          <w:szCs w:val="21"/>
        </w:rPr>
        <w:t>(7)监理人要求提供的其它资料。</w:t>
      </w:r>
    </w:p>
    <w:p w14:paraId="48FDB2EA">
      <w:pPr>
        <w:adjustRightInd w:val="0"/>
        <w:snapToGrid w:val="0"/>
        <w:spacing w:before="134" w:beforeLines="25" w:line="300" w:lineRule="auto"/>
        <w:outlineLvl w:val="1"/>
        <w:rPr>
          <w:rFonts w:ascii="宋体" w:hAnsi="宋体" w:eastAsia="宋体"/>
          <w:b/>
          <w:bCs/>
          <w:sz w:val="24"/>
          <w:szCs w:val="24"/>
        </w:rPr>
      </w:pPr>
      <w:bookmarkStart w:id="1443" w:name="_Toc453706511"/>
      <w:bookmarkStart w:id="1444" w:name="_Toc455494741"/>
      <w:bookmarkStart w:id="1445" w:name="_Toc455651102"/>
      <w:bookmarkStart w:id="1446" w:name="_Toc455650116"/>
      <w:bookmarkStart w:id="1447" w:name="_Toc455652121"/>
      <w:bookmarkStart w:id="1448" w:name="_Toc453706993"/>
      <w:r>
        <w:rPr>
          <w:rFonts w:hint="eastAsia" w:ascii="宋体" w:hAnsi="宋体" w:eastAsia="宋体"/>
          <w:b/>
          <w:bCs/>
          <w:sz w:val="24"/>
          <w:szCs w:val="24"/>
        </w:rPr>
        <w:t>6.10计量和支付</w:t>
      </w:r>
      <w:bookmarkEnd w:id="1443"/>
      <w:bookmarkEnd w:id="1444"/>
      <w:bookmarkEnd w:id="1445"/>
      <w:bookmarkEnd w:id="1446"/>
      <w:bookmarkEnd w:id="1447"/>
      <w:bookmarkEnd w:id="1448"/>
    </w:p>
    <w:p w14:paraId="0F61BF5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6.10.1渠道填筑</w:t>
      </w:r>
    </w:p>
    <w:p w14:paraId="3532009D">
      <w:pPr>
        <w:snapToGrid w:val="0"/>
        <w:spacing w:line="300" w:lineRule="auto"/>
        <w:ind w:firstLine="420" w:firstLineChars="200"/>
        <w:rPr>
          <w:rFonts w:ascii="宋体" w:hAnsi="宋体" w:eastAsia="宋体"/>
          <w:szCs w:val="21"/>
        </w:rPr>
      </w:pPr>
      <w:r>
        <w:rPr>
          <w:rFonts w:hint="eastAsia" w:ascii="宋体" w:hAnsi="宋体" w:eastAsia="宋体"/>
          <w:szCs w:val="21"/>
        </w:rPr>
        <w:t>(1)渠道填筑最终工程量的计量，应按本章第6.7.1条(2)项和施工图纸所示各种填筑体的尺寸和基础开挖清理完成后的实测地形，计算各种填筑体的工程量，以《工程量清单》所列项目的各种填筑材料的每立方米单价支付。</w:t>
      </w:r>
    </w:p>
    <w:p w14:paraId="71EE7ADB">
      <w:pPr>
        <w:snapToGrid w:val="0"/>
        <w:spacing w:line="300" w:lineRule="auto"/>
        <w:ind w:firstLine="420" w:firstLineChars="200"/>
        <w:rPr>
          <w:rFonts w:ascii="宋体" w:hAnsi="宋体" w:eastAsia="宋体"/>
          <w:szCs w:val="21"/>
        </w:rPr>
      </w:pPr>
      <w:r>
        <w:rPr>
          <w:rFonts w:hint="eastAsia" w:ascii="宋体" w:hAnsi="宋体" w:eastAsia="宋体"/>
          <w:szCs w:val="21"/>
        </w:rPr>
        <w:t>进度支付的计量，应按施工图纸外轮廓尺寸边线和实测施工期各填筑体的高程计算其工程量，以《工程量清单》所列项目的各种材料填筑的每立方米单价支付。</w:t>
      </w:r>
    </w:p>
    <w:p w14:paraId="7E2E9E8C">
      <w:pPr>
        <w:snapToGrid w:val="0"/>
        <w:spacing w:line="300" w:lineRule="auto"/>
        <w:ind w:firstLine="420" w:firstLineChars="200"/>
        <w:rPr>
          <w:rFonts w:ascii="宋体" w:hAnsi="宋体" w:eastAsia="宋体"/>
          <w:szCs w:val="21"/>
        </w:rPr>
      </w:pPr>
      <w:r>
        <w:rPr>
          <w:rFonts w:hint="eastAsia" w:ascii="宋体" w:hAnsi="宋体" w:eastAsia="宋体"/>
          <w:szCs w:val="21"/>
        </w:rPr>
        <w:t>(2)各种材料填筑的每立方米单价中，已包括填筑所需的填筑、压实及土料填筑过程中的含水量调整以及质量检查和验收等工作所需的全部人工、材料及使用设备和辅助设施等一切费用。</w:t>
      </w:r>
    </w:p>
    <w:p w14:paraId="63EF968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6.10.2土工合成材料防渗体</w:t>
      </w:r>
    </w:p>
    <w:p w14:paraId="006924FF">
      <w:pPr>
        <w:snapToGrid w:val="0"/>
        <w:spacing w:line="300" w:lineRule="auto"/>
        <w:ind w:firstLine="420" w:firstLineChars="200"/>
        <w:rPr>
          <w:rFonts w:ascii="宋体" w:hAnsi="宋体" w:eastAsia="宋体"/>
          <w:szCs w:val="21"/>
        </w:rPr>
      </w:pPr>
      <w:r>
        <w:rPr>
          <w:rFonts w:hint="eastAsia" w:ascii="宋体" w:hAnsi="宋体" w:eastAsia="宋体"/>
          <w:szCs w:val="21"/>
        </w:rPr>
        <w:t>土工合成材料的铺设按施工图纸所示尺寸计算的有效面积以平方米为单位计量，由发包人按《工程量清单》相应项目有效工程量的每平方米工程单价支付。土工合成材料的接缝搭接面积和褶皱面积、抽样检验等所发生的费用包含在《工程量清单》相应项目有效工程量的工程单价中，发包人不另行支付。</w:t>
      </w:r>
    </w:p>
    <w:p w14:paraId="6683D57F">
      <w:pPr>
        <w:snapToGrid w:val="0"/>
        <w:spacing w:line="300" w:lineRule="auto"/>
        <w:ind w:firstLine="420" w:firstLineChars="200"/>
        <w:rPr>
          <w:rFonts w:ascii="宋体" w:hAnsi="宋体" w:eastAsia="宋体"/>
          <w:szCs w:val="21"/>
        </w:rPr>
      </w:pPr>
      <w:r>
        <w:rPr>
          <w:rFonts w:hint="eastAsia" w:ascii="宋体" w:hAnsi="宋体" w:eastAsia="宋体"/>
          <w:szCs w:val="21"/>
        </w:rPr>
        <w:t>土工合成材料拼接所用的黏结剂、焊接剂和缝合细线等材料的提供及其抽样检验等所需的全部费用应包括在土工合成材料的每平方米单价中，发包人不再另行支付。</w:t>
      </w:r>
    </w:p>
    <w:p w14:paraId="353A7D7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6.10.3外购土方</w:t>
      </w:r>
    </w:p>
    <w:p w14:paraId="1FEDB5A8">
      <w:pPr>
        <w:snapToGrid w:val="0"/>
        <w:spacing w:line="300" w:lineRule="auto"/>
        <w:ind w:firstLine="420" w:firstLineChars="200"/>
        <w:rPr>
          <w:rFonts w:ascii="宋体" w:hAnsi="宋体" w:eastAsia="宋体"/>
          <w:szCs w:val="21"/>
        </w:rPr>
      </w:pPr>
      <w:r>
        <w:rPr>
          <w:rFonts w:hint="eastAsia" w:ascii="宋体" w:hAnsi="宋体" w:eastAsia="宋体"/>
          <w:szCs w:val="21"/>
        </w:rPr>
        <w:t>外购土方应按土料填筑所需的自然方体积以立方米计量，以《工程量清单》所列项目的每立方米单价支付。</w:t>
      </w:r>
    </w:p>
    <w:p w14:paraId="585FA162">
      <w:pPr>
        <w:snapToGrid w:val="0"/>
        <w:spacing w:line="300" w:lineRule="auto"/>
        <w:ind w:firstLine="420" w:firstLineChars="200"/>
        <w:rPr>
          <w:rFonts w:ascii="宋体" w:hAnsi="宋体" w:eastAsia="宋体"/>
          <w:szCs w:val="21"/>
        </w:rPr>
      </w:pPr>
      <w:r>
        <w:rPr>
          <w:rFonts w:hint="eastAsia" w:ascii="宋体" w:hAnsi="宋体" w:eastAsia="宋体"/>
          <w:szCs w:val="21"/>
        </w:rPr>
        <w:t>外购土方的土源由承包人自行寻找，所提供的土方必须要能满足填筑要求。土方运输费用应由承包人自行承担并考虑在单价中。在车辆运输过程中，涉及交警、运管、路政、城管以及地方道路等方面所产生的矛盾由承包人自行解决，费用由承包人自理。</w:t>
      </w:r>
    </w:p>
    <w:p w14:paraId="488E7795">
      <w:pPr>
        <w:snapToGrid w:val="0"/>
        <w:spacing w:line="300" w:lineRule="auto"/>
        <w:ind w:firstLine="420" w:firstLineChars="200"/>
        <w:rPr>
          <w:rFonts w:ascii="宋体" w:hAnsi="宋体" w:eastAsia="宋体"/>
          <w:szCs w:val="21"/>
        </w:rPr>
        <w:sectPr>
          <w:pgSz w:w="11907" w:h="16840"/>
          <w:pgMar w:top="1418" w:right="1418" w:bottom="1418" w:left="1418" w:header="851" w:footer="851" w:gutter="0"/>
          <w:cols w:space="720" w:num="1"/>
          <w:docGrid w:type="linesAndChars" w:linePitch="537" w:charSpace="0"/>
        </w:sectPr>
      </w:pPr>
    </w:p>
    <w:p w14:paraId="779430BB">
      <w:pPr>
        <w:pStyle w:val="3"/>
        <w:keepNext w:val="0"/>
        <w:keepLines w:val="0"/>
        <w:spacing w:before="0" w:after="0" w:line="480" w:lineRule="auto"/>
        <w:jc w:val="center"/>
        <w:rPr>
          <w:rFonts w:ascii="宋体" w:hAnsi="宋体" w:eastAsia="宋体" w:cs="宋体"/>
          <w:sz w:val="28"/>
          <w:szCs w:val="28"/>
        </w:rPr>
      </w:pPr>
      <w:bookmarkStart w:id="1449" w:name="_Toc11650"/>
      <w:r>
        <w:rPr>
          <w:rFonts w:hint="eastAsia" w:ascii="宋体" w:hAnsi="宋体" w:eastAsia="宋体" w:cs="宋体"/>
          <w:sz w:val="28"/>
          <w:szCs w:val="28"/>
        </w:rPr>
        <w:t>第7节 砌体工程</w:t>
      </w:r>
      <w:bookmarkEnd w:id="1449"/>
    </w:p>
    <w:p w14:paraId="61EDBB69">
      <w:pPr>
        <w:adjustRightInd w:val="0"/>
        <w:snapToGrid w:val="0"/>
        <w:spacing w:before="134" w:beforeLines="25" w:line="300" w:lineRule="auto"/>
        <w:outlineLvl w:val="1"/>
        <w:rPr>
          <w:rFonts w:ascii="宋体" w:hAnsi="宋体" w:eastAsia="宋体"/>
          <w:b/>
          <w:bCs/>
          <w:sz w:val="24"/>
          <w:szCs w:val="24"/>
        </w:rPr>
      </w:pPr>
      <w:bookmarkStart w:id="1450" w:name="_Toc347386251"/>
      <w:bookmarkStart w:id="1451" w:name="_Toc304280067"/>
      <w:bookmarkStart w:id="1452" w:name="_Toc370238603"/>
      <w:bookmarkStart w:id="1453" w:name="_Toc325040197"/>
      <w:bookmarkStart w:id="1454" w:name="_Toc304279822"/>
      <w:bookmarkStart w:id="1455" w:name="_Toc332353221"/>
      <w:bookmarkStart w:id="1456" w:name="_Toc307419452"/>
      <w:bookmarkStart w:id="1457" w:name="_Toc347386002"/>
      <w:bookmarkStart w:id="1458" w:name="_Toc325020923"/>
      <w:bookmarkStart w:id="1459" w:name="_Toc347385747"/>
      <w:bookmarkStart w:id="1460" w:name="_Toc304280563"/>
      <w:bookmarkStart w:id="1461" w:name="_Toc307417563"/>
      <w:bookmarkStart w:id="1462" w:name="_Toc307416266"/>
      <w:bookmarkStart w:id="1463" w:name="_Toc304280814"/>
      <w:bookmarkStart w:id="1464" w:name="_Toc381820025"/>
      <w:bookmarkStart w:id="1465" w:name="_Toc332616560"/>
      <w:bookmarkStart w:id="1466" w:name="_Toc325020391"/>
      <w:bookmarkStart w:id="1467" w:name="_Toc304280318"/>
      <w:bookmarkStart w:id="1468" w:name="_Toc307485330"/>
      <w:bookmarkStart w:id="1469" w:name="_Toc332293428"/>
      <w:bookmarkStart w:id="1470" w:name="_Toc381799048"/>
      <w:r>
        <w:rPr>
          <w:rFonts w:hint="eastAsia" w:ascii="宋体" w:hAnsi="宋体" w:eastAsia="宋体"/>
          <w:b/>
          <w:bCs/>
          <w:sz w:val="24"/>
          <w:szCs w:val="24"/>
        </w:rPr>
        <w:t>7.1一般规定</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14:paraId="3CEACD11">
      <w:pPr>
        <w:snapToGrid w:val="0"/>
        <w:spacing w:before="134" w:beforeLines="25" w:line="300" w:lineRule="auto"/>
        <w:ind w:firstLine="210" w:firstLineChars="100"/>
        <w:outlineLvl w:val="2"/>
        <w:rPr>
          <w:rFonts w:ascii="宋体" w:hAnsi="宋体" w:eastAsia="宋体"/>
          <w:b/>
          <w:bCs/>
          <w:szCs w:val="21"/>
        </w:rPr>
      </w:pPr>
      <w:bookmarkStart w:id="1471" w:name="_Toc381799049"/>
      <w:bookmarkStart w:id="1472" w:name="_Toc381820026"/>
      <w:r>
        <w:rPr>
          <w:rFonts w:hint="eastAsia" w:ascii="宋体" w:hAnsi="宋体" w:eastAsia="宋体"/>
          <w:b/>
          <w:bCs/>
          <w:szCs w:val="21"/>
        </w:rPr>
        <w:t>7.1.1应用范围</w:t>
      </w:r>
      <w:bookmarkEnd w:id="1471"/>
      <w:bookmarkEnd w:id="1472"/>
    </w:p>
    <w:p w14:paraId="005F48B3">
      <w:pPr>
        <w:snapToGrid w:val="0"/>
        <w:spacing w:line="300" w:lineRule="auto"/>
        <w:ind w:firstLine="420" w:firstLineChars="200"/>
        <w:rPr>
          <w:rFonts w:ascii="宋体" w:hAnsi="宋体" w:eastAsia="宋体"/>
          <w:szCs w:val="21"/>
        </w:rPr>
      </w:pPr>
      <w:r>
        <w:rPr>
          <w:rFonts w:hint="eastAsia" w:ascii="宋体" w:hAnsi="宋体" w:eastAsia="宋体"/>
          <w:szCs w:val="21"/>
        </w:rPr>
        <w:t>本章规定适用于本合同施工图纸所示的各类砌体工程建筑物，其工程项目包括坝、厂房、引水渠道、永久生活建筑、道路、桥涵、挡墙、管道支墩、护坡和排水沟等建筑物的石砌体（包括浆砌石、干砌石砌体）工程，以及混凝土小砌块砌体和砖砌体工程。</w:t>
      </w:r>
    </w:p>
    <w:p w14:paraId="35B61A9F">
      <w:pPr>
        <w:snapToGrid w:val="0"/>
        <w:spacing w:before="134" w:beforeLines="25" w:line="300" w:lineRule="auto"/>
        <w:ind w:firstLine="210" w:firstLineChars="100"/>
        <w:outlineLvl w:val="2"/>
        <w:rPr>
          <w:rFonts w:ascii="宋体" w:hAnsi="宋体" w:eastAsia="宋体"/>
          <w:b/>
          <w:bCs/>
          <w:szCs w:val="21"/>
        </w:rPr>
      </w:pPr>
      <w:bookmarkStart w:id="1473" w:name="_Toc381799050"/>
      <w:bookmarkStart w:id="1474" w:name="_Toc381820027"/>
      <w:r>
        <w:rPr>
          <w:rFonts w:hint="eastAsia" w:ascii="宋体" w:hAnsi="宋体" w:eastAsia="宋体"/>
          <w:b/>
          <w:bCs/>
          <w:szCs w:val="21"/>
        </w:rPr>
        <w:t>7.1.2承包人责任</w:t>
      </w:r>
      <w:bookmarkEnd w:id="1473"/>
      <w:bookmarkEnd w:id="1474"/>
    </w:p>
    <w:p w14:paraId="2068730E">
      <w:pPr>
        <w:snapToGrid w:val="0"/>
        <w:spacing w:line="300" w:lineRule="auto"/>
        <w:ind w:firstLine="420" w:firstLineChars="200"/>
        <w:rPr>
          <w:rFonts w:ascii="宋体" w:hAnsi="宋体" w:eastAsia="宋体"/>
          <w:szCs w:val="21"/>
        </w:rPr>
      </w:pPr>
      <w:r>
        <w:rPr>
          <w:rFonts w:hint="eastAsia" w:ascii="宋体" w:hAnsi="宋体" w:eastAsia="宋体"/>
          <w:szCs w:val="21"/>
        </w:rPr>
        <w:t>(1)承包人应按本合同施工图纸、技术条款的规定和监理人的指示，负责砌体工程基础的场地清理、材料的加工制备、砌体工程的施工及质量检查和验收等工作。</w:t>
      </w:r>
    </w:p>
    <w:p w14:paraId="564F3DFA">
      <w:pPr>
        <w:snapToGrid w:val="0"/>
        <w:spacing w:line="300" w:lineRule="auto"/>
        <w:ind w:firstLine="420" w:firstLineChars="200"/>
        <w:rPr>
          <w:rFonts w:ascii="宋体" w:hAnsi="宋体" w:eastAsia="宋体"/>
          <w:szCs w:val="21"/>
        </w:rPr>
      </w:pPr>
      <w:r>
        <w:rPr>
          <w:rFonts w:hint="eastAsia" w:ascii="宋体" w:hAnsi="宋体" w:eastAsia="宋体"/>
          <w:szCs w:val="21"/>
        </w:rPr>
        <w:t>(2)除合同另有约定外，承包人应负责提供本工程砌体工程的各种石材、胶结材料，以及砌体工程施工所需的人工、施工设备和辅助设施。</w:t>
      </w:r>
    </w:p>
    <w:p w14:paraId="4C30AC98">
      <w:pPr>
        <w:snapToGrid w:val="0"/>
        <w:spacing w:line="300" w:lineRule="auto"/>
        <w:ind w:firstLine="420" w:firstLineChars="200"/>
        <w:rPr>
          <w:rFonts w:ascii="宋体" w:hAnsi="宋体" w:eastAsia="宋体"/>
          <w:szCs w:val="21"/>
        </w:rPr>
      </w:pPr>
      <w:r>
        <w:rPr>
          <w:rFonts w:hint="eastAsia" w:ascii="宋体" w:hAnsi="宋体" w:eastAsia="宋体"/>
          <w:szCs w:val="21"/>
        </w:rPr>
        <w:t>(3)承包人应负责砌体胶结材料及其配合比的试验和选择，以及砌筑工艺的选择。</w:t>
      </w:r>
    </w:p>
    <w:p w14:paraId="18CA67BC">
      <w:pPr>
        <w:snapToGrid w:val="0"/>
        <w:spacing w:before="134" w:beforeLines="25" w:line="300" w:lineRule="auto"/>
        <w:ind w:firstLine="210" w:firstLineChars="100"/>
        <w:outlineLvl w:val="2"/>
        <w:rPr>
          <w:rFonts w:ascii="宋体" w:hAnsi="宋体" w:eastAsia="宋体"/>
          <w:b/>
          <w:bCs/>
          <w:szCs w:val="21"/>
        </w:rPr>
      </w:pPr>
      <w:bookmarkStart w:id="1475" w:name="_Toc381799051"/>
      <w:bookmarkStart w:id="1476" w:name="_Toc381820028"/>
      <w:r>
        <w:rPr>
          <w:rFonts w:hint="eastAsia" w:ascii="宋体" w:hAnsi="宋体" w:eastAsia="宋体"/>
          <w:b/>
          <w:bCs/>
          <w:szCs w:val="21"/>
        </w:rPr>
        <w:t>7.1.3主要提交件</w:t>
      </w:r>
      <w:bookmarkEnd w:id="1475"/>
      <w:bookmarkEnd w:id="1476"/>
    </w:p>
    <w:p w14:paraId="0205A946">
      <w:pPr>
        <w:snapToGrid w:val="0"/>
        <w:spacing w:line="300" w:lineRule="auto"/>
        <w:ind w:firstLine="420" w:firstLineChars="200"/>
        <w:rPr>
          <w:rFonts w:ascii="宋体" w:hAnsi="宋体" w:eastAsia="宋体"/>
          <w:szCs w:val="21"/>
        </w:rPr>
      </w:pPr>
      <w:r>
        <w:rPr>
          <w:rFonts w:hint="eastAsia" w:ascii="宋体" w:hAnsi="宋体" w:eastAsia="宋体"/>
          <w:szCs w:val="21"/>
        </w:rPr>
        <w:t>(1)施工措施计划</w:t>
      </w:r>
    </w:p>
    <w:p w14:paraId="0837DC9B">
      <w:pPr>
        <w:snapToGrid w:val="0"/>
        <w:spacing w:line="300" w:lineRule="auto"/>
        <w:ind w:firstLine="420" w:firstLineChars="200"/>
        <w:rPr>
          <w:rFonts w:ascii="宋体" w:hAnsi="宋体" w:eastAsia="宋体"/>
          <w:szCs w:val="21"/>
        </w:rPr>
      </w:pPr>
      <w:r>
        <w:rPr>
          <w:rFonts w:hint="eastAsia" w:ascii="宋体" w:hAnsi="宋体" w:eastAsia="宋体"/>
          <w:szCs w:val="21"/>
        </w:rPr>
        <w:t>承包人应在砌体工程开工前，将砌体工程施工措施计划提交监理人批准，其内容包括：</w:t>
      </w:r>
    </w:p>
    <w:p w14:paraId="31E847D5">
      <w:pPr>
        <w:snapToGrid w:val="0"/>
        <w:spacing w:line="300" w:lineRule="auto"/>
        <w:ind w:firstLine="420" w:firstLineChars="200"/>
        <w:rPr>
          <w:rFonts w:ascii="宋体" w:hAnsi="宋体" w:eastAsia="宋体"/>
          <w:szCs w:val="21"/>
        </w:rPr>
      </w:pPr>
      <w:r>
        <w:rPr>
          <w:rFonts w:hint="eastAsia" w:ascii="宋体" w:hAnsi="宋体" w:eastAsia="宋体"/>
          <w:szCs w:val="21"/>
        </w:rPr>
        <w:t>1)施工布置图及其说明；</w:t>
      </w:r>
    </w:p>
    <w:p w14:paraId="7788C9D0">
      <w:pPr>
        <w:snapToGrid w:val="0"/>
        <w:spacing w:line="300" w:lineRule="auto"/>
        <w:ind w:firstLine="420" w:firstLineChars="200"/>
        <w:rPr>
          <w:rFonts w:ascii="宋体" w:hAnsi="宋体" w:eastAsia="宋体"/>
          <w:szCs w:val="21"/>
        </w:rPr>
      </w:pPr>
      <w:r>
        <w:rPr>
          <w:rFonts w:hint="eastAsia" w:ascii="宋体" w:hAnsi="宋体" w:eastAsia="宋体"/>
          <w:szCs w:val="21"/>
        </w:rPr>
        <w:t>2)砌体工程施工工艺和方法；</w:t>
      </w:r>
    </w:p>
    <w:p w14:paraId="0933631B">
      <w:pPr>
        <w:snapToGrid w:val="0"/>
        <w:spacing w:line="300" w:lineRule="auto"/>
        <w:ind w:firstLine="420" w:firstLineChars="200"/>
        <w:rPr>
          <w:rFonts w:ascii="宋体" w:hAnsi="宋体" w:eastAsia="宋体"/>
          <w:szCs w:val="21"/>
        </w:rPr>
      </w:pPr>
      <w:r>
        <w:rPr>
          <w:rFonts w:hint="eastAsia" w:ascii="宋体" w:hAnsi="宋体" w:eastAsia="宋体"/>
          <w:szCs w:val="21"/>
        </w:rPr>
        <w:t>3)主要施工设备的配置；</w:t>
      </w:r>
    </w:p>
    <w:p w14:paraId="1A715D7C">
      <w:pPr>
        <w:snapToGrid w:val="0"/>
        <w:spacing w:line="300" w:lineRule="auto"/>
        <w:ind w:firstLine="420" w:firstLineChars="200"/>
        <w:rPr>
          <w:rFonts w:ascii="宋体" w:hAnsi="宋体" w:eastAsia="宋体"/>
          <w:szCs w:val="21"/>
        </w:rPr>
      </w:pPr>
      <w:r>
        <w:rPr>
          <w:rFonts w:hint="eastAsia" w:ascii="宋体" w:hAnsi="宋体" w:eastAsia="宋体"/>
          <w:szCs w:val="21"/>
        </w:rPr>
        <w:t>4)质量控制和安全保证措施；</w:t>
      </w:r>
    </w:p>
    <w:p w14:paraId="4F1A9720">
      <w:pPr>
        <w:snapToGrid w:val="0"/>
        <w:spacing w:line="300" w:lineRule="auto"/>
        <w:ind w:firstLine="420" w:firstLineChars="200"/>
        <w:rPr>
          <w:rFonts w:ascii="宋体" w:hAnsi="宋体" w:eastAsia="宋体"/>
          <w:szCs w:val="21"/>
        </w:rPr>
      </w:pPr>
      <w:r>
        <w:rPr>
          <w:rFonts w:hint="eastAsia" w:ascii="宋体" w:hAnsi="宋体" w:eastAsia="宋体"/>
          <w:szCs w:val="21"/>
        </w:rPr>
        <w:t>5)施工进度计划等。</w:t>
      </w:r>
    </w:p>
    <w:p w14:paraId="790F7996">
      <w:pPr>
        <w:snapToGrid w:val="0"/>
        <w:spacing w:line="300" w:lineRule="auto"/>
        <w:ind w:firstLine="420" w:firstLineChars="200"/>
        <w:rPr>
          <w:rFonts w:ascii="宋体" w:hAnsi="宋体" w:eastAsia="宋体"/>
          <w:szCs w:val="21"/>
        </w:rPr>
      </w:pPr>
      <w:r>
        <w:rPr>
          <w:rFonts w:hint="eastAsia" w:ascii="宋体" w:hAnsi="宋体" w:eastAsia="宋体"/>
          <w:szCs w:val="21"/>
        </w:rPr>
        <w:t>(2)砌体材料试验报告</w:t>
      </w:r>
    </w:p>
    <w:p w14:paraId="72ECD7DA">
      <w:pPr>
        <w:snapToGrid w:val="0"/>
        <w:spacing w:line="300" w:lineRule="auto"/>
        <w:ind w:firstLine="420" w:firstLineChars="200"/>
        <w:rPr>
          <w:rFonts w:ascii="宋体" w:hAnsi="宋体" w:eastAsia="宋体"/>
          <w:szCs w:val="21"/>
        </w:rPr>
      </w:pPr>
      <w:r>
        <w:rPr>
          <w:rFonts w:hint="eastAsia" w:ascii="宋体" w:hAnsi="宋体" w:eastAsia="宋体"/>
          <w:szCs w:val="21"/>
        </w:rPr>
        <w:t>承包人应在砌体工程施工前，将各项材料试验成果、提交监理人，其内容包括：</w:t>
      </w:r>
    </w:p>
    <w:p w14:paraId="48E33340">
      <w:pPr>
        <w:snapToGrid w:val="0"/>
        <w:spacing w:line="300" w:lineRule="auto"/>
        <w:ind w:firstLine="420" w:firstLineChars="200"/>
        <w:rPr>
          <w:rFonts w:ascii="宋体" w:hAnsi="宋体" w:eastAsia="宋体"/>
          <w:szCs w:val="21"/>
        </w:rPr>
      </w:pPr>
      <w:r>
        <w:rPr>
          <w:rFonts w:hint="eastAsia" w:ascii="宋体" w:hAnsi="宋体" w:eastAsia="宋体"/>
          <w:szCs w:val="21"/>
        </w:rPr>
        <w:t>1)砌体材料的强度等级试验；</w:t>
      </w:r>
    </w:p>
    <w:p w14:paraId="60DB15A9">
      <w:pPr>
        <w:snapToGrid w:val="0"/>
        <w:spacing w:line="300" w:lineRule="auto"/>
        <w:ind w:firstLine="420" w:firstLineChars="200"/>
        <w:rPr>
          <w:rFonts w:ascii="宋体" w:hAnsi="宋体" w:eastAsia="宋体"/>
          <w:szCs w:val="21"/>
        </w:rPr>
      </w:pPr>
      <w:r>
        <w:rPr>
          <w:rFonts w:hint="eastAsia" w:ascii="宋体" w:hAnsi="宋体" w:eastAsia="宋体"/>
          <w:szCs w:val="21"/>
        </w:rPr>
        <w:t>2)胶结材料的强度及其配合比选择试验。</w:t>
      </w:r>
    </w:p>
    <w:p w14:paraId="17896B7F">
      <w:pPr>
        <w:snapToGrid w:val="0"/>
        <w:spacing w:line="300" w:lineRule="auto"/>
        <w:ind w:firstLine="420" w:firstLineChars="200"/>
        <w:rPr>
          <w:rFonts w:ascii="宋体" w:hAnsi="宋体" w:eastAsia="宋体"/>
          <w:szCs w:val="21"/>
        </w:rPr>
      </w:pPr>
      <w:r>
        <w:rPr>
          <w:rFonts w:hint="eastAsia" w:ascii="宋体" w:hAnsi="宋体" w:eastAsia="宋体"/>
          <w:szCs w:val="21"/>
        </w:rPr>
        <w:t>(3)质量检查记录和报表</w:t>
      </w:r>
    </w:p>
    <w:p w14:paraId="10FE988A">
      <w:pPr>
        <w:snapToGrid w:val="0"/>
        <w:spacing w:line="300" w:lineRule="auto"/>
        <w:ind w:firstLine="420" w:firstLineChars="200"/>
        <w:rPr>
          <w:rFonts w:ascii="宋体" w:hAnsi="宋体" w:eastAsia="宋体"/>
          <w:szCs w:val="21"/>
        </w:rPr>
      </w:pPr>
      <w:r>
        <w:rPr>
          <w:rFonts w:hint="eastAsia" w:ascii="宋体" w:hAnsi="宋体" w:eastAsia="宋体"/>
          <w:szCs w:val="21"/>
        </w:rPr>
        <w:t>砌体工程施工过程中，承包人应按监理人指示，提交以下施工质量检查记录和报表：</w:t>
      </w:r>
    </w:p>
    <w:p w14:paraId="7B478958">
      <w:pPr>
        <w:snapToGrid w:val="0"/>
        <w:spacing w:line="300" w:lineRule="auto"/>
        <w:ind w:firstLine="420" w:firstLineChars="200"/>
        <w:rPr>
          <w:rFonts w:ascii="宋体" w:hAnsi="宋体" w:eastAsia="宋体"/>
          <w:szCs w:val="21"/>
        </w:rPr>
      </w:pPr>
      <w:r>
        <w:rPr>
          <w:rFonts w:hint="eastAsia" w:ascii="宋体" w:hAnsi="宋体" w:eastAsia="宋体"/>
          <w:szCs w:val="21"/>
        </w:rPr>
        <w:t>1)砌体材料和砌筑胶结材料的取样试验报告；</w:t>
      </w:r>
    </w:p>
    <w:p w14:paraId="0E0B5B72">
      <w:pPr>
        <w:snapToGrid w:val="0"/>
        <w:spacing w:line="300" w:lineRule="auto"/>
        <w:ind w:firstLine="420" w:firstLineChars="200"/>
        <w:rPr>
          <w:rFonts w:ascii="宋体" w:hAnsi="宋体" w:eastAsia="宋体"/>
          <w:szCs w:val="21"/>
        </w:rPr>
      </w:pPr>
      <w:r>
        <w:rPr>
          <w:rFonts w:hint="eastAsia" w:ascii="宋体" w:hAnsi="宋体" w:eastAsia="宋体"/>
          <w:szCs w:val="21"/>
        </w:rPr>
        <w:t>2)砌体工程基础的质量检查记录和报表；</w:t>
      </w:r>
    </w:p>
    <w:p w14:paraId="0AC6733A">
      <w:pPr>
        <w:snapToGrid w:val="0"/>
        <w:spacing w:line="300" w:lineRule="auto"/>
        <w:ind w:firstLine="420" w:firstLineChars="200"/>
        <w:rPr>
          <w:rFonts w:ascii="宋体" w:hAnsi="宋体" w:eastAsia="宋体"/>
          <w:szCs w:val="21"/>
        </w:rPr>
      </w:pPr>
      <w:r>
        <w:rPr>
          <w:rFonts w:hint="eastAsia" w:ascii="宋体" w:hAnsi="宋体" w:eastAsia="宋体"/>
          <w:szCs w:val="21"/>
        </w:rPr>
        <w:t>3)砌体工程的砌筑质量检查记录和报表；</w:t>
      </w:r>
    </w:p>
    <w:p w14:paraId="7C478445">
      <w:pPr>
        <w:snapToGrid w:val="0"/>
        <w:spacing w:line="300" w:lineRule="auto"/>
        <w:ind w:firstLine="420" w:firstLineChars="200"/>
        <w:rPr>
          <w:rFonts w:ascii="宋体" w:hAnsi="宋体" w:eastAsia="宋体"/>
          <w:szCs w:val="21"/>
        </w:rPr>
      </w:pPr>
      <w:r>
        <w:rPr>
          <w:rFonts w:hint="eastAsia" w:ascii="宋体" w:hAnsi="宋体" w:eastAsia="宋体"/>
          <w:szCs w:val="21"/>
        </w:rPr>
        <w:t>4)质量事故处理记录。</w:t>
      </w:r>
    </w:p>
    <w:p w14:paraId="7A88633F">
      <w:pPr>
        <w:snapToGrid w:val="0"/>
        <w:spacing w:before="134" w:beforeLines="25" w:line="300" w:lineRule="auto"/>
        <w:ind w:firstLine="210" w:firstLineChars="100"/>
        <w:outlineLvl w:val="2"/>
        <w:rPr>
          <w:rFonts w:ascii="宋体" w:hAnsi="宋体" w:eastAsia="宋体"/>
          <w:b/>
          <w:bCs/>
          <w:szCs w:val="21"/>
        </w:rPr>
      </w:pPr>
      <w:bookmarkStart w:id="1477" w:name="_Toc381799052"/>
      <w:bookmarkStart w:id="1478" w:name="_Toc381820029"/>
      <w:r>
        <w:rPr>
          <w:rFonts w:hint="eastAsia" w:ascii="宋体" w:hAnsi="宋体" w:eastAsia="宋体"/>
          <w:b/>
          <w:bCs/>
          <w:szCs w:val="21"/>
        </w:rPr>
        <w:t>7.1.4引用标准</w:t>
      </w:r>
      <w:bookmarkEnd w:id="1477"/>
      <w:bookmarkEnd w:id="1478"/>
    </w:p>
    <w:p w14:paraId="74C3B20F">
      <w:pPr>
        <w:snapToGrid w:val="0"/>
        <w:spacing w:line="300" w:lineRule="auto"/>
        <w:ind w:firstLine="420" w:firstLineChars="200"/>
        <w:rPr>
          <w:rFonts w:ascii="宋体" w:hAnsi="宋体" w:eastAsia="宋体"/>
          <w:szCs w:val="21"/>
        </w:rPr>
      </w:pPr>
      <w:r>
        <w:rPr>
          <w:rFonts w:hint="eastAsia" w:ascii="宋体" w:hAnsi="宋体" w:eastAsia="宋体"/>
          <w:szCs w:val="21"/>
        </w:rPr>
        <w:t>(1)《烧结普通砖》(GB 5101 -2017)；</w:t>
      </w:r>
    </w:p>
    <w:p w14:paraId="67E9C1AA">
      <w:pPr>
        <w:snapToGrid w:val="0"/>
        <w:spacing w:line="300" w:lineRule="auto"/>
        <w:ind w:firstLine="420" w:firstLineChars="200"/>
        <w:rPr>
          <w:rFonts w:ascii="宋体" w:hAnsi="宋体" w:eastAsia="宋体"/>
          <w:szCs w:val="21"/>
        </w:rPr>
      </w:pPr>
      <w:r>
        <w:rPr>
          <w:rFonts w:hint="eastAsia" w:ascii="宋体" w:hAnsi="宋体" w:eastAsia="宋体"/>
          <w:szCs w:val="21"/>
        </w:rPr>
        <w:t>(2)《砌体工程施工质量验收规范》(GB 50203-2018)；</w:t>
      </w:r>
    </w:p>
    <w:p w14:paraId="51CF5965">
      <w:pPr>
        <w:snapToGrid w:val="0"/>
        <w:spacing w:line="300" w:lineRule="auto"/>
        <w:ind w:firstLine="420" w:firstLineChars="200"/>
        <w:rPr>
          <w:rFonts w:ascii="宋体" w:hAnsi="宋体" w:eastAsia="宋体"/>
          <w:szCs w:val="21"/>
        </w:rPr>
      </w:pPr>
      <w:r>
        <w:rPr>
          <w:rFonts w:hint="eastAsia" w:ascii="宋体" w:hAnsi="宋体" w:eastAsia="宋体"/>
          <w:szCs w:val="21"/>
        </w:rPr>
        <w:t>(3)《烧结多孔砖》(GB 13544-2000)；</w:t>
      </w:r>
    </w:p>
    <w:p w14:paraId="11E8749E">
      <w:pPr>
        <w:snapToGrid w:val="0"/>
        <w:spacing w:line="300" w:lineRule="auto"/>
        <w:ind w:firstLine="420" w:firstLineChars="200"/>
        <w:rPr>
          <w:rFonts w:ascii="宋体" w:hAnsi="宋体" w:eastAsia="宋体"/>
          <w:szCs w:val="21"/>
        </w:rPr>
      </w:pPr>
      <w:r>
        <w:rPr>
          <w:rFonts w:hint="eastAsia" w:ascii="宋体" w:hAnsi="宋体" w:eastAsia="宋体"/>
          <w:szCs w:val="21"/>
        </w:rPr>
        <w:t>(4)《浆砌石坝设计规范》(SL 25-2006)；</w:t>
      </w:r>
    </w:p>
    <w:p w14:paraId="0180BCED">
      <w:pPr>
        <w:snapToGrid w:val="0"/>
        <w:spacing w:line="300" w:lineRule="auto"/>
        <w:ind w:firstLine="420" w:firstLineChars="200"/>
        <w:rPr>
          <w:rFonts w:ascii="宋体" w:hAnsi="宋体" w:eastAsia="宋体"/>
          <w:szCs w:val="21"/>
        </w:rPr>
      </w:pPr>
      <w:r>
        <w:rPr>
          <w:rFonts w:hint="eastAsia" w:ascii="宋体" w:hAnsi="宋体" w:eastAsia="宋体"/>
          <w:szCs w:val="21"/>
        </w:rPr>
        <w:t>(5)《水利水电工程天然建筑材料勘察规程》(SL 251-2015)；</w:t>
      </w:r>
    </w:p>
    <w:p w14:paraId="41ACDBE8">
      <w:pPr>
        <w:snapToGrid w:val="0"/>
        <w:spacing w:line="300" w:lineRule="auto"/>
        <w:ind w:firstLine="420" w:firstLineChars="200"/>
        <w:rPr>
          <w:rFonts w:ascii="宋体" w:hAnsi="宋体" w:eastAsia="宋体"/>
          <w:szCs w:val="21"/>
        </w:rPr>
      </w:pPr>
      <w:r>
        <w:rPr>
          <w:rFonts w:hint="eastAsia" w:ascii="宋体" w:hAnsi="宋体" w:eastAsia="宋体"/>
          <w:szCs w:val="21"/>
        </w:rPr>
        <w:t>(6)《浆砌石坝施工技术规定》 (SD 120-1984)；</w:t>
      </w:r>
    </w:p>
    <w:p w14:paraId="0266F2D8">
      <w:pPr>
        <w:snapToGrid w:val="0"/>
        <w:spacing w:line="300" w:lineRule="auto"/>
        <w:ind w:firstLine="420" w:firstLineChars="200"/>
        <w:rPr>
          <w:rFonts w:ascii="宋体" w:hAnsi="宋体" w:eastAsia="宋体"/>
          <w:szCs w:val="21"/>
        </w:rPr>
      </w:pPr>
      <w:r>
        <w:rPr>
          <w:rFonts w:hint="eastAsia" w:ascii="宋体" w:hAnsi="宋体" w:eastAsia="宋体"/>
          <w:szCs w:val="21"/>
        </w:rPr>
        <w:t>(7)《普通混凝土用砂、石质量及检验方法标准》(JGJ 52-2006);</w:t>
      </w:r>
    </w:p>
    <w:p w14:paraId="42E53CC2">
      <w:pPr>
        <w:snapToGrid w:val="0"/>
        <w:spacing w:line="300" w:lineRule="auto"/>
        <w:ind w:firstLine="420" w:firstLineChars="200"/>
        <w:rPr>
          <w:rFonts w:ascii="宋体" w:hAnsi="宋体" w:eastAsia="宋体"/>
          <w:szCs w:val="21"/>
        </w:rPr>
      </w:pPr>
      <w:r>
        <w:rPr>
          <w:rFonts w:hint="eastAsia" w:ascii="宋体" w:hAnsi="宋体" w:eastAsia="宋体"/>
          <w:szCs w:val="21"/>
        </w:rPr>
        <w:t>(8)《混凝土用水标准》(JGJ 63-2006)；</w:t>
      </w:r>
    </w:p>
    <w:p w14:paraId="3A950F3B">
      <w:pPr>
        <w:snapToGrid w:val="0"/>
        <w:spacing w:line="300" w:lineRule="auto"/>
        <w:ind w:firstLine="420" w:firstLineChars="200"/>
        <w:rPr>
          <w:rFonts w:ascii="宋体" w:hAnsi="宋体" w:eastAsia="宋体"/>
          <w:szCs w:val="21"/>
        </w:rPr>
      </w:pPr>
      <w:r>
        <w:rPr>
          <w:rFonts w:hint="eastAsia" w:ascii="宋体" w:hAnsi="宋体" w:eastAsia="宋体"/>
          <w:szCs w:val="21"/>
        </w:rPr>
        <w:t>(9)《混凝土小型空心砌块建筑技术规程》(JGJ／T 14-2011)；</w:t>
      </w:r>
    </w:p>
    <w:p w14:paraId="2635A6EF">
      <w:pPr>
        <w:snapToGrid w:val="0"/>
        <w:spacing w:line="300" w:lineRule="auto"/>
        <w:ind w:firstLine="420" w:firstLineChars="200"/>
        <w:rPr>
          <w:rFonts w:ascii="宋体" w:hAnsi="宋体" w:eastAsia="宋体"/>
          <w:szCs w:val="21"/>
        </w:rPr>
      </w:pPr>
      <w:r>
        <w:rPr>
          <w:rFonts w:hint="eastAsia" w:ascii="宋体" w:hAnsi="宋体" w:eastAsia="宋体"/>
          <w:szCs w:val="21"/>
        </w:rPr>
        <w:t>(10)《多孔砖砌体结构技术规程》(JGJ/T 137-2001)；</w:t>
      </w:r>
    </w:p>
    <w:p w14:paraId="034A8E47">
      <w:pPr>
        <w:snapToGrid w:val="0"/>
        <w:spacing w:line="300" w:lineRule="auto"/>
        <w:ind w:firstLine="420" w:firstLineChars="200"/>
        <w:rPr>
          <w:rFonts w:ascii="宋体" w:hAnsi="宋体" w:eastAsia="宋体"/>
          <w:szCs w:val="21"/>
        </w:rPr>
      </w:pPr>
      <w:r>
        <w:rPr>
          <w:rFonts w:hint="eastAsia" w:ascii="宋体" w:hAnsi="宋体" w:eastAsia="宋体"/>
          <w:szCs w:val="21"/>
        </w:rPr>
        <w:t>(11)《砌筑砂浆配合比设计规程》(JGJ 98-2000)。</w:t>
      </w:r>
    </w:p>
    <w:p w14:paraId="78B74758">
      <w:pPr>
        <w:adjustRightInd w:val="0"/>
        <w:snapToGrid w:val="0"/>
        <w:spacing w:before="134" w:beforeLines="25" w:line="300" w:lineRule="auto"/>
        <w:outlineLvl w:val="1"/>
        <w:rPr>
          <w:rFonts w:ascii="宋体" w:hAnsi="宋体" w:eastAsia="宋体"/>
          <w:b/>
          <w:bCs/>
          <w:sz w:val="24"/>
          <w:szCs w:val="24"/>
        </w:rPr>
      </w:pPr>
      <w:bookmarkStart w:id="1479" w:name="_Toc304280564"/>
      <w:bookmarkStart w:id="1480" w:name="_Toc347385748"/>
      <w:bookmarkStart w:id="1481" w:name="_Toc332353222"/>
      <w:bookmarkStart w:id="1482" w:name="_Toc370238604"/>
      <w:bookmarkStart w:id="1483" w:name="_Toc332616561"/>
      <w:bookmarkStart w:id="1484" w:name="_Toc325020924"/>
      <w:bookmarkStart w:id="1485" w:name="_Toc307417564"/>
      <w:bookmarkStart w:id="1486" w:name="_Toc381820030"/>
      <w:bookmarkStart w:id="1487" w:name="_Toc325020392"/>
      <w:bookmarkStart w:id="1488" w:name="_Toc347386003"/>
      <w:bookmarkStart w:id="1489" w:name="_Toc307485331"/>
      <w:bookmarkStart w:id="1490" w:name="_Toc381799053"/>
      <w:bookmarkStart w:id="1491" w:name="_Toc304280815"/>
      <w:bookmarkStart w:id="1492" w:name="_Toc307419453"/>
      <w:bookmarkStart w:id="1493" w:name="_Toc304280068"/>
      <w:bookmarkStart w:id="1494" w:name="_Toc304280319"/>
      <w:bookmarkStart w:id="1495" w:name="_Toc304279823"/>
      <w:bookmarkStart w:id="1496" w:name="_Toc325040198"/>
      <w:bookmarkStart w:id="1497" w:name="_Toc347386252"/>
      <w:bookmarkStart w:id="1498" w:name="_Toc307416267"/>
      <w:bookmarkStart w:id="1499" w:name="_Toc332293429"/>
      <w:r>
        <w:rPr>
          <w:rFonts w:hint="eastAsia" w:ascii="宋体" w:hAnsi="宋体" w:eastAsia="宋体"/>
          <w:b/>
          <w:bCs/>
          <w:sz w:val="24"/>
          <w:szCs w:val="24"/>
        </w:rPr>
        <w:t>7.2石砌体工程</w:t>
      </w:r>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0A672060">
      <w:pPr>
        <w:snapToGrid w:val="0"/>
        <w:spacing w:before="134" w:beforeLines="25" w:line="300" w:lineRule="auto"/>
        <w:ind w:firstLine="210" w:firstLineChars="100"/>
        <w:outlineLvl w:val="2"/>
        <w:rPr>
          <w:rFonts w:ascii="宋体" w:hAnsi="宋体" w:eastAsia="宋体"/>
          <w:b/>
          <w:bCs/>
          <w:szCs w:val="21"/>
        </w:rPr>
      </w:pPr>
      <w:bookmarkStart w:id="1500" w:name="_Toc381820031"/>
      <w:bookmarkStart w:id="1501" w:name="_Toc381799054"/>
      <w:r>
        <w:rPr>
          <w:rFonts w:hint="eastAsia" w:ascii="宋体" w:hAnsi="宋体" w:eastAsia="宋体"/>
          <w:b/>
          <w:bCs/>
          <w:szCs w:val="21"/>
        </w:rPr>
        <w:t>7.2.1材料</w:t>
      </w:r>
      <w:bookmarkEnd w:id="1500"/>
      <w:bookmarkEnd w:id="1501"/>
    </w:p>
    <w:p w14:paraId="281AF818">
      <w:pPr>
        <w:snapToGrid w:val="0"/>
        <w:spacing w:line="300" w:lineRule="auto"/>
        <w:ind w:firstLine="420" w:firstLineChars="200"/>
        <w:rPr>
          <w:rFonts w:ascii="宋体" w:hAnsi="宋体" w:eastAsia="宋体"/>
          <w:szCs w:val="21"/>
        </w:rPr>
      </w:pPr>
      <w:r>
        <w:rPr>
          <w:rFonts w:hint="eastAsia" w:ascii="宋体" w:hAnsi="宋体" w:eastAsia="宋体"/>
          <w:szCs w:val="21"/>
        </w:rPr>
        <w:t>(1)石料：</w:t>
      </w:r>
    </w:p>
    <w:p w14:paraId="48851757">
      <w:pPr>
        <w:snapToGrid w:val="0"/>
        <w:spacing w:line="300" w:lineRule="auto"/>
        <w:ind w:firstLine="420" w:firstLineChars="200"/>
        <w:rPr>
          <w:rFonts w:ascii="宋体" w:hAnsi="宋体" w:eastAsia="宋体"/>
          <w:szCs w:val="21"/>
        </w:rPr>
      </w:pPr>
      <w:r>
        <w:rPr>
          <w:rFonts w:hint="eastAsia" w:ascii="宋体" w:hAnsi="宋体" w:eastAsia="宋体"/>
          <w:szCs w:val="21"/>
        </w:rPr>
        <w:t>1)一般石料应遵守GB 50203-2018第7.1.1条和第7.1.2条的规定；</w:t>
      </w:r>
    </w:p>
    <w:p w14:paraId="50A34548">
      <w:pPr>
        <w:snapToGrid w:val="0"/>
        <w:spacing w:line="300" w:lineRule="auto"/>
        <w:ind w:firstLine="420" w:firstLineChars="200"/>
        <w:rPr>
          <w:rFonts w:ascii="宋体" w:hAnsi="宋体" w:eastAsia="宋体"/>
          <w:szCs w:val="21"/>
        </w:rPr>
      </w:pPr>
      <w:r>
        <w:rPr>
          <w:rFonts w:hint="eastAsia" w:ascii="宋体" w:hAnsi="宋体" w:eastAsia="宋体"/>
          <w:szCs w:val="21"/>
        </w:rPr>
        <w:t>2)砌石坝石料（包括毛石、块石、粗料石）应遵守SL 25-2006第3.1.1条的规定。</w:t>
      </w:r>
    </w:p>
    <w:p w14:paraId="507A3946">
      <w:pPr>
        <w:snapToGrid w:val="0"/>
        <w:spacing w:line="300" w:lineRule="auto"/>
        <w:ind w:firstLine="420" w:firstLineChars="200"/>
        <w:rPr>
          <w:rFonts w:ascii="宋体" w:hAnsi="宋体" w:eastAsia="宋体"/>
          <w:szCs w:val="21"/>
        </w:rPr>
      </w:pPr>
      <w:r>
        <w:rPr>
          <w:rFonts w:hint="eastAsia" w:ascii="宋体" w:hAnsi="宋体" w:eastAsia="宋体"/>
          <w:szCs w:val="21"/>
        </w:rPr>
        <w:t>(2)胶凝材料：</w:t>
      </w:r>
    </w:p>
    <w:p w14:paraId="4E304882">
      <w:pPr>
        <w:snapToGrid w:val="0"/>
        <w:spacing w:line="300" w:lineRule="auto"/>
        <w:ind w:firstLine="420" w:firstLineChars="200"/>
        <w:rPr>
          <w:rFonts w:ascii="宋体" w:hAnsi="宋体" w:eastAsia="宋体"/>
          <w:szCs w:val="21"/>
        </w:rPr>
      </w:pPr>
      <w:r>
        <w:rPr>
          <w:rFonts w:hint="eastAsia" w:ascii="宋体" w:hAnsi="宋体" w:eastAsia="宋体"/>
          <w:szCs w:val="21"/>
        </w:rPr>
        <w:t>1)砌体采用的水泥品种和强度等级应遵守本合同技术条款第14.2.1条的规定；</w:t>
      </w:r>
    </w:p>
    <w:p w14:paraId="602D348F">
      <w:pPr>
        <w:snapToGrid w:val="0"/>
        <w:spacing w:line="300" w:lineRule="auto"/>
        <w:ind w:firstLine="420" w:firstLineChars="200"/>
        <w:rPr>
          <w:rFonts w:ascii="宋体" w:hAnsi="宋体" w:eastAsia="宋体"/>
          <w:szCs w:val="21"/>
        </w:rPr>
      </w:pPr>
      <w:r>
        <w:rPr>
          <w:rFonts w:hint="eastAsia" w:ascii="宋体" w:hAnsi="宋体" w:eastAsia="宋体"/>
          <w:szCs w:val="21"/>
        </w:rPr>
        <w:t>2)用于砌筑石砌体工程的砂浆和小骨料混凝土，其配合比应通过试验确定，配合比成果应提交监理人；拌制砂浆和小骨料混凝土的用水应遵守JGJ63—2006的有关规定。</w:t>
      </w:r>
    </w:p>
    <w:p w14:paraId="2EDAC318">
      <w:pPr>
        <w:snapToGrid w:val="0"/>
        <w:spacing w:line="300" w:lineRule="auto"/>
        <w:ind w:firstLine="420" w:firstLineChars="200"/>
        <w:rPr>
          <w:rFonts w:ascii="宋体" w:hAnsi="宋体" w:eastAsia="宋体"/>
          <w:szCs w:val="21"/>
        </w:rPr>
      </w:pPr>
      <w:r>
        <w:rPr>
          <w:rFonts w:hint="eastAsia" w:ascii="宋体" w:hAnsi="宋体" w:eastAsia="宋体"/>
          <w:szCs w:val="21"/>
        </w:rPr>
        <w:t>(3)胶凝材料应采用机械拌制，局部少量的人工拌和料奎少干拌三遍，再湿拌至色泽均匀后，方可使用；人工拌和时间应通过试拌确定。拌制过程中应保持粗、细骨料含水率的稳定性，根据骨料含水量的变化情况，随时调整用水量，以保证水灰比的准确性。</w:t>
      </w:r>
    </w:p>
    <w:p w14:paraId="2DD8FEF4">
      <w:pPr>
        <w:snapToGrid w:val="0"/>
        <w:spacing w:line="300" w:lineRule="auto"/>
        <w:ind w:firstLine="420" w:firstLineChars="200"/>
        <w:rPr>
          <w:rFonts w:ascii="宋体" w:hAnsi="宋体" w:eastAsia="宋体"/>
          <w:szCs w:val="21"/>
        </w:rPr>
      </w:pPr>
      <w:r>
        <w:rPr>
          <w:rFonts w:hint="eastAsia" w:ascii="宋体" w:hAnsi="宋体" w:eastAsia="宋体"/>
          <w:szCs w:val="21"/>
        </w:rPr>
        <w:t>(4)胶凝材料应随拌随用，胶凝材料的允许间歇时间应通过试验确定，在运输或贮存中发生离析、析水的胶凝材料，砌筑前应重新拌和，已初凝的胶凝材料不得使用。</w:t>
      </w:r>
    </w:p>
    <w:p w14:paraId="4DED44F2">
      <w:pPr>
        <w:snapToGrid w:val="0"/>
        <w:spacing w:before="134" w:beforeLines="25" w:line="300" w:lineRule="auto"/>
        <w:ind w:firstLine="210" w:firstLineChars="100"/>
        <w:outlineLvl w:val="2"/>
        <w:rPr>
          <w:rFonts w:ascii="宋体" w:hAnsi="宋体" w:eastAsia="宋体"/>
          <w:b/>
          <w:bCs/>
          <w:szCs w:val="21"/>
        </w:rPr>
      </w:pPr>
      <w:bookmarkStart w:id="1502" w:name="_Toc381820032"/>
      <w:bookmarkStart w:id="1503" w:name="_Toc381799055"/>
      <w:r>
        <w:rPr>
          <w:rFonts w:hint="eastAsia" w:ascii="宋体" w:hAnsi="宋体" w:eastAsia="宋体"/>
          <w:b/>
          <w:bCs/>
          <w:szCs w:val="21"/>
        </w:rPr>
        <w:t>7.2.2浆砌石坝砌筑</w:t>
      </w:r>
      <w:bookmarkEnd w:id="1502"/>
      <w:bookmarkEnd w:id="1503"/>
    </w:p>
    <w:p w14:paraId="41E56981">
      <w:pPr>
        <w:snapToGrid w:val="0"/>
        <w:spacing w:line="300" w:lineRule="auto"/>
        <w:ind w:firstLine="420" w:firstLineChars="200"/>
        <w:rPr>
          <w:rFonts w:ascii="宋体" w:hAnsi="宋体" w:eastAsia="宋体"/>
          <w:szCs w:val="21"/>
        </w:rPr>
      </w:pPr>
      <w:r>
        <w:rPr>
          <w:rFonts w:hint="eastAsia" w:ascii="宋体" w:hAnsi="宋体" w:eastAsia="宋体"/>
          <w:szCs w:val="21"/>
        </w:rPr>
        <w:t>(1)浆砌石坝胶结材料采用的砂和砾石应遵守SD 120-1984第2章的规定。</w:t>
      </w:r>
    </w:p>
    <w:p w14:paraId="4DEAE036">
      <w:pPr>
        <w:snapToGrid w:val="0"/>
        <w:spacing w:line="300" w:lineRule="auto"/>
        <w:ind w:firstLine="420" w:firstLineChars="200"/>
        <w:rPr>
          <w:rFonts w:ascii="宋体" w:hAnsi="宋体" w:eastAsia="宋体"/>
          <w:szCs w:val="21"/>
        </w:rPr>
      </w:pPr>
      <w:r>
        <w:rPr>
          <w:rFonts w:hint="eastAsia" w:ascii="宋体" w:hAnsi="宋体" w:eastAsia="宋体"/>
          <w:szCs w:val="21"/>
        </w:rPr>
        <w:t>(2)浆砌石坝砌筑体与基岩的连接应遵守SD 120-1984第4章第1节的规定。</w:t>
      </w:r>
    </w:p>
    <w:p w14:paraId="7BC334B5">
      <w:pPr>
        <w:snapToGrid w:val="0"/>
        <w:spacing w:line="300" w:lineRule="auto"/>
        <w:ind w:firstLine="420" w:firstLineChars="200"/>
        <w:rPr>
          <w:rFonts w:ascii="宋体" w:hAnsi="宋体" w:eastAsia="宋体"/>
          <w:szCs w:val="21"/>
        </w:rPr>
      </w:pPr>
      <w:r>
        <w:rPr>
          <w:rFonts w:hint="eastAsia" w:ascii="宋体" w:hAnsi="宋体" w:eastAsia="宋体"/>
          <w:szCs w:val="21"/>
        </w:rPr>
        <w:t>(3)浆砌石坝的砌筑应遵守SD 120-1984第4.2.4～4.2.9条的规定，砌体应密实、无架空和漏浆情况。其砌体容重和空隙率的控制应遵守SD 120 -1984第4.2.21条的规定。</w:t>
      </w:r>
    </w:p>
    <w:p w14:paraId="7C5D2D92">
      <w:pPr>
        <w:snapToGrid w:val="0"/>
        <w:spacing w:line="300" w:lineRule="auto"/>
        <w:ind w:firstLine="420" w:firstLineChars="200"/>
        <w:rPr>
          <w:rFonts w:ascii="宋体" w:hAnsi="宋体" w:eastAsia="宋体"/>
          <w:szCs w:val="21"/>
        </w:rPr>
      </w:pPr>
      <w:r>
        <w:rPr>
          <w:rFonts w:hint="eastAsia" w:ascii="宋体" w:hAnsi="宋体" w:eastAsia="宋体"/>
          <w:szCs w:val="21"/>
        </w:rPr>
        <w:t>(4)浆砌石坝的混凝土防渗体施工应遵守SD 120-1984第5.1.3～5.1.15条的规定。</w:t>
      </w:r>
    </w:p>
    <w:p w14:paraId="7929D9CE">
      <w:pPr>
        <w:snapToGrid w:val="0"/>
        <w:spacing w:line="300" w:lineRule="auto"/>
        <w:ind w:firstLine="420" w:firstLineChars="200"/>
        <w:rPr>
          <w:rFonts w:ascii="宋体" w:hAnsi="宋体" w:eastAsia="宋体"/>
          <w:szCs w:val="21"/>
        </w:rPr>
      </w:pPr>
      <w:r>
        <w:rPr>
          <w:rFonts w:hint="eastAsia" w:ascii="宋体" w:hAnsi="宋体" w:eastAsia="宋体"/>
          <w:szCs w:val="21"/>
        </w:rPr>
        <w:t>(5)浆砌石坝的水泥砂浆勾缝防渗应遵守GB 50203——2018第7.2节和第7.3节的规定。</w:t>
      </w:r>
    </w:p>
    <w:p w14:paraId="4039AA81">
      <w:pPr>
        <w:snapToGrid w:val="0"/>
        <w:spacing w:before="134" w:beforeLines="25" w:line="300" w:lineRule="auto"/>
        <w:ind w:firstLine="210" w:firstLineChars="100"/>
        <w:outlineLvl w:val="2"/>
        <w:rPr>
          <w:rFonts w:ascii="宋体" w:hAnsi="宋体" w:eastAsia="宋体"/>
          <w:b/>
          <w:bCs/>
          <w:szCs w:val="21"/>
        </w:rPr>
      </w:pPr>
      <w:bookmarkStart w:id="1504" w:name="_Toc381820033"/>
      <w:bookmarkStart w:id="1505" w:name="_Toc381799056"/>
      <w:r>
        <w:rPr>
          <w:rFonts w:hint="eastAsia" w:ascii="宋体" w:hAnsi="宋体" w:eastAsia="宋体"/>
          <w:b/>
          <w:bCs/>
          <w:szCs w:val="21"/>
        </w:rPr>
        <w:t>7.2.3浆砌石挡土墙、护坡、重力桥墩砌筑</w:t>
      </w:r>
      <w:bookmarkEnd w:id="1504"/>
      <w:bookmarkEnd w:id="1505"/>
    </w:p>
    <w:p w14:paraId="20DF759A">
      <w:pPr>
        <w:snapToGrid w:val="0"/>
        <w:spacing w:line="300" w:lineRule="auto"/>
        <w:ind w:firstLine="420" w:firstLineChars="200"/>
        <w:rPr>
          <w:rFonts w:ascii="宋体" w:hAnsi="宋体" w:eastAsia="宋体"/>
          <w:szCs w:val="21"/>
        </w:rPr>
      </w:pPr>
      <w:r>
        <w:rPr>
          <w:rFonts w:hint="eastAsia" w:ascii="宋体" w:hAnsi="宋体" w:eastAsia="宋体"/>
          <w:szCs w:val="21"/>
        </w:rPr>
        <w:t>应遵守本章上列规范标准。</w:t>
      </w:r>
    </w:p>
    <w:p w14:paraId="0A2881A9">
      <w:pPr>
        <w:snapToGrid w:val="0"/>
        <w:spacing w:before="134" w:beforeLines="25" w:line="300" w:lineRule="auto"/>
        <w:ind w:firstLine="210" w:firstLineChars="100"/>
        <w:outlineLvl w:val="2"/>
        <w:rPr>
          <w:rFonts w:ascii="宋体" w:hAnsi="宋体" w:eastAsia="宋体"/>
          <w:b/>
          <w:bCs/>
          <w:szCs w:val="21"/>
        </w:rPr>
      </w:pPr>
      <w:bookmarkStart w:id="1506" w:name="_Toc381799057"/>
      <w:bookmarkStart w:id="1507" w:name="_Toc381820034"/>
      <w:r>
        <w:rPr>
          <w:rFonts w:hint="eastAsia" w:ascii="宋体" w:hAnsi="宋体" w:eastAsia="宋体"/>
          <w:b/>
          <w:bCs/>
          <w:szCs w:val="21"/>
        </w:rPr>
        <w:t>7.2.4干砌石护坡砌筑</w:t>
      </w:r>
      <w:bookmarkEnd w:id="1506"/>
      <w:bookmarkEnd w:id="1507"/>
    </w:p>
    <w:p w14:paraId="2FF6B367">
      <w:pPr>
        <w:snapToGrid w:val="0"/>
        <w:spacing w:line="300" w:lineRule="auto"/>
        <w:ind w:firstLine="420" w:firstLineChars="200"/>
        <w:rPr>
          <w:rFonts w:ascii="宋体" w:hAnsi="宋体" w:eastAsia="宋体"/>
          <w:szCs w:val="21"/>
        </w:rPr>
      </w:pPr>
      <w:r>
        <w:rPr>
          <w:rFonts w:hint="eastAsia" w:ascii="宋体" w:hAnsi="宋体" w:eastAsia="宋体"/>
          <w:szCs w:val="21"/>
        </w:rPr>
        <w:t>(1)砌筑护坡的干砌石砌体，应在砂砾石垫层上，以层与层错缝锁结方式铺砌，砂砾垫层料的粒径不应大于50 mm，合泥量应小于5%。垫层与干砌石应随铺随砌。</w:t>
      </w:r>
    </w:p>
    <w:p w14:paraId="546CE774">
      <w:pPr>
        <w:snapToGrid w:val="0"/>
        <w:spacing w:line="300" w:lineRule="auto"/>
        <w:ind w:firstLine="420" w:firstLineChars="200"/>
        <w:rPr>
          <w:rFonts w:ascii="宋体" w:hAnsi="宋体" w:eastAsia="宋体"/>
          <w:szCs w:val="21"/>
        </w:rPr>
      </w:pPr>
      <w:r>
        <w:rPr>
          <w:rFonts w:hint="eastAsia" w:ascii="宋体" w:hAnsi="宋体" w:eastAsia="宋体"/>
          <w:szCs w:val="21"/>
        </w:rPr>
        <w:t>(2)护坡表面砌缝的宽度不应大于25 mm，砌石边缘应顺直、整齐牢固。</w:t>
      </w:r>
    </w:p>
    <w:p w14:paraId="143C6CCB">
      <w:pPr>
        <w:snapToGrid w:val="0"/>
        <w:spacing w:line="300" w:lineRule="auto"/>
        <w:ind w:firstLine="420" w:firstLineChars="200"/>
        <w:rPr>
          <w:rFonts w:ascii="宋体" w:hAnsi="宋体" w:eastAsia="宋体"/>
          <w:szCs w:val="21"/>
        </w:rPr>
      </w:pPr>
      <w:r>
        <w:rPr>
          <w:rFonts w:hint="eastAsia" w:ascii="宋体" w:hAnsi="宋体" w:eastAsia="宋体"/>
          <w:szCs w:val="21"/>
        </w:rPr>
        <w:t>(3)砌体外露面的坡顶和侧边，应选用较整齐的石块砌筑平整。</w:t>
      </w:r>
    </w:p>
    <w:p w14:paraId="088E862B">
      <w:pPr>
        <w:snapToGrid w:val="0"/>
        <w:spacing w:before="134" w:beforeLines="25" w:line="300" w:lineRule="auto"/>
        <w:ind w:firstLine="210" w:firstLineChars="100"/>
        <w:outlineLvl w:val="2"/>
        <w:rPr>
          <w:rFonts w:ascii="宋体" w:hAnsi="宋体" w:eastAsia="宋体"/>
          <w:b/>
          <w:bCs/>
          <w:szCs w:val="21"/>
        </w:rPr>
      </w:pPr>
      <w:bookmarkStart w:id="1508" w:name="_Toc381820035"/>
      <w:bookmarkStart w:id="1509" w:name="_Toc381799058"/>
      <w:r>
        <w:rPr>
          <w:rFonts w:hint="eastAsia" w:ascii="宋体" w:hAnsi="宋体" w:eastAsia="宋体"/>
          <w:b/>
          <w:bCs/>
          <w:szCs w:val="21"/>
        </w:rPr>
        <w:t>7.2.5干砌石挡土墙砌筑</w:t>
      </w:r>
      <w:bookmarkEnd w:id="1508"/>
      <w:bookmarkEnd w:id="1509"/>
    </w:p>
    <w:p w14:paraId="1C45DD6C">
      <w:pPr>
        <w:snapToGrid w:val="0"/>
        <w:spacing w:line="300" w:lineRule="auto"/>
        <w:ind w:firstLine="420" w:firstLineChars="200"/>
        <w:rPr>
          <w:rFonts w:ascii="宋体" w:hAnsi="宋体" w:eastAsia="宋体"/>
          <w:szCs w:val="21"/>
        </w:rPr>
      </w:pPr>
      <w:r>
        <w:rPr>
          <w:rFonts w:hint="eastAsia" w:ascii="宋体" w:hAnsi="宋体" w:eastAsia="宋体"/>
          <w:szCs w:val="21"/>
        </w:rPr>
        <w:t>(1)挡土墙基础底部应砌成1:5  的底坡，形成与受力方向相反的倾斜坡，挡墙的基础或底层应先用较大的精选石块铺垫。</w:t>
      </w:r>
    </w:p>
    <w:p w14:paraId="5442DA7D">
      <w:pPr>
        <w:snapToGrid w:val="0"/>
        <w:spacing w:line="300" w:lineRule="auto"/>
        <w:ind w:firstLine="420" w:firstLineChars="200"/>
        <w:rPr>
          <w:rFonts w:ascii="宋体" w:hAnsi="宋体" w:eastAsia="宋体"/>
          <w:szCs w:val="21"/>
        </w:rPr>
      </w:pPr>
      <w:r>
        <w:rPr>
          <w:rFonts w:hint="eastAsia" w:ascii="宋体" w:hAnsi="宋体" w:eastAsia="宋体"/>
          <w:szCs w:val="21"/>
        </w:rPr>
        <w:t>(2)石料应分层错缝砌筑，砌层应大致水平，但不得用小石块塞垫找平。</w:t>
      </w:r>
    </w:p>
    <w:p w14:paraId="6E45590A">
      <w:pPr>
        <w:snapToGrid w:val="0"/>
        <w:spacing w:line="300" w:lineRule="auto"/>
        <w:ind w:firstLine="420" w:firstLineChars="200"/>
        <w:rPr>
          <w:rFonts w:ascii="宋体" w:hAnsi="宋体" w:eastAsia="宋体"/>
          <w:szCs w:val="21"/>
        </w:rPr>
      </w:pPr>
      <w:r>
        <w:rPr>
          <w:rFonts w:hint="eastAsia" w:ascii="宋体" w:hAnsi="宋体" w:eastAsia="宋体"/>
          <w:szCs w:val="21"/>
        </w:rPr>
        <w:t>(3)石块应铺砌稳定，相互锁结。</w:t>
      </w:r>
    </w:p>
    <w:p w14:paraId="6C03E7D5">
      <w:pPr>
        <w:snapToGrid w:val="0"/>
        <w:spacing w:line="300" w:lineRule="auto"/>
        <w:ind w:firstLine="420" w:firstLineChars="200"/>
        <w:rPr>
          <w:rFonts w:ascii="宋体" w:hAnsi="宋体" w:eastAsia="宋体"/>
          <w:szCs w:val="21"/>
        </w:rPr>
      </w:pPr>
      <w:r>
        <w:rPr>
          <w:rFonts w:hint="eastAsia" w:ascii="宋体" w:hAnsi="宋体" w:eastAsia="宋体"/>
          <w:szCs w:val="21"/>
        </w:rPr>
        <w:t>(4)当砌体高度超过6m时，应沿砌体高度方向每隔3～4m设置厚度不小于500mm的水平肋带，并用不低于Ml0  的水泥砂浆砌筑固牢。</w:t>
      </w:r>
    </w:p>
    <w:p w14:paraId="106F08AB">
      <w:pPr>
        <w:snapToGrid w:val="0"/>
        <w:spacing w:before="134" w:beforeLines="25" w:line="300" w:lineRule="auto"/>
        <w:ind w:firstLine="210" w:firstLineChars="100"/>
        <w:outlineLvl w:val="2"/>
        <w:rPr>
          <w:rFonts w:ascii="宋体" w:hAnsi="宋体" w:eastAsia="宋体"/>
          <w:b/>
          <w:bCs/>
          <w:szCs w:val="21"/>
        </w:rPr>
      </w:pPr>
      <w:bookmarkStart w:id="1510" w:name="_Toc381799059"/>
      <w:bookmarkStart w:id="1511" w:name="_Toc381820036"/>
      <w:r>
        <w:rPr>
          <w:rFonts w:hint="eastAsia" w:ascii="宋体" w:hAnsi="宋体" w:eastAsia="宋体"/>
          <w:b/>
          <w:bCs/>
          <w:szCs w:val="21"/>
        </w:rPr>
        <w:t>7.2.6砌体工程的质量检查</w:t>
      </w:r>
      <w:bookmarkEnd w:id="1510"/>
      <w:bookmarkEnd w:id="1511"/>
    </w:p>
    <w:p w14:paraId="314DD266">
      <w:pPr>
        <w:snapToGrid w:val="0"/>
        <w:spacing w:line="300" w:lineRule="auto"/>
        <w:ind w:firstLine="420" w:firstLineChars="200"/>
        <w:rPr>
          <w:rFonts w:ascii="宋体" w:hAnsi="宋体" w:eastAsia="宋体"/>
          <w:szCs w:val="21"/>
        </w:rPr>
      </w:pPr>
      <w:r>
        <w:rPr>
          <w:rFonts w:hint="eastAsia" w:ascii="宋体" w:hAnsi="宋体" w:eastAsia="宋体"/>
          <w:szCs w:val="21"/>
        </w:rPr>
        <w:t>(1)砌体工程砌筑前，承包人应会同监理人对砌筑体基础开挖面的测量放样成果和基础清理质量进行检查，检查记录应提交监理人。</w:t>
      </w:r>
    </w:p>
    <w:p w14:paraId="350D3F52">
      <w:pPr>
        <w:snapToGrid w:val="0"/>
        <w:spacing w:line="300" w:lineRule="auto"/>
        <w:ind w:firstLine="420" w:firstLineChars="200"/>
        <w:rPr>
          <w:rFonts w:ascii="宋体" w:hAnsi="宋体" w:eastAsia="宋体"/>
          <w:szCs w:val="21"/>
        </w:rPr>
      </w:pPr>
      <w:r>
        <w:rPr>
          <w:rFonts w:hint="eastAsia" w:ascii="宋体" w:hAnsi="宋体" w:eastAsia="宋体"/>
          <w:szCs w:val="21"/>
        </w:rPr>
        <w:t>(2)用于石砌体工程的水泥、水、砂、胶凝材料和砌石等材料，应按监理人指示和本章第7.2.1条规定的质量要求进行检查，检查记录应提交监理人。</w:t>
      </w:r>
    </w:p>
    <w:p w14:paraId="475AB37C">
      <w:pPr>
        <w:snapToGrid w:val="0"/>
        <w:spacing w:line="300" w:lineRule="auto"/>
        <w:ind w:firstLine="420" w:firstLineChars="200"/>
        <w:rPr>
          <w:rFonts w:ascii="宋体" w:hAnsi="宋体" w:eastAsia="宋体"/>
          <w:szCs w:val="21"/>
        </w:rPr>
      </w:pPr>
      <w:r>
        <w:rPr>
          <w:rFonts w:hint="eastAsia" w:ascii="宋体" w:hAnsi="宋体" w:eastAsia="宋体"/>
          <w:szCs w:val="21"/>
        </w:rPr>
        <w:t>(3)浆砌石砌体的容重和空隙率检查，应遵守SD 120-1984第4.2.21条第3款的规定。</w:t>
      </w:r>
    </w:p>
    <w:p w14:paraId="46023145">
      <w:pPr>
        <w:snapToGrid w:val="0"/>
        <w:spacing w:line="300" w:lineRule="auto"/>
        <w:ind w:firstLine="420" w:firstLineChars="200"/>
        <w:rPr>
          <w:rFonts w:ascii="宋体" w:hAnsi="宋体" w:eastAsia="宋体"/>
          <w:szCs w:val="21"/>
        </w:rPr>
      </w:pPr>
      <w:r>
        <w:rPr>
          <w:rFonts w:hint="eastAsia" w:ascii="宋体" w:hAnsi="宋体" w:eastAsia="宋体"/>
          <w:szCs w:val="21"/>
        </w:rPr>
        <w:t>(4)有抗渗要求的部位应按监理人指示和施工图纸的要求确定的部位进行钻孔分段压水试验检查，检查结果应提交监理人。</w:t>
      </w:r>
    </w:p>
    <w:p w14:paraId="4B6F27F8">
      <w:pPr>
        <w:snapToGrid w:val="0"/>
        <w:spacing w:line="300" w:lineRule="auto"/>
        <w:ind w:firstLine="420" w:firstLineChars="200"/>
        <w:rPr>
          <w:rFonts w:ascii="宋体" w:hAnsi="宋体" w:eastAsia="宋体"/>
          <w:szCs w:val="21"/>
        </w:rPr>
      </w:pPr>
      <w:r>
        <w:rPr>
          <w:rFonts w:hint="eastAsia" w:ascii="宋体" w:hAnsi="宋体" w:eastAsia="宋体"/>
          <w:szCs w:val="21"/>
        </w:rPr>
        <w:t xml:space="preserve"> (5)浆砌石砌体的质量检查应遵守GB 50203-2018第7章的规定。</w:t>
      </w:r>
    </w:p>
    <w:p w14:paraId="51307D3E">
      <w:pPr>
        <w:snapToGrid w:val="0"/>
        <w:spacing w:before="134" w:beforeLines="25" w:line="300" w:lineRule="auto"/>
        <w:ind w:firstLine="210" w:firstLineChars="100"/>
        <w:outlineLvl w:val="2"/>
        <w:rPr>
          <w:rFonts w:ascii="宋体" w:hAnsi="宋体" w:eastAsia="宋体"/>
          <w:b/>
          <w:bCs/>
          <w:szCs w:val="21"/>
        </w:rPr>
      </w:pPr>
      <w:bookmarkStart w:id="1512" w:name="_Toc381820037"/>
      <w:bookmarkStart w:id="1513" w:name="_Toc381799060"/>
      <w:r>
        <w:rPr>
          <w:rFonts w:hint="eastAsia" w:ascii="宋体" w:hAnsi="宋体" w:eastAsia="宋体"/>
          <w:b/>
          <w:bCs/>
          <w:szCs w:val="21"/>
        </w:rPr>
        <w:t>7.2.7石砌体工程的完工验收</w:t>
      </w:r>
      <w:bookmarkEnd w:id="1512"/>
      <w:bookmarkEnd w:id="1513"/>
    </w:p>
    <w:p w14:paraId="1D40FA64">
      <w:pPr>
        <w:snapToGrid w:val="0"/>
        <w:spacing w:line="300" w:lineRule="auto"/>
        <w:ind w:firstLine="420" w:firstLineChars="200"/>
        <w:rPr>
          <w:rFonts w:ascii="宋体" w:hAnsi="宋体" w:eastAsia="宋体"/>
          <w:szCs w:val="21"/>
        </w:rPr>
      </w:pPr>
      <w:r>
        <w:rPr>
          <w:rFonts w:hint="eastAsia" w:ascii="宋体" w:hAnsi="宋体" w:eastAsia="宋体"/>
          <w:szCs w:val="21"/>
        </w:rPr>
        <w:t>石砌体工程全部完工后，承包人应向监理人申请完工验收，并提交以下完工验收资料。</w:t>
      </w:r>
    </w:p>
    <w:p w14:paraId="2B75C59D">
      <w:pPr>
        <w:snapToGrid w:val="0"/>
        <w:spacing w:line="300" w:lineRule="auto"/>
        <w:ind w:firstLine="420" w:firstLineChars="200"/>
        <w:rPr>
          <w:rFonts w:ascii="宋体" w:hAnsi="宋体" w:eastAsia="宋体"/>
          <w:szCs w:val="21"/>
        </w:rPr>
      </w:pPr>
      <w:r>
        <w:rPr>
          <w:rFonts w:hint="eastAsia" w:ascii="宋体" w:hAnsi="宋体" w:eastAsia="宋体"/>
          <w:szCs w:val="21"/>
        </w:rPr>
        <w:t>(1)石砌体工程各项石材的现场试验和检测记录；</w:t>
      </w:r>
    </w:p>
    <w:p w14:paraId="6A21C852">
      <w:pPr>
        <w:snapToGrid w:val="0"/>
        <w:spacing w:line="300" w:lineRule="auto"/>
        <w:ind w:firstLine="420" w:firstLineChars="200"/>
        <w:rPr>
          <w:rFonts w:ascii="宋体" w:hAnsi="宋体" w:eastAsia="宋体"/>
          <w:szCs w:val="21"/>
        </w:rPr>
      </w:pPr>
      <w:r>
        <w:rPr>
          <w:rFonts w:hint="eastAsia" w:ascii="宋体" w:hAnsi="宋体" w:eastAsia="宋体"/>
          <w:szCs w:val="21"/>
        </w:rPr>
        <w:t>(2)浆砌石砌体胶结材料配合比检查和试验检验记录；</w:t>
      </w:r>
    </w:p>
    <w:p w14:paraId="68193520">
      <w:pPr>
        <w:snapToGrid w:val="0"/>
        <w:spacing w:line="300" w:lineRule="auto"/>
        <w:ind w:firstLine="420" w:firstLineChars="200"/>
        <w:rPr>
          <w:rFonts w:ascii="宋体" w:hAnsi="宋体" w:eastAsia="宋体"/>
          <w:szCs w:val="21"/>
        </w:rPr>
      </w:pPr>
      <w:r>
        <w:rPr>
          <w:rFonts w:hint="eastAsia" w:ascii="宋体" w:hAnsi="宋体" w:eastAsia="宋体"/>
          <w:szCs w:val="21"/>
        </w:rPr>
        <w:t>(3)石砌体工程建筑物开挖基面及基础垫层混凝土的质量检查和试验检验记录；</w:t>
      </w:r>
    </w:p>
    <w:p w14:paraId="7FFA97D2">
      <w:pPr>
        <w:snapToGrid w:val="0"/>
        <w:spacing w:line="300" w:lineRule="auto"/>
        <w:ind w:firstLine="420" w:firstLineChars="200"/>
        <w:rPr>
          <w:rFonts w:ascii="宋体" w:hAnsi="宋体" w:eastAsia="宋体"/>
          <w:szCs w:val="21"/>
        </w:rPr>
      </w:pPr>
      <w:r>
        <w:rPr>
          <w:rFonts w:hint="eastAsia" w:ascii="宋体" w:hAnsi="宋体" w:eastAsia="宋体"/>
          <w:szCs w:val="21"/>
        </w:rPr>
        <w:t>(4)有砌体工程建筑物的结构允许偏差和附属结构物的质量检测和验收记录；</w:t>
      </w:r>
    </w:p>
    <w:p w14:paraId="097F31CA">
      <w:pPr>
        <w:snapToGrid w:val="0"/>
        <w:spacing w:line="300" w:lineRule="auto"/>
        <w:ind w:firstLine="420" w:firstLineChars="200"/>
        <w:rPr>
          <w:rFonts w:ascii="宋体" w:hAnsi="宋体" w:eastAsia="宋体"/>
          <w:szCs w:val="21"/>
        </w:rPr>
      </w:pPr>
      <w:r>
        <w:rPr>
          <w:rFonts w:hint="eastAsia" w:ascii="宋体" w:hAnsi="宋体" w:eastAsia="宋体"/>
          <w:szCs w:val="21"/>
        </w:rPr>
        <w:t>(5)浆砌石坝容重（空隙率）和密实度（单位吸水率）的试验检验记录；</w:t>
      </w:r>
    </w:p>
    <w:p w14:paraId="6FE561A5">
      <w:pPr>
        <w:snapToGrid w:val="0"/>
        <w:spacing w:line="300" w:lineRule="auto"/>
        <w:ind w:firstLine="420" w:firstLineChars="200"/>
        <w:rPr>
          <w:rFonts w:ascii="宋体" w:hAnsi="宋体" w:eastAsia="宋体"/>
          <w:szCs w:val="21"/>
        </w:rPr>
      </w:pPr>
      <w:r>
        <w:rPr>
          <w:rFonts w:hint="eastAsia" w:ascii="宋体" w:hAnsi="宋体" w:eastAsia="宋体"/>
          <w:szCs w:val="21"/>
        </w:rPr>
        <w:t>(6)浆砌石坝结构允许偏差和附属结构物的质量检测和验收记录；</w:t>
      </w:r>
    </w:p>
    <w:p w14:paraId="38BCD3FA">
      <w:pPr>
        <w:snapToGrid w:val="0"/>
        <w:spacing w:line="300" w:lineRule="auto"/>
        <w:ind w:firstLine="420" w:firstLineChars="200"/>
        <w:rPr>
          <w:rFonts w:ascii="宋体" w:hAnsi="宋体" w:eastAsia="宋体"/>
          <w:szCs w:val="21"/>
        </w:rPr>
      </w:pPr>
      <w:r>
        <w:rPr>
          <w:rFonts w:hint="eastAsia" w:ascii="宋体" w:hAnsi="宋体" w:eastAsia="宋体"/>
          <w:szCs w:val="21"/>
        </w:rPr>
        <w:t>(7)监理人要求提交的其它完工验收资料。</w:t>
      </w:r>
    </w:p>
    <w:p w14:paraId="3D93EB38">
      <w:pPr>
        <w:adjustRightInd w:val="0"/>
        <w:snapToGrid w:val="0"/>
        <w:spacing w:before="134" w:beforeLines="25" w:line="300" w:lineRule="auto"/>
        <w:outlineLvl w:val="1"/>
        <w:rPr>
          <w:rFonts w:ascii="宋体" w:hAnsi="宋体" w:eastAsia="宋体"/>
          <w:b/>
          <w:bCs/>
          <w:sz w:val="24"/>
          <w:szCs w:val="24"/>
        </w:rPr>
      </w:pPr>
      <w:bookmarkStart w:id="1514" w:name="_Toc370238605"/>
      <w:bookmarkStart w:id="1515" w:name="_Toc381820038"/>
      <w:bookmarkStart w:id="1516" w:name="_Toc325020925"/>
      <w:bookmarkStart w:id="1517" w:name="_Toc304280069"/>
      <w:bookmarkStart w:id="1518" w:name="_Toc307416268"/>
      <w:bookmarkStart w:id="1519" w:name="_Toc381799061"/>
      <w:bookmarkStart w:id="1520" w:name="_Toc304279824"/>
      <w:bookmarkStart w:id="1521" w:name="_Toc347386253"/>
      <w:bookmarkStart w:id="1522" w:name="_Toc332353223"/>
      <w:bookmarkStart w:id="1523" w:name="_Toc325040199"/>
      <w:bookmarkStart w:id="1524" w:name="_Toc332616562"/>
      <w:bookmarkStart w:id="1525" w:name="_Toc304280565"/>
      <w:bookmarkStart w:id="1526" w:name="_Toc304280816"/>
      <w:bookmarkStart w:id="1527" w:name="_Toc307485332"/>
      <w:bookmarkStart w:id="1528" w:name="_Toc304280320"/>
      <w:bookmarkStart w:id="1529" w:name="_Toc325020393"/>
      <w:bookmarkStart w:id="1530" w:name="_Toc307419454"/>
      <w:bookmarkStart w:id="1531" w:name="_Toc347386004"/>
      <w:bookmarkStart w:id="1532" w:name="_Toc307417565"/>
      <w:bookmarkStart w:id="1533" w:name="_Toc332293430"/>
      <w:bookmarkStart w:id="1534" w:name="_Toc347385749"/>
      <w:r>
        <w:rPr>
          <w:rFonts w:hint="eastAsia" w:ascii="宋体" w:hAnsi="宋体" w:eastAsia="宋体"/>
          <w:b/>
          <w:bCs/>
          <w:sz w:val="24"/>
          <w:szCs w:val="24"/>
        </w:rPr>
        <w:t>7.3砖和小砌块砌体工程</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14:paraId="21B07158">
      <w:pPr>
        <w:snapToGrid w:val="0"/>
        <w:spacing w:line="300" w:lineRule="auto"/>
        <w:ind w:firstLine="420" w:firstLineChars="200"/>
        <w:rPr>
          <w:rFonts w:ascii="宋体" w:hAnsi="宋体" w:eastAsia="宋体"/>
          <w:szCs w:val="21"/>
        </w:rPr>
      </w:pPr>
      <w:r>
        <w:rPr>
          <w:rFonts w:hint="eastAsia" w:ascii="宋体" w:hAnsi="宋体" w:eastAsia="宋体"/>
          <w:szCs w:val="21"/>
        </w:rPr>
        <w:t>砖和小砌块砌体工程砖实体墙、砖空斗墙及带钢筋混凝土构造柱的配筋砖砌体，以及普通小砌块砌体和带钢筋混凝土芯柱或构造柱的配筋小砌块砌体。</w:t>
      </w:r>
    </w:p>
    <w:p w14:paraId="504B0C15">
      <w:pPr>
        <w:snapToGrid w:val="0"/>
        <w:spacing w:before="134" w:beforeLines="25" w:line="300" w:lineRule="auto"/>
        <w:ind w:firstLine="210" w:firstLineChars="100"/>
        <w:outlineLvl w:val="2"/>
        <w:rPr>
          <w:rFonts w:ascii="宋体" w:hAnsi="宋体" w:eastAsia="宋体"/>
          <w:b/>
          <w:bCs/>
          <w:szCs w:val="21"/>
        </w:rPr>
      </w:pPr>
      <w:bookmarkStart w:id="1535" w:name="_Toc381820039"/>
      <w:bookmarkStart w:id="1536" w:name="_Toc381799062"/>
      <w:r>
        <w:rPr>
          <w:rFonts w:hint="eastAsia" w:ascii="宋体" w:hAnsi="宋体" w:eastAsia="宋体"/>
          <w:b/>
          <w:bCs/>
          <w:szCs w:val="21"/>
        </w:rPr>
        <w:t>7.3.1材料</w:t>
      </w:r>
      <w:bookmarkEnd w:id="1535"/>
      <w:bookmarkEnd w:id="1536"/>
    </w:p>
    <w:p w14:paraId="6348B059">
      <w:pPr>
        <w:snapToGrid w:val="0"/>
        <w:spacing w:line="300" w:lineRule="auto"/>
        <w:ind w:firstLine="420" w:firstLineChars="200"/>
        <w:rPr>
          <w:rFonts w:ascii="宋体" w:hAnsi="宋体" w:eastAsia="宋体"/>
          <w:szCs w:val="21"/>
        </w:rPr>
      </w:pPr>
      <w:r>
        <w:rPr>
          <w:rFonts w:hint="eastAsia" w:ascii="宋体" w:hAnsi="宋体" w:eastAsia="宋体"/>
          <w:szCs w:val="21"/>
        </w:rPr>
        <w:t>(1)砖：砖砌体工程采用的普通烧结砖分为粘土砖、页岩砖、煤矸石砖和粉煤灰砖。其外形尺寸应按GB 13544-2000的规定执行。</w:t>
      </w:r>
    </w:p>
    <w:p w14:paraId="1C2BBBB1">
      <w:pPr>
        <w:snapToGrid w:val="0"/>
        <w:spacing w:line="300" w:lineRule="auto"/>
        <w:ind w:firstLine="420" w:firstLineChars="200"/>
        <w:rPr>
          <w:rFonts w:ascii="宋体" w:hAnsi="宋体" w:eastAsia="宋体"/>
          <w:szCs w:val="21"/>
        </w:rPr>
      </w:pPr>
      <w:r>
        <w:rPr>
          <w:rFonts w:hint="eastAsia" w:ascii="宋体" w:hAnsi="宋体" w:eastAsia="宋体"/>
          <w:szCs w:val="21"/>
        </w:rPr>
        <w:t>(2)混凝土小型空心砌块（简称小砌块）：普通混凝土小型空心砌块以碎石或卵石为粗骨料制作；轻骨料混凝土空心砌块以浮石、火山渣、煤渣、自然煤矸石、陶粒等粗骨料制作。</w:t>
      </w:r>
    </w:p>
    <w:p w14:paraId="5714647C">
      <w:pPr>
        <w:snapToGrid w:val="0"/>
        <w:spacing w:line="300" w:lineRule="auto"/>
        <w:ind w:firstLine="420" w:firstLineChars="200"/>
        <w:rPr>
          <w:rFonts w:ascii="宋体" w:hAnsi="宋体" w:eastAsia="宋体"/>
          <w:szCs w:val="21"/>
        </w:rPr>
      </w:pPr>
      <w:r>
        <w:rPr>
          <w:rFonts w:hint="eastAsia" w:ascii="宋体" w:hAnsi="宋体" w:eastAsia="宋体"/>
          <w:szCs w:val="21"/>
        </w:rPr>
        <w:t>(3)砌筑砂浆：砌筑砂浆应遵守GB 50203-2018第4章的有关规定。</w:t>
      </w:r>
    </w:p>
    <w:p w14:paraId="7A1244C6">
      <w:pPr>
        <w:snapToGrid w:val="0"/>
        <w:spacing w:before="134" w:beforeLines="25" w:line="300" w:lineRule="auto"/>
        <w:ind w:firstLine="210" w:firstLineChars="100"/>
        <w:outlineLvl w:val="2"/>
        <w:rPr>
          <w:rFonts w:ascii="宋体" w:hAnsi="宋体" w:eastAsia="宋体"/>
          <w:b/>
          <w:bCs/>
          <w:szCs w:val="21"/>
        </w:rPr>
      </w:pPr>
      <w:bookmarkStart w:id="1537" w:name="_Toc381799063"/>
      <w:bookmarkStart w:id="1538" w:name="_Toc381820040"/>
      <w:r>
        <w:rPr>
          <w:rFonts w:hint="eastAsia" w:ascii="宋体" w:hAnsi="宋体" w:eastAsia="宋体"/>
          <w:b/>
          <w:bCs/>
          <w:szCs w:val="21"/>
        </w:rPr>
        <w:t>7.3.2砖砌体施工</w:t>
      </w:r>
      <w:bookmarkEnd w:id="1537"/>
      <w:bookmarkEnd w:id="1538"/>
    </w:p>
    <w:p w14:paraId="29A632D1">
      <w:pPr>
        <w:snapToGrid w:val="0"/>
        <w:spacing w:line="300" w:lineRule="auto"/>
        <w:ind w:firstLine="420" w:firstLineChars="200"/>
        <w:rPr>
          <w:rFonts w:ascii="宋体" w:hAnsi="宋体" w:eastAsia="宋体"/>
          <w:szCs w:val="21"/>
        </w:rPr>
      </w:pPr>
      <w:r>
        <w:rPr>
          <w:rFonts w:hint="eastAsia" w:ascii="宋体" w:hAnsi="宋体" w:eastAsia="宋体"/>
          <w:szCs w:val="21"/>
        </w:rPr>
        <w:t>砖砌体施工应遵守GB 50203-2018第4.2～4.6节和第5章的有关规定。</w:t>
      </w:r>
    </w:p>
    <w:p w14:paraId="47FEB464">
      <w:pPr>
        <w:snapToGrid w:val="0"/>
        <w:spacing w:before="134" w:beforeLines="25" w:line="300" w:lineRule="auto"/>
        <w:ind w:firstLine="210" w:firstLineChars="100"/>
        <w:outlineLvl w:val="2"/>
        <w:rPr>
          <w:rFonts w:ascii="宋体" w:hAnsi="宋体" w:eastAsia="宋体"/>
          <w:b/>
          <w:bCs/>
          <w:szCs w:val="21"/>
        </w:rPr>
      </w:pPr>
      <w:bookmarkStart w:id="1539" w:name="_Toc381799064"/>
      <w:bookmarkStart w:id="1540" w:name="_Toc381820041"/>
      <w:r>
        <w:rPr>
          <w:rFonts w:hint="eastAsia" w:ascii="宋体" w:hAnsi="宋体" w:eastAsia="宋体"/>
          <w:b/>
          <w:bCs/>
          <w:szCs w:val="21"/>
        </w:rPr>
        <w:t>7.3.3小砌块砌体施工</w:t>
      </w:r>
      <w:bookmarkEnd w:id="1539"/>
      <w:bookmarkEnd w:id="1540"/>
    </w:p>
    <w:p w14:paraId="36B9D0B7">
      <w:pPr>
        <w:snapToGrid w:val="0"/>
        <w:spacing w:line="300" w:lineRule="auto"/>
        <w:ind w:firstLine="420" w:firstLineChars="200"/>
        <w:rPr>
          <w:rFonts w:ascii="宋体" w:hAnsi="宋体" w:eastAsia="宋体"/>
          <w:szCs w:val="21"/>
        </w:rPr>
      </w:pPr>
      <w:r>
        <w:rPr>
          <w:rFonts w:hint="eastAsia" w:ascii="宋体" w:hAnsi="宋体" w:eastAsia="宋体"/>
          <w:szCs w:val="21"/>
        </w:rPr>
        <w:t>(1)小砌块砌筑应遵守JGJ/T 14-2011第7.3节和第7.4节的有关规定。</w:t>
      </w:r>
    </w:p>
    <w:p w14:paraId="4A5425C4">
      <w:pPr>
        <w:snapToGrid w:val="0"/>
        <w:spacing w:line="300" w:lineRule="auto"/>
        <w:ind w:firstLine="420" w:firstLineChars="200"/>
        <w:rPr>
          <w:rFonts w:ascii="宋体" w:hAnsi="宋体" w:eastAsia="宋体"/>
          <w:szCs w:val="21"/>
        </w:rPr>
      </w:pPr>
      <w:r>
        <w:rPr>
          <w:rFonts w:hint="eastAsia" w:ascii="宋体" w:hAnsi="宋体" w:eastAsia="宋体"/>
          <w:szCs w:val="21"/>
        </w:rPr>
        <w:t>(2)钢筋混凝土芯柱施工应遵寄JGJ／T 14-2011第7.5节的有关规定。</w:t>
      </w:r>
    </w:p>
    <w:p w14:paraId="3C20D871">
      <w:pPr>
        <w:snapToGrid w:val="0"/>
        <w:spacing w:line="300" w:lineRule="auto"/>
        <w:ind w:firstLine="420" w:firstLineChars="200"/>
        <w:rPr>
          <w:rFonts w:ascii="宋体" w:hAnsi="宋体" w:eastAsia="宋体"/>
          <w:szCs w:val="21"/>
        </w:rPr>
      </w:pPr>
      <w:r>
        <w:rPr>
          <w:rFonts w:hint="eastAsia" w:ascii="宋体" w:hAnsi="宋体" w:eastAsia="宋体"/>
          <w:szCs w:val="21"/>
        </w:rPr>
        <w:t>(3)钢筋混凝土构造柱施工应遵守JGJ/T 14-2011第7.6节的有关规定。</w:t>
      </w:r>
    </w:p>
    <w:p w14:paraId="4E21E4D8">
      <w:pPr>
        <w:snapToGrid w:val="0"/>
        <w:spacing w:before="134" w:beforeLines="25" w:line="300" w:lineRule="auto"/>
        <w:ind w:firstLine="210" w:firstLineChars="100"/>
        <w:outlineLvl w:val="2"/>
        <w:rPr>
          <w:rFonts w:ascii="宋体" w:hAnsi="宋体" w:eastAsia="宋体"/>
          <w:b/>
          <w:bCs/>
          <w:szCs w:val="21"/>
        </w:rPr>
      </w:pPr>
      <w:bookmarkStart w:id="1541" w:name="_Toc381820042"/>
      <w:bookmarkStart w:id="1542" w:name="_Toc381799065"/>
      <w:r>
        <w:rPr>
          <w:rFonts w:hint="eastAsia" w:ascii="宋体" w:hAnsi="宋体" w:eastAsia="宋体"/>
          <w:b/>
          <w:bCs/>
          <w:szCs w:val="21"/>
        </w:rPr>
        <w:t>7.3.4砖和小砌块砌体工程的质量检查和验收</w:t>
      </w:r>
      <w:bookmarkEnd w:id="1541"/>
      <w:bookmarkEnd w:id="1542"/>
    </w:p>
    <w:p w14:paraId="2259127D">
      <w:pPr>
        <w:snapToGrid w:val="0"/>
        <w:spacing w:line="300" w:lineRule="auto"/>
        <w:ind w:firstLine="420" w:firstLineChars="200"/>
        <w:rPr>
          <w:rFonts w:ascii="宋体" w:hAnsi="宋体" w:eastAsia="宋体"/>
          <w:szCs w:val="21"/>
        </w:rPr>
      </w:pPr>
      <w:r>
        <w:rPr>
          <w:rFonts w:hint="eastAsia" w:ascii="宋体" w:hAnsi="宋体" w:eastAsia="宋体"/>
          <w:szCs w:val="21"/>
        </w:rPr>
        <w:t>(1)砖砌体的质量检查应按GB 50203-2018第5章的规定进行。</w:t>
      </w:r>
    </w:p>
    <w:p w14:paraId="45B01DF5">
      <w:pPr>
        <w:snapToGrid w:val="0"/>
        <w:spacing w:line="300" w:lineRule="auto"/>
        <w:ind w:firstLine="420" w:firstLineChars="200"/>
        <w:rPr>
          <w:rFonts w:ascii="宋体" w:hAnsi="宋体" w:eastAsia="宋体"/>
          <w:szCs w:val="21"/>
        </w:rPr>
      </w:pPr>
      <w:r>
        <w:rPr>
          <w:rFonts w:hint="eastAsia" w:ascii="宋体" w:hAnsi="宋体" w:eastAsia="宋体"/>
          <w:szCs w:val="21"/>
        </w:rPr>
        <w:t>(2)混凝土小型空心砌块的质量检查应按GB 50203-2018第6章的有关规定进行。</w:t>
      </w:r>
    </w:p>
    <w:p w14:paraId="3627F2AD">
      <w:pPr>
        <w:snapToGrid w:val="0"/>
        <w:spacing w:before="134" w:beforeLines="25" w:line="300" w:lineRule="auto"/>
        <w:ind w:firstLine="210" w:firstLineChars="100"/>
        <w:outlineLvl w:val="2"/>
        <w:rPr>
          <w:rFonts w:ascii="宋体" w:hAnsi="宋体" w:eastAsia="宋体"/>
          <w:b/>
          <w:bCs/>
          <w:szCs w:val="21"/>
        </w:rPr>
      </w:pPr>
      <w:bookmarkStart w:id="1543" w:name="_Toc381820043"/>
      <w:bookmarkStart w:id="1544" w:name="_Toc381799066"/>
      <w:r>
        <w:rPr>
          <w:rFonts w:hint="eastAsia" w:ascii="宋体" w:hAnsi="宋体" w:eastAsia="宋体"/>
          <w:b/>
          <w:bCs/>
          <w:szCs w:val="21"/>
        </w:rPr>
        <w:t>7.3.5完工验收</w:t>
      </w:r>
      <w:bookmarkEnd w:id="1543"/>
      <w:bookmarkEnd w:id="1544"/>
    </w:p>
    <w:p w14:paraId="0A1EA3DE">
      <w:pPr>
        <w:snapToGrid w:val="0"/>
        <w:spacing w:line="300" w:lineRule="auto"/>
        <w:ind w:firstLine="420" w:firstLineChars="200"/>
        <w:rPr>
          <w:rFonts w:ascii="宋体" w:hAnsi="宋体" w:eastAsia="宋体"/>
          <w:szCs w:val="21"/>
        </w:rPr>
      </w:pPr>
      <w:r>
        <w:rPr>
          <w:rFonts w:hint="eastAsia" w:ascii="宋体" w:hAnsi="宋体" w:eastAsia="宋体"/>
          <w:szCs w:val="21"/>
        </w:rPr>
        <w:t>砖和小砌块砌体工程全部完工后，承包人应向监理人申请完工验收，并提交以下完工验收资料：</w:t>
      </w:r>
    </w:p>
    <w:p w14:paraId="62E34333">
      <w:pPr>
        <w:snapToGrid w:val="0"/>
        <w:spacing w:line="300" w:lineRule="auto"/>
        <w:ind w:firstLine="420" w:firstLineChars="200"/>
        <w:rPr>
          <w:rFonts w:ascii="宋体" w:hAnsi="宋体" w:eastAsia="宋体"/>
          <w:szCs w:val="21"/>
        </w:rPr>
      </w:pPr>
      <w:r>
        <w:rPr>
          <w:rFonts w:hint="eastAsia" w:ascii="宋体" w:hAnsi="宋体" w:eastAsia="宋体"/>
          <w:szCs w:val="21"/>
        </w:rPr>
        <w:t>(1)砖和小砌块砌体工程各项材料的质量证明书、试验报告和现场检测报告。</w:t>
      </w:r>
    </w:p>
    <w:p w14:paraId="5A50B382">
      <w:pPr>
        <w:snapToGrid w:val="0"/>
        <w:spacing w:line="300" w:lineRule="auto"/>
        <w:ind w:firstLine="420" w:firstLineChars="200"/>
        <w:rPr>
          <w:rFonts w:ascii="宋体" w:hAnsi="宋体" w:eastAsia="宋体"/>
          <w:szCs w:val="21"/>
        </w:rPr>
      </w:pPr>
      <w:r>
        <w:rPr>
          <w:rFonts w:hint="eastAsia" w:ascii="宋体" w:hAnsi="宋体" w:eastAsia="宋体"/>
          <w:szCs w:val="21"/>
        </w:rPr>
        <w:t>(2)各项砌筑砂浆和混凝土配合比试验及其试块的检查检验记录。</w:t>
      </w:r>
    </w:p>
    <w:p w14:paraId="5A567D21">
      <w:pPr>
        <w:snapToGrid w:val="0"/>
        <w:spacing w:line="300" w:lineRule="auto"/>
        <w:ind w:firstLine="420" w:firstLineChars="200"/>
        <w:rPr>
          <w:rFonts w:ascii="宋体" w:hAnsi="宋体" w:eastAsia="宋体"/>
          <w:szCs w:val="21"/>
        </w:rPr>
      </w:pPr>
      <w:r>
        <w:rPr>
          <w:rFonts w:hint="eastAsia" w:ascii="宋体" w:hAnsi="宋体" w:eastAsia="宋体"/>
          <w:szCs w:val="21"/>
        </w:rPr>
        <w:t>(3)砌体基础面的检查验收记录。</w:t>
      </w:r>
    </w:p>
    <w:p w14:paraId="39170F1D">
      <w:pPr>
        <w:snapToGrid w:val="0"/>
        <w:spacing w:line="300" w:lineRule="auto"/>
        <w:ind w:firstLine="420" w:firstLineChars="200"/>
        <w:rPr>
          <w:rFonts w:ascii="宋体" w:hAnsi="宋体" w:eastAsia="宋体"/>
          <w:szCs w:val="21"/>
        </w:rPr>
      </w:pPr>
      <w:r>
        <w:rPr>
          <w:rFonts w:hint="eastAsia" w:ascii="宋体" w:hAnsi="宋体" w:eastAsia="宋体"/>
          <w:szCs w:val="21"/>
        </w:rPr>
        <w:t>(4)各项砌体建筑物及其细部结构尺寸和允许偏差以及外观的检查验收记录。</w:t>
      </w:r>
    </w:p>
    <w:p w14:paraId="1C2F411C">
      <w:pPr>
        <w:snapToGrid w:val="0"/>
        <w:spacing w:line="300" w:lineRule="auto"/>
        <w:ind w:firstLine="420" w:firstLineChars="200"/>
        <w:rPr>
          <w:rFonts w:ascii="宋体" w:hAnsi="宋体" w:eastAsia="宋体"/>
          <w:szCs w:val="21"/>
        </w:rPr>
      </w:pPr>
      <w:r>
        <w:rPr>
          <w:rFonts w:hint="eastAsia" w:ascii="宋体" w:hAnsi="宋体" w:eastAsia="宋体"/>
          <w:szCs w:val="21"/>
        </w:rPr>
        <w:t>(5)监理人要求提交的其它完工资料。</w:t>
      </w:r>
    </w:p>
    <w:p w14:paraId="7519ADB7">
      <w:pPr>
        <w:adjustRightInd w:val="0"/>
        <w:snapToGrid w:val="0"/>
        <w:spacing w:before="134" w:beforeLines="25" w:line="300" w:lineRule="auto"/>
        <w:outlineLvl w:val="1"/>
        <w:rPr>
          <w:rFonts w:ascii="宋体" w:hAnsi="宋体" w:eastAsia="宋体"/>
          <w:b/>
          <w:bCs/>
          <w:sz w:val="24"/>
          <w:szCs w:val="24"/>
        </w:rPr>
      </w:pPr>
      <w:bookmarkStart w:id="1545" w:name="_Toc307416269"/>
      <w:bookmarkStart w:id="1546" w:name="_Toc325020394"/>
      <w:bookmarkStart w:id="1547" w:name="_Toc347386254"/>
      <w:bookmarkStart w:id="1548" w:name="_Toc347386005"/>
      <w:bookmarkStart w:id="1549" w:name="_Toc307417566"/>
      <w:bookmarkStart w:id="1550" w:name="_Toc304280817"/>
      <w:bookmarkStart w:id="1551" w:name="_Toc347385750"/>
      <w:bookmarkStart w:id="1552" w:name="_Toc381820044"/>
      <w:bookmarkStart w:id="1553" w:name="_Toc325040200"/>
      <w:bookmarkStart w:id="1554" w:name="_Toc332616563"/>
      <w:bookmarkStart w:id="1555" w:name="_Toc325020926"/>
      <w:bookmarkStart w:id="1556" w:name="_Toc307419455"/>
      <w:bookmarkStart w:id="1557" w:name="_Toc304279825"/>
      <w:bookmarkStart w:id="1558" w:name="_Toc304280566"/>
      <w:bookmarkStart w:id="1559" w:name="_Toc370238606"/>
      <w:bookmarkStart w:id="1560" w:name="_Toc381799067"/>
      <w:bookmarkStart w:id="1561" w:name="_Toc332353224"/>
      <w:bookmarkStart w:id="1562" w:name="_Toc304280070"/>
      <w:bookmarkStart w:id="1563" w:name="_Toc332293431"/>
      <w:bookmarkStart w:id="1564" w:name="_Toc304280321"/>
      <w:bookmarkStart w:id="1565" w:name="_Toc307485333"/>
      <w:r>
        <w:rPr>
          <w:rFonts w:hint="eastAsia" w:ascii="宋体" w:hAnsi="宋体" w:eastAsia="宋体"/>
          <w:b/>
          <w:bCs/>
          <w:sz w:val="24"/>
          <w:szCs w:val="24"/>
        </w:rPr>
        <w:t>7.4计量和支付</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14:paraId="0F0A9D09">
      <w:pPr>
        <w:snapToGrid w:val="0"/>
        <w:spacing w:line="300" w:lineRule="auto"/>
        <w:ind w:firstLine="420" w:firstLineChars="200"/>
        <w:rPr>
          <w:rFonts w:ascii="宋体" w:hAnsi="宋体" w:eastAsia="宋体"/>
          <w:szCs w:val="21"/>
        </w:rPr>
      </w:pPr>
      <w:r>
        <w:rPr>
          <w:rFonts w:hint="eastAsia" w:ascii="宋体" w:hAnsi="宋体" w:eastAsia="宋体"/>
          <w:szCs w:val="21"/>
        </w:rPr>
        <w:t>(1)旧砌体拆除及弃碴外运按原状实际量测，以m³计量，分别按工程量清单中相应的单价进行支付。外运单价中包含：拆旧物的装、运7km，卸及掩埋至监理人指定的，经发包人同意的地点，掩埋拆旧物的覆盖土层厚度不少于50cm，并对堆放地进行整修等费用。堆放地整修要求坡面无杂草，无坑洼，平整，达到线直，面平。</w:t>
      </w:r>
    </w:p>
    <w:p w14:paraId="462DFD94">
      <w:pPr>
        <w:snapToGrid w:val="0"/>
        <w:spacing w:line="300" w:lineRule="auto"/>
        <w:ind w:firstLine="420" w:firstLineChars="200"/>
        <w:rPr>
          <w:rFonts w:ascii="宋体" w:hAnsi="宋体" w:eastAsia="宋体"/>
          <w:szCs w:val="21"/>
        </w:rPr>
      </w:pPr>
      <w:r>
        <w:rPr>
          <w:rFonts w:hint="eastAsia" w:ascii="宋体" w:hAnsi="宋体" w:eastAsia="宋体"/>
          <w:szCs w:val="21"/>
        </w:rPr>
        <w:t>(2)浆砌石、干砌石、混凝土预制块和砖砌体按施工图纸所示尺寸计算的有效砌筑体积以立方米为单位计量，由发包人按《工程量清单》相应项目有效工程量的每立方米工程单价支付。</w:t>
      </w:r>
    </w:p>
    <w:p w14:paraId="3F92D90D">
      <w:pPr>
        <w:snapToGrid w:val="0"/>
        <w:spacing w:line="300" w:lineRule="auto"/>
        <w:ind w:firstLine="420" w:firstLineChars="200"/>
        <w:rPr>
          <w:rFonts w:ascii="宋体" w:hAnsi="宋体" w:eastAsia="宋体"/>
          <w:szCs w:val="21"/>
        </w:rPr>
      </w:pPr>
      <w:r>
        <w:rPr>
          <w:rFonts w:hint="eastAsia" w:ascii="宋体" w:hAnsi="宋体" w:eastAsia="宋体"/>
          <w:szCs w:val="21"/>
        </w:rPr>
        <w:t>(3)砌筑工程进行的材料试验、配合比试验、砂浆、拉结筋、垫层、排水管、止水设施、伸缩缝、沉降缝及埋设件等费用，包含在《工程量清单》相应砌筑项目有效工程量的每立方米工程单价中，发包人不另行支付。</w:t>
      </w:r>
    </w:p>
    <w:p w14:paraId="1CE8AE22">
      <w:pPr>
        <w:snapToGrid w:val="0"/>
        <w:spacing w:line="300" w:lineRule="auto"/>
        <w:ind w:firstLine="420" w:firstLineChars="200"/>
        <w:rPr>
          <w:rFonts w:ascii="宋体" w:hAnsi="宋体" w:eastAsia="宋体"/>
          <w:szCs w:val="21"/>
        </w:rPr>
      </w:pPr>
      <w:r>
        <w:rPr>
          <w:rFonts w:hint="eastAsia" w:ascii="宋体" w:hAnsi="宋体" w:eastAsia="宋体"/>
          <w:szCs w:val="21"/>
        </w:rPr>
        <w:t>(4)承包人按合同要求完成砌体建筑物的基础清理和施工排水等工作所需的费用，包含在《工程量清单》相应砌筑项目有效工程量的每立方米工程单价中，发包人不另行支付。</w:t>
      </w:r>
    </w:p>
    <w:p w14:paraId="3EBC5044">
      <w:pPr>
        <w:pStyle w:val="3"/>
        <w:keepNext w:val="0"/>
        <w:keepLines w:val="0"/>
        <w:spacing w:before="0" w:after="0" w:line="480" w:lineRule="auto"/>
        <w:jc w:val="center"/>
        <w:rPr>
          <w:rFonts w:ascii="宋体" w:hAnsi="宋体" w:eastAsia="宋体" w:cs="宋体"/>
          <w:sz w:val="28"/>
          <w:szCs w:val="28"/>
        </w:rPr>
      </w:pPr>
      <w:r>
        <w:rPr>
          <w:rFonts w:hint="eastAsia"/>
          <w:sz w:val="24"/>
        </w:rPr>
        <w:br w:type="page"/>
      </w:r>
      <w:bookmarkStart w:id="1566" w:name="_Toc26317"/>
      <w:r>
        <w:rPr>
          <w:rFonts w:hint="eastAsia" w:ascii="宋体" w:hAnsi="宋体" w:eastAsia="宋体" w:cs="宋体"/>
          <w:sz w:val="28"/>
          <w:szCs w:val="28"/>
        </w:rPr>
        <w:t>第8节 混凝土工程</w:t>
      </w:r>
      <w:bookmarkEnd w:id="1566"/>
    </w:p>
    <w:p w14:paraId="2C72BF8A">
      <w:pPr>
        <w:adjustRightInd w:val="0"/>
        <w:snapToGrid w:val="0"/>
        <w:spacing w:before="134" w:beforeLines="25" w:line="300" w:lineRule="auto"/>
        <w:outlineLvl w:val="1"/>
        <w:rPr>
          <w:rFonts w:ascii="宋体" w:hAnsi="宋体" w:eastAsia="宋体"/>
          <w:b/>
          <w:bCs/>
          <w:sz w:val="24"/>
          <w:szCs w:val="24"/>
        </w:rPr>
      </w:pPr>
      <w:bookmarkStart w:id="1567" w:name="第14章01"/>
      <w:bookmarkEnd w:id="1567"/>
      <w:r>
        <w:rPr>
          <w:rFonts w:hint="eastAsia" w:ascii="宋体" w:hAnsi="宋体" w:eastAsia="宋体"/>
          <w:b/>
          <w:bCs/>
          <w:sz w:val="24"/>
          <w:szCs w:val="24"/>
        </w:rPr>
        <w:t>8.1一般规定</w:t>
      </w:r>
    </w:p>
    <w:p w14:paraId="5D634A78">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8.1.1应用范围</w:t>
      </w:r>
    </w:p>
    <w:p w14:paraId="710DC896">
      <w:pPr>
        <w:snapToGrid w:val="0"/>
        <w:spacing w:line="300" w:lineRule="auto"/>
        <w:ind w:firstLine="420" w:firstLineChars="200"/>
        <w:rPr>
          <w:rFonts w:ascii="宋体" w:hAnsi="宋体" w:eastAsia="宋体"/>
          <w:szCs w:val="21"/>
        </w:rPr>
      </w:pPr>
      <w:r>
        <w:rPr>
          <w:rFonts w:hint="eastAsia" w:ascii="宋体" w:hAnsi="宋体" w:eastAsia="宋体"/>
          <w:szCs w:val="21"/>
        </w:rPr>
        <w:t>(1)本章规定适用于本合同施工图纸所示的永久和临时建筑物的各类混凝土(含钢筋混凝土)工程的施工，包括混凝土、预制混凝土、预应力混凝土、水下混凝土、碾压混凝土以及泵送混凝土等。</w:t>
      </w:r>
    </w:p>
    <w:p w14:paraId="6E937691">
      <w:pPr>
        <w:snapToGrid w:val="0"/>
        <w:spacing w:line="300" w:lineRule="auto"/>
        <w:ind w:firstLine="420" w:firstLineChars="200"/>
        <w:rPr>
          <w:rFonts w:ascii="宋体" w:hAnsi="宋体" w:eastAsia="宋体"/>
          <w:szCs w:val="21"/>
        </w:rPr>
      </w:pPr>
      <w:r>
        <w:rPr>
          <w:rFonts w:hint="eastAsia" w:ascii="宋体" w:hAnsi="宋体" w:eastAsia="宋体"/>
          <w:szCs w:val="21"/>
        </w:rPr>
        <w:t>(2)本章主要的施工内容包括：混凝土生产(包括混凝土材料、配合比设计、混凝土拌制及混凝土的取样和检验等)，管路和预埋件施工，止水、伸缩缝和坝体排水施工，混凝土运输、浇筑以及温度控制和混凝土养护等。</w:t>
      </w:r>
    </w:p>
    <w:p w14:paraId="5B649031">
      <w:pPr>
        <w:snapToGrid w:val="0"/>
        <w:spacing w:line="300" w:lineRule="auto"/>
        <w:ind w:firstLine="420" w:firstLineChars="200"/>
        <w:rPr>
          <w:rFonts w:ascii="宋体" w:hAnsi="宋体" w:eastAsia="宋体"/>
          <w:szCs w:val="21"/>
        </w:rPr>
      </w:pPr>
      <w:r>
        <w:rPr>
          <w:rFonts w:hint="eastAsia" w:ascii="宋体" w:hAnsi="宋体" w:eastAsia="宋体"/>
          <w:szCs w:val="21"/>
        </w:rPr>
        <w:t>(3)本章规定还包括混凝土工程各种类型的模板与钢筋的制作和安装，模板中包括钢筋混凝土模板、钢模板、悬臂模板和特种模板等。</w:t>
      </w:r>
    </w:p>
    <w:p w14:paraId="224663E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8.1.2承包人责任</w:t>
      </w:r>
    </w:p>
    <w:p w14:paraId="3630BFE7">
      <w:pPr>
        <w:snapToGrid w:val="0"/>
        <w:spacing w:line="300" w:lineRule="auto"/>
        <w:ind w:firstLine="420" w:firstLineChars="200"/>
        <w:rPr>
          <w:rFonts w:ascii="宋体" w:hAnsi="宋体" w:eastAsia="宋体"/>
          <w:szCs w:val="21"/>
        </w:rPr>
      </w:pPr>
      <w:r>
        <w:rPr>
          <w:rFonts w:hint="eastAsia" w:ascii="宋体" w:hAnsi="宋体" w:eastAsia="宋体"/>
          <w:szCs w:val="21"/>
        </w:rPr>
        <w:t>(1)除合同另有约定外，承包人应按本工程施工图纸的要求，负责砂、石骨料的生产、运输、贮存和使用。</w:t>
      </w:r>
    </w:p>
    <w:p w14:paraId="586DD76F">
      <w:pPr>
        <w:snapToGrid w:val="0"/>
        <w:spacing w:line="300" w:lineRule="auto"/>
        <w:ind w:firstLine="420" w:firstLineChars="200"/>
        <w:rPr>
          <w:rFonts w:ascii="宋体" w:hAnsi="宋体" w:eastAsia="宋体"/>
          <w:szCs w:val="21"/>
        </w:rPr>
      </w:pPr>
      <w:r>
        <w:rPr>
          <w:rFonts w:hint="eastAsia" w:ascii="宋体" w:hAnsi="宋体" w:eastAsia="宋体"/>
          <w:szCs w:val="21"/>
        </w:rPr>
        <w:t>(2)除合同另有约定外，承包人应负责修建本工程的混凝土拌和厂，包括其生产设备的采购、安装、运行管理、维护和拆除，并使其生产能力满足本合同规定的施工进度要求。</w:t>
      </w:r>
    </w:p>
    <w:p w14:paraId="705263E2">
      <w:pPr>
        <w:snapToGrid w:val="0"/>
        <w:spacing w:line="300" w:lineRule="auto"/>
        <w:ind w:firstLine="420" w:firstLineChars="200"/>
        <w:rPr>
          <w:rFonts w:ascii="宋体" w:hAnsi="宋体" w:eastAsia="宋体"/>
          <w:szCs w:val="21"/>
        </w:rPr>
      </w:pPr>
      <w:r>
        <w:rPr>
          <w:rFonts w:hint="eastAsia" w:ascii="宋体" w:hAnsi="宋体" w:eastAsia="宋体"/>
          <w:szCs w:val="21"/>
        </w:rPr>
        <w:t>(3)承包人应负责本工程各种类型模板的制作、安装、拆除和维护，以及钢筋和锚筋的制作和安装。</w:t>
      </w:r>
    </w:p>
    <w:p w14:paraId="27CE5F8E">
      <w:pPr>
        <w:snapToGrid w:val="0"/>
        <w:spacing w:line="300" w:lineRule="auto"/>
        <w:ind w:firstLine="420" w:firstLineChars="200"/>
        <w:rPr>
          <w:rFonts w:ascii="宋体" w:hAnsi="宋体" w:eastAsia="宋体"/>
          <w:szCs w:val="21"/>
        </w:rPr>
      </w:pPr>
      <w:r>
        <w:rPr>
          <w:rFonts w:hint="eastAsia" w:ascii="宋体" w:hAnsi="宋体" w:eastAsia="宋体"/>
          <w:szCs w:val="21"/>
        </w:rPr>
        <w:t>(4)承包人应负责进行混凝土的室内试验、现场试验，以选定混凝土的原材料、最优配合比、施工工艺和浇筑程序。</w:t>
      </w:r>
    </w:p>
    <w:p w14:paraId="440533AD">
      <w:pPr>
        <w:snapToGrid w:val="0"/>
        <w:spacing w:line="300" w:lineRule="auto"/>
        <w:ind w:firstLine="420" w:firstLineChars="200"/>
        <w:rPr>
          <w:rFonts w:ascii="宋体" w:hAnsi="宋体" w:eastAsia="宋体"/>
          <w:szCs w:val="21"/>
        </w:rPr>
      </w:pPr>
      <w:r>
        <w:rPr>
          <w:rFonts w:hint="eastAsia" w:ascii="宋体" w:hAnsi="宋体" w:eastAsia="宋体"/>
          <w:szCs w:val="21"/>
        </w:rPr>
        <w:t>(5)承包人应根据本合同技术条款和施工图纸所示的各种强度等级混凝土的质量要求，负责混凝土的拌和、运输、浇筑、温度控制和养护。</w:t>
      </w:r>
    </w:p>
    <w:p w14:paraId="6CF94CDE">
      <w:pPr>
        <w:snapToGrid w:val="0"/>
        <w:spacing w:line="300" w:lineRule="auto"/>
        <w:ind w:firstLine="420" w:firstLineChars="200"/>
        <w:rPr>
          <w:rFonts w:ascii="宋体" w:hAnsi="宋体" w:eastAsia="宋体"/>
          <w:szCs w:val="21"/>
        </w:rPr>
      </w:pPr>
      <w:r>
        <w:rPr>
          <w:rFonts w:hint="eastAsia" w:ascii="宋体" w:hAnsi="宋体" w:eastAsia="宋体"/>
          <w:szCs w:val="21"/>
        </w:rPr>
        <w:t>(6)承包人应负责本合同技术条款和施工图纸所示预制混凝土和预应力混凝土构件的制作、运输和安装以及水下混凝土和碾压混凝土的施工。</w:t>
      </w:r>
    </w:p>
    <w:p w14:paraId="0FAEBF4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8.1.3主要提交件</w:t>
      </w:r>
    </w:p>
    <w:p w14:paraId="05D282A9">
      <w:pPr>
        <w:snapToGrid w:val="0"/>
        <w:spacing w:line="300" w:lineRule="auto"/>
        <w:ind w:firstLine="420" w:firstLineChars="200"/>
        <w:rPr>
          <w:rFonts w:ascii="宋体" w:hAnsi="宋体" w:eastAsia="宋体"/>
          <w:szCs w:val="21"/>
        </w:rPr>
      </w:pPr>
      <w:r>
        <w:rPr>
          <w:rFonts w:hint="eastAsia" w:ascii="宋体" w:hAnsi="宋体" w:eastAsia="宋体"/>
          <w:szCs w:val="21"/>
        </w:rPr>
        <w:t>(1)混凝土浇筑施工措施计划：承包人应在混凝土工程开工前，编制混凝土浇筑的施工措施计划，提交监理人批准，其内容包括：</w:t>
      </w:r>
    </w:p>
    <w:p w14:paraId="07AA7FA7">
      <w:pPr>
        <w:snapToGrid w:val="0"/>
        <w:spacing w:line="300" w:lineRule="auto"/>
        <w:ind w:firstLine="420" w:firstLineChars="200"/>
        <w:rPr>
          <w:rFonts w:ascii="宋体" w:hAnsi="宋体" w:eastAsia="宋体"/>
          <w:szCs w:val="21"/>
        </w:rPr>
      </w:pPr>
      <w:r>
        <w:rPr>
          <w:rFonts w:hint="eastAsia" w:ascii="宋体" w:hAnsi="宋体" w:eastAsia="宋体"/>
          <w:szCs w:val="21"/>
        </w:rPr>
        <w:t>1)混凝土浇筑所需的砂石料场(仓)、拌和厂、混凝土运输和浇筑设备、温度控制设施，以及混凝土试验等的布置、设备配置计划及其施工安装措施；</w:t>
      </w:r>
    </w:p>
    <w:p w14:paraId="255FA332">
      <w:pPr>
        <w:snapToGrid w:val="0"/>
        <w:spacing w:line="300" w:lineRule="auto"/>
        <w:ind w:firstLine="420" w:firstLineChars="200"/>
        <w:rPr>
          <w:rFonts w:ascii="宋体" w:hAnsi="宋体" w:eastAsia="宋体"/>
          <w:szCs w:val="21"/>
        </w:rPr>
      </w:pPr>
      <w:r>
        <w:rPr>
          <w:rFonts w:hint="eastAsia" w:ascii="宋体" w:hAnsi="宋体" w:eastAsia="宋体"/>
          <w:szCs w:val="21"/>
        </w:rPr>
        <w:t>2)各种混凝土配合比设计与室内混凝土试验计划；</w:t>
      </w:r>
    </w:p>
    <w:p w14:paraId="5C309C61">
      <w:pPr>
        <w:snapToGrid w:val="0"/>
        <w:spacing w:line="300" w:lineRule="auto"/>
        <w:ind w:firstLine="420" w:firstLineChars="200"/>
        <w:rPr>
          <w:rFonts w:ascii="宋体" w:hAnsi="宋体" w:eastAsia="宋体"/>
          <w:szCs w:val="21"/>
        </w:rPr>
      </w:pPr>
      <w:r>
        <w:rPr>
          <w:rFonts w:hint="eastAsia" w:ascii="宋体" w:hAnsi="宋体" w:eastAsia="宋体"/>
          <w:szCs w:val="21"/>
        </w:rPr>
        <w:t>3)混凝土生产、运输、浇筑等的施工工艺和方法；</w:t>
      </w:r>
    </w:p>
    <w:p w14:paraId="1B439BB0">
      <w:pPr>
        <w:snapToGrid w:val="0"/>
        <w:spacing w:line="300" w:lineRule="auto"/>
        <w:ind w:firstLine="420" w:firstLineChars="200"/>
        <w:rPr>
          <w:rFonts w:ascii="宋体" w:hAnsi="宋体" w:eastAsia="宋体"/>
          <w:szCs w:val="21"/>
        </w:rPr>
      </w:pPr>
      <w:r>
        <w:rPr>
          <w:rFonts w:hint="eastAsia" w:ascii="宋体" w:hAnsi="宋体" w:eastAsia="宋体"/>
          <w:szCs w:val="21"/>
        </w:rPr>
        <w:t>4)现场工艺试验的措施计划；</w:t>
      </w:r>
    </w:p>
    <w:p w14:paraId="4A81BCB7">
      <w:pPr>
        <w:snapToGrid w:val="0"/>
        <w:spacing w:line="300" w:lineRule="auto"/>
        <w:ind w:firstLine="420" w:firstLineChars="200"/>
        <w:rPr>
          <w:rFonts w:ascii="宋体" w:hAnsi="宋体" w:eastAsia="宋体"/>
          <w:szCs w:val="21"/>
        </w:rPr>
      </w:pPr>
      <w:r>
        <w:rPr>
          <w:rFonts w:hint="eastAsia" w:ascii="宋体" w:hAnsi="宋体" w:eastAsia="宋体"/>
          <w:szCs w:val="21"/>
        </w:rPr>
        <w:t>5)混凝土温度控制的专项技术措施；</w:t>
      </w:r>
    </w:p>
    <w:p w14:paraId="677A3A15">
      <w:pPr>
        <w:snapToGrid w:val="0"/>
        <w:spacing w:line="300" w:lineRule="auto"/>
        <w:ind w:firstLine="420" w:firstLineChars="200"/>
        <w:rPr>
          <w:rFonts w:ascii="宋体" w:hAnsi="宋体" w:eastAsia="宋体"/>
          <w:szCs w:val="21"/>
        </w:rPr>
      </w:pPr>
      <w:r>
        <w:rPr>
          <w:rFonts w:hint="eastAsia" w:ascii="宋体" w:hAnsi="宋体" w:eastAsia="宋体"/>
          <w:szCs w:val="21"/>
        </w:rPr>
        <w:t>6)施工质量控制措施及其质量检查和检验方法等。</w:t>
      </w:r>
    </w:p>
    <w:p w14:paraId="3FBC4346">
      <w:pPr>
        <w:snapToGrid w:val="0"/>
        <w:spacing w:line="300" w:lineRule="auto"/>
        <w:ind w:firstLine="420" w:firstLineChars="200"/>
        <w:rPr>
          <w:rFonts w:ascii="宋体" w:hAnsi="宋体" w:eastAsia="宋体"/>
          <w:szCs w:val="21"/>
        </w:rPr>
      </w:pPr>
      <w:r>
        <w:rPr>
          <w:rFonts w:hint="eastAsia" w:ascii="宋体" w:hAnsi="宋体" w:eastAsia="宋体"/>
          <w:szCs w:val="21"/>
        </w:rPr>
        <w:t>(2)混凝土质量检查报表</w:t>
      </w:r>
    </w:p>
    <w:p w14:paraId="7DDD6AF5">
      <w:pPr>
        <w:snapToGrid w:val="0"/>
        <w:spacing w:line="300" w:lineRule="auto"/>
        <w:ind w:firstLine="420" w:firstLineChars="200"/>
        <w:rPr>
          <w:rFonts w:ascii="宋体" w:hAnsi="宋体" w:eastAsia="宋体"/>
          <w:szCs w:val="21"/>
        </w:rPr>
      </w:pPr>
      <w:r>
        <w:rPr>
          <w:rFonts w:hint="eastAsia" w:ascii="宋体" w:hAnsi="宋体" w:eastAsia="宋体"/>
          <w:szCs w:val="21"/>
        </w:rPr>
        <w:t>承包人应按监理人的指示提供混凝土拌和与浇筑质量的施工记录报表，包括混凝土原材料的品质检查报表、强度等级和配合比试验成果、各种混凝土浇筑分块程序、浇筑记录、质量检查、事故处理、混凝土养护和表面保护等作业记录等。</w:t>
      </w:r>
    </w:p>
    <w:p w14:paraId="2711591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8.1.4引用标准</w:t>
      </w:r>
    </w:p>
    <w:p w14:paraId="5FC42A26">
      <w:pPr>
        <w:snapToGrid w:val="0"/>
        <w:spacing w:line="300" w:lineRule="auto"/>
        <w:ind w:firstLine="420" w:firstLineChars="200"/>
        <w:rPr>
          <w:rFonts w:ascii="宋体" w:hAnsi="宋体" w:eastAsia="宋体"/>
          <w:szCs w:val="21"/>
        </w:rPr>
      </w:pPr>
      <w:r>
        <w:rPr>
          <w:rFonts w:hint="eastAsia" w:ascii="宋体" w:hAnsi="宋体" w:eastAsia="宋体"/>
          <w:szCs w:val="21"/>
        </w:rPr>
        <w:t>(1)《低热微膨胀水泥》(GB2938-2008)；</w:t>
      </w:r>
    </w:p>
    <w:p w14:paraId="09CB1BEF">
      <w:pPr>
        <w:snapToGrid w:val="0"/>
        <w:spacing w:line="300" w:lineRule="auto"/>
        <w:ind w:firstLine="420" w:firstLineChars="200"/>
        <w:rPr>
          <w:rFonts w:ascii="宋体" w:hAnsi="宋体" w:eastAsia="宋体"/>
          <w:szCs w:val="21"/>
        </w:rPr>
      </w:pPr>
      <w:r>
        <w:rPr>
          <w:rFonts w:hint="eastAsia" w:ascii="宋体" w:hAnsi="宋体" w:eastAsia="宋体"/>
          <w:szCs w:val="21"/>
        </w:rPr>
        <w:t>(2)《通用硅酸盐水泥》(GB175-2016)；</w:t>
      </w:r>
    </w:p>
    <w:p w14:paraId="4E7E4F19">
      <w:pPr>
        <w:snapToGrid w:val="0"/>
        <w:spacing w:line="300" w:lineRule="auto"/>
        <w:ind w:firstLine="420" w:firstLineChars="200"/>
        <w:rPr>
          <w:rFonts w:ascii="宋体" w:hAnsi="宋体" w:eastAsia="宋体"/>
          <w:szCs w:val="21"/>
        </w:rPr>
      </w:pPr>
      <w:r>
        <w:rPr>
          <w:rFonts w:hint="eastAsia" w:ascii="宋体" w:hAnsi="宋体" w:eastAsia="宋体"/>
          <w:szCs w:val="21"/>
        </w:rPr>
        <w:t>(3)《混凝土结构工程施工质量验收规范》(</w:t>
      </w:r>
      <w:bookmarkStart w:id="1568" w:name="_Hlt268630945"/>
      <w:bookmarkEnd w:id="1568"/>
      <w:r>
        <w:rPr>
          <w:rFonts w:hint="eastAsia" w:ascii="宋体" w:hAnsi="宋体" w:eastAsia="宋体"/>
          <w:szCs w:val="21"/>
        </w:rPr>
        <w:t>GB50204-2015)；</w:t>
      </w:r>
    </w:p>
    <w:p w14:paraId="08BFE915">
      <w:pPr>
        <w:snapToGrid w:val="0"/>
        <w:spacing w:line="300" w:lineRule="auto"/>
        <w:ind w:firstLine="420" w:firstLineChars="200"/>
        <w:rPr>
          <w:rFonts w:ascii="宋体" w:hAnsi="宋体" w:eastAsia="宋体"/>
          <w:szCs w:val="21"/>
        </w:rPr>
      </w:pPr>
      <w:r>
        <w:rPr>
          <w:rFonts w:hint="eastAsia" w:ascii="宋体" w:hAnsi="宋体" w:eastAsia="宋体"/>
          <w:szCs w:val="21"/>
        </w:rPr>
        <w:t>(4)《粉煤灰混凝土应用技术规程》(GB/T50146-2014)；</w:t>
      </w:r>
    </w:p>
    <w:p w14:paraId="5AC58195">
      <w:pPr>
        <w:snapToGrid w:val="0"/>
        <w:spacing w:line="300" w:lineRule="auto"/>
        <w:ind w:firstLine="420" w:firstLineChars="200"/>
        <w:rPr>
          <w:rFonts w:ascii="宋体" w:hAnsi="宋体" w:eastAsia="宋体"/>
          <w:szCs w:val="21"/>
        </w:rPr>
      </w:pPr>
      <w:r>
        <w:rPr>
          <w:rFonts w:hint="eastAsia" w:ascii="宋体" w:hAnsi="宋体" w:eastAsia="宋体"/>
          <w:szCs w:val="21"/>
        </w:rPr>
        <w:t>(5)《预应力混凝土用钢丝》(GB/T5223-2014)；</w:t>
      </w:r>
    </w:p>
    <w:p w14:paraId="2997F295">
      <w:pPr>
        <w:snapToGrid w:val="0"/>
        <w:spacing w:line="300" w:lineRule="auto"/>
        <w:ind w:firstLine="420" w:firstLineChars="200"/>
        <w:rPr>
          <w:rFonts w:ascii="宋体" w:hAnsi="宋体" w:eastAsia="宋体"/>
          <w:szCs w:val="21"/>
        </w:rPr>
      </w:pPr>
      <w:r>
        <w:rPr>
          <w:rFonts w:hint="eastAsia" w:ascii="宋体" w:hAnsi="宋体" w:eastAsia="宋体"/>
          <w:szCs w:val="21"/>
        </w:rPr>
        <w:t>(6)《预应力混凝土用钢绞线》(GB/T5224-2014)；</w:t>
      </w:r>
    </w:p>
    <w:p w14:paraId="1B7895FB">
      <w:pPr>
        <w:snapToGrid w:val="0"/>
        <w:spacing w:line="300" w:lineRule="auto"/>
        <w:ind w:firstLine="420" w:firstLineChars="200"/>
        <w:rPr>
          <w:rFonts w:ascii="宋体" w:hAnsi="宋体" w:eastAsia="宋体"/>
          <w:szCs w:val="21"/>
        </w:rPr>
      </w:pPr>
      <w:r>
        <w:rPr>
          <w:rFonts w:hint="eastAsia" w:ascii="宋体" w:hAnsi="宋体" w:eastAsia="宋体"/>
          <w:szCs w:val="21"/>
        </w:rPr>
        <w:t>(7)《预应力筋用锚具、夹具和连接器》(GB/T14370-2015)；</w:t>
      </w:r>
    </w:p>
    <w:p w14:paraId="6EB36F04">
      <w:pPr>
        <w:snapToGrid w:val="0"/>
        <w:spacing w:line="300" w:lineRule="auto"/>
        <w:ind w:firstLine="420" w:firstLineChars="200"/>
        <w:rPr>
          <w:rFonts w:ascii="宋体" w:hAnsi="宋体" w:eastAsia="宋体"/>
          <w:szCs w:val="21"/>
        </w:rPr>
      </w:pPr>
      <w:r>
        <w:rPr>
          <w:rFonts w:hint="eastAsia" w:ascii="宋体" w:hAnsi="宋体" w:eastAsia="宋体"/>
          <w:szCs w:val="21"/>
        </w:rPr>
        <w:t>(8)《水工混凝土试验规程》(SL/T352-2020)；</w:t>
      </w:r>
    </w:p>
    <w:p w14:paraId="6B7CA983">
      <w:pPr>
        <w:snapToGrid w:val="0"/>
        <w:spacing w:line="300" w:lineRule="auto"/>
        <w:ind w:firstLine="420" w:firstLineChars="200"/>
        <w:rPr>
          <w:rFonts w:ascii="宋体" w:hAnsi="宋体" w:eastAsia="宋体"/>
          <w:szCs w:val="21"/>
        </w:rPr>
      </w:pPr>
      <w:r>
        <w:rPr>
          <w:rFonts w:hint="eastAsia" w:ascii="宋体" w:hAnsi="宋体" w:eastAsia="宋体"/>
          <w:szCs w:val="21"/>
        </w:rPr>
        <w:t>(9)《水工碾压混凝土施工规范》(SL53-1994)；</w:t>
      </w:r>
    </w:p>
    <w:p w14:paraId="4833315D">
      <w:pPr>
        <w:snapToGrid w:val="0"/>
        <w:spacing w:line="300" w:lineRule="auto"/>
        <w:ind w:firstLine="420" w:firstLineChars="200"/>
        <w:rPr>
          <w:rFonts w:ascii="宋体" w:hAnsi="宋体" w:eastAsia="宋体"/>
          <w:szCs w:val="21"/>
        </w:rPr>
      </w:pPr>
      <w:r>
        <w:rPr>
          <w:rFonts w:hint="eastAsia" w:ascii="宋体" w:hAnsi="宋体" w:eastAsia="宋体"/>
          <w:szCs w:val="21"/>
        </w:rPr>
        <w:t>(10)《混凝土面板堆石坝施工规范》(SL49-2015)；</w:t>
      </w:r>
    </w:p>
    <w:p w14:paraId="4389DD1B">
      <w:pPr>
        <w:snapToGrid w:val="0"/>
        <w:spacing w:line="300" w:lineRule="auto"/>
        <w:ind w:firstLine="420" w:firstLineChars="200"/>
        <w:rPr>
          <w:rFonts w:ascii="宋体" w:hAnsi="宋体" w:eastAsia="宋体"/>
          <w:szCs w:val="21"/>
        </w:rPr>
      </w:pPr>
      <w:r>
        <w:rPr>
          <w:rFonts w:hint="eastAsia" w:ascii="宋体" w:hAnsi="宋体" w:eastAsia="宋体"/>
          <w:szCs w:val="21"/>
        </w:rPr>
        <w:t>(11)《水工建筑物滑动模板施工技术规范》(SL32-2014)；</w:t>
      </w:r>
    </w:p>
    <w:p w14:paraId="05CE2ED4">
      <w:pPr>
        <w:snapToGrid w:val="0"/>
        <w:spacing w:line="300" w:lineRule="auto"/>
        <w:ind w:firstLine="420" w:firstLineChars="200"/>
        <w:rPr>
          <w:rFonts w:ascii="宋体" w:hAnsi="宋体" w:eastAsia="宋体"/>
          <w:szCs w:val="21"/>
        </w:rPr>
      </w:pPr>
      <w:r>
        <w:rPr>
          <w:rFonts w:hint="eastAsia" w:ascii="宋体" w:hAnsi="宋体" w:eastAsia="宋体"/>
          <w:szCs w:val="21"/>
        </w:rPr>
        <w:t>(12)《水工建筑物抗冲磨防空蚀混凝土技术规范》(DL/T5207-2005)；</w:t>
      </w:r>
    </w:p>
    <w:p w14:paraId="1D869AC1">
      <w:pPr>
        <w:snapToGrid w:val="0"/>
        <w:spacing w:line="300" w:lineRule="auto"/>
        <w:ind w:firstLine="420" w:firstLineChars="200"/>
        <w:rPr>
          <w:rFonts w:ascii="宋体" w:hAnsi="宋体" w:eastAsia="宋体"/>
          <w:szCs w:val="21"/>
        </w:rPr>
      </w:pPr>
      <w:r>
        <w:rPr>
          <w:rFonts w:hint="eastAsia" w:ascii="宋体" w:hAnsi="宋体" w:eastAsia="宋体"/>
          <w:szCs w:val="21"/>
        </w:rPr>
        <w:t>(13)《水工混凝土钢筋施工规范》(DL/T5169-2013)；</w:t>
      </w:r>
    </w:p>
    <w:p w14:paraId="1D17C36F">
      <w:pPr>
        <w:snapToGrid w:val="0"/>
        <w:spacing w:line="300" w:lineRule="auto"/>
        <w:ind w:firstLine="420" w:firstLineChars="200"/>
        <w:rPr>
          <w:rFonts w:ascii="宋体" w:hAnsi="宋体" w:eastAsia="宋体"/>
          <w:szCs w:val="21"/>
        </w:rPr>
      </w:pPr>
      <w:r>
        <w:rPr>
          <w:rFonts w:hint="eastAsia" w:ascii="宋体" w:hAnsi="宋体" w:eastAsia="宋体"/>
          <w:szCs w:val="21"/>
        </w:rPr>
        <w:t>(14)《水工混凝土施工规范》(SL677-2014)；</w:t>
      </w:r>
    </w:p>
    <w:p w14:paraId="3D20BD3B">
      <w:pPr>
        <w:snapToGrid w:val="0"/>
        <w:spacing w:line="300" w:lineRule="auto"/>
        <w:ind w:firstLine="420" w:firstLineChars="200"/>
        <w:rPr>
          <w:rFonts w:ascii="宋体" w:hAnsi="宋体" w:eastAsia="宋体"/>
          <w:szCs w:val="21"/>
        </w:rPr>
      </w:pPr>
      <w:r>
        <w:rPr>
          <w:rFonts w:hint="eastAsia" w:ascii="宋体" w:hAnsi="宋体" w:eastAsia="宋体"/>
          <w:szCs w:val="21"/>
        </w:rPr>
        <w:t>(15)《水电水利工程模板施工规范》(DL/T5110-2013)；</w:t>
      </w:r>
    </w:p>
    <w:p w14:paraId="00D100CE">
      <w:pPr>
        <w:snapToGrid w:val="0"/>
        <w:spacing w:line="300" w:lineRule="auto"/>
        <w:ind w:firstLine="420" w:firstLineChars="200"/>
        <w:rPr>
          <w:rFonts w:ascii="宋体" w:hAnsi="宋体" w:eastAsia="宋体"/>
          <w:szCs w:val="21"/>
        </w:rPr>
      </w:pPr>
      <w:r>
        <w:rPr>
          <w:rFonts w:hint="eastAsia" w:ascii="宋体" w:hAnsi="宋体" w:eastAsia="宋体"/>
          <w:szCs w:val="21"/>
        </w:rPr>
        <w:t>(16)《混凝土用水标准》(JGJ63-2016)；</w:t>
      </w:r>
    </w:p>
    <w:p w14:paraId="77AB96FB">
      <w:pPr>
        <w:snapToGrid w:val="0"/>
        <w:spacing w:line="300" w:lineRule="auto"/>
        <w:ind w:firstLine="420" w:firstLineChars="200"/>
        <w:rPr>
          <w:rFonts w:ascii="宋体" w:hAnsi="宋体" w:eastAsia="宋体"/>
          <w:szCs w:val="21"/>
        </w:rPr>
      </w:pPr>
      <w:r>
        <w:rPr>
          <w:rFonts w:hint="eastAsia" w:ascii="宋体" w:hAnsi="宋体" w:eastAsia="宋体"/>
          <w:szCs w:val="21"/>
        </w:rPr>
        <w:t>(17)《轻骨料混凝土技术规程》(JGJ51-2002)；</w:t>
      </w:r>
    </w:p>
    <w:p w14:paraId="445039B0">
      <w:pPr>
        <w:snapToGrid w:val="0"/>
        <w:spacing w:line="300" w:lineRule="auto"/>
        <w:ind w:firstLine="420" w:firstLineChars="200"/>
        <w:rPr>
          <w:rFonts w:ascii="宋体" w:hAnsi="宋体" w:eastAsia="宋体"/>
          <w:szCs w:val="21"/>
        </w:rPr>
      </w:pPr>
      <w:r>
        <w:rPr>
          <w:rFonts w:hint="eastAsia" w:ascii="宋体" w:hAnsi="宋体" w:eastAsia="宋体"/>
          <w:szCs w:val="21"/>
        </w:rPr>
        <w:t>(18)《混凝土泵送施工技术规程》(JGJ/T10-2011)；</w:t>
      </w:r>
    </w:p>
    <w:p w14:paraId="56A5BFD3">
      <w:pPr>
        <w:snapToGrid w:val="0"/>
        <w:spacing w:line="300" w:lineRule="auto"/>
        <w:ind w:firstLine="420" w:firstLineChars="200"/>
        <w:rPr>
          <w:rFonts w:ascii="宋体" w:hAnsi="宋体" w:eastAsia="宋体"/>
          <w:szCs w:val="21"/>
        </w:rPr>
      </w:pPr>
      <w:r>
        <w:rPr>
          <w:rFonts w:hint="eastAsia" w:ascii="宋体" w:hAnsi="宋体" w:eastAsia="宋体"/>
          <w:szCs w:val="21"/>
        </w:rPr>
        <w:t>(19)《混凝土及预制混凝土构件质量控制规程》(CECS40:92)。</w:t>
      </w:r>
    </w:p>
    <w:p w14:paraId="69BBC074">
      <w:pPr>
        <w:adjustRightInd w:val="0"/>
        <w:snapToGrid w:val="0"/>
        <w:spacing w:before="134" w:beforeLines="25" w:line="300" w:lineRule="auto"/>
        <w:outlineLvl w:val="1"/>
        <w:rPr>
          <w:rFonts w:ascii="宋体" w:hAnsi="宋体" w:eastAsia="宋体"/>
          <w:b/>
          <w:bCs/>
          <w:sz w:val="24"/>
          <w:szCs w:val="24"/>
        </w:rPr>
      </w:pPr>
      <w:bookmarkStart w:id="1569" w:name="第14章02"/>
      <w:bookmarkEnd w:id="1569"/>
      <w:r>
        <w:rPr>
          <w:rFonts w:hint="eastAsia" w:ascii="宋体" w:hAnsi="宋体" w:eastAsia="宋体"/>
          <w:b/>
          <w:bCs/>
          <w:sz w:val="24"/>
          <w:szCs w:val="24"/>
        </w:rPr>
        <w:t>8.2混凝土生产</w:t>
      </w:r>
    </w:p>
    <w:p w14:paraId="3859F33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8.2.1混凝土材料</w:t>
      </w:r>
    </w:p>
    <w:p w14:paraId="1DA7F341">
      <w:pPr>
        <w:snapToGrid w:val="0"/>
        <w:spacing w:line="300" w:lineRule="auto"/>
        <w:ind w:firstLine="420" w:firstLineChars="200"/>
        <w:rPr>
          <w:rFonts w:ascii="宋体" w:hAnsi="宋体" w:eastAsia="宋体"/>
          <w:szCs w:val="21"/>
        </w:rPr>
      </w:pPr>
      <w:r>
        <w:rPr>
          <w:rFonts w:hint="eastAsia" w:ascii="宋体" w:hAnsi="宋体" w:eastAsia="宋体"/>
          <w:szCs w:val="21"/>
        </w:rPr>
        <w:t>(1)水泥。混凝土的水泥应遵守GB175-2016的有关规定，泵送混凝土应遵守JGJ/T10-1995的有关规定。</w:t>
      </w:r>
    </w:p>
    <w:p w14:paraId="13B6AB27">
      <w:pPr>
        <w:snapToGrid w:val="0"/>
        <w:spacing w:line="300" w:lineRule="auto"/>
        <w:ind w:firstLine="420" w:firstLineChars="200"/>
        <w:rPr>
          <w:rFonts w:ascii="宋体" w:hAnsi="宋体" w:eastAsia="宋体"/>
          <w:szCs w:val="21"/>
        </w:rPr>
      </w:pPr>
      <w:r>
        <w:rPr>
          <w:rFonts w:hint="eastAsia" w:ascii="宋体" w:hAnsi="宋体" w:eastAsia="宋体"/>
          <w:szCs w:val="21"/>
        </w:rPr>
        <w:t>(2)骨料。混凝土的骨料应遵守DL/T5144第5.2节规定，泵送混凝土应遵守JGJ/T10-1995的有关规定。</w:t>
      </w:r>
    </w:p>
    <w:p w14:paraId="6D93BE03">
      <w:pPr>
        <w:snapToGrid w:val="0"/>
        <w:spacing w:line="300" w:lineRule="auto"/>
        <w:ind w:firstLine="420" w:firstLineChars="200"/>
        <w:rPr>
          <w:rFonts w:ascii="宋体" w:hAnsi="宋体" w:eastAsia="宋体"/>
          <w:szCs w:val="21"/>
        </w:rPr>
      </w:pPr>
      <w:r>
        <w:rPr>
          <w:rFonts w:hint="eastAsia" w:ascii="宋体" w:hAnsi="宋体" w:eastAsia="宋体"/>
          <w:szCs w:val="21"/>
        </w:rPr>
        <w:t>(3)水。混凝土浇筑用水应遵守JGJ63-2006的规定。</w:t>
      </w:r>
    </w:p>
    <w:p w14:paraId="60ED7DC3">
      <w:pPr>
        <w:snapToGrid w:val="0"/>
        <w:spacing w:line="300" w:lineRule="auto"/>
        <w:ind w:firstLine="420" w:firstLineChars="200"/>
        <w:rPr>
          <w:rFonts w:ascii="宋体" w:hAnsi="宋体" w:eastAsia="宋体"/>
          <w:szCs w:val="21"/>
        </w:rPr>
      </w:pPr>
      <w:r>
        <w:rPr>
          <w:rFonts w:hint="eastAsia" w:ascii="宋体" w:hAnsi="宋体" w:eastAsia="宋体"/>
          <w:szCs w:val="21"/>
        </w:rPr>
        <w:t>(4)掺合料。混凝土掺合料应遵守DL/T5144-2001第5.3节规定，泵送混凝土应遵守JGJ/T10-1995的有关规定。</w:t>
      </w:r>
    </w:p>
    <w:p w14:paraId="70F64A6E">
      <w:pPr>
        <w:snapToGrid w:val="0"/>
        <w:spacing w:line="300" w:lineRule="auto"/>
        <w:ind w:firstLine="420" w:firstLineChars="200"/>
        <w:rPr>
          <w:rFonts w:ascii="宋体" w:hAnsi="宋体" w:eastAsia="宋体"/>
          <w:szCs w:val="21"/>
        </w:rPr>
      </w:pPr>
      <w:r>
        <w:rPr>
          <w:rFonts w:hint="eastAsia" w:ascii="宋体" w:hAnsi="宋体" w:eastAsia="宋体"/>
          <w:szCs w:val="21"/>
        </w:rPr>
        <w:t>(5)外加剂。混凝土外加剂应遵守DL/T5144-2001第5.4节的有关规定，泵送混凝土应遵守JGJ/T10-1995的有关规定。</w:t>
      </w:r>
    </w:p>
    <w:p w14:paraId="0852AF7A">
      <w:pPr>
        <w:snapToGrid w:val="0"/>
        <w:spacing w:line="300" w:lineRule="auto"/>
        <w:ind w:firstLine="420" w:firstLineChars="200"/>
        <w:rPr>
          <w:rFonts w:ascii="宋体" w:hAnsi="宋体" w:eastAsia="宋体"/>
          <w:szCs w:val="21"/>
        </w:rPr>
      </w:pPr>
      <w:r>
        <w:rPr>
          <w:rFonts w:hint="eastAsia" w:ascii="宋体" w:hAnsi="宋体" w:eastAsia="宋体"/>
          <w:szCs w:val="21"/>
        </w:rPr>
        <w:t>(6)硅粉。配制水工硅粉混凝土的硅粉质量标准应满足施工图纸的要求。</w:t>
      </w:r>
    </w:p>
    <w:p w14:paraId="0E05CA98">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8.2.2混凝土配合比选定</w:t>
      </w:r>
    </w:p>
    <w:p w14:paraId="63107C00">
      <w:pPr>
        <w:snapToGrid w:val="0"/>
        <w:spacing w:line="300" w:lineRule="auto"/>
        <w:ind w:firstLine="420" w:firstLineChars="200"/>
        <w:rPr>
          <w:rFonts w:ascii="宋体" w:hAnsi="宋体" w:eastAsia="宋体"/>
          <w:szCs w:val="21"/>
        </w:rPr>
      </w:pPr>
      <w:r>
        <w:rPr>
          <w:rFonts w:hint="eastAsia" w:ascii="宋体" w:hAnsi="宋体" w:eastAsia="宋体"/>
          <w:szCs w:val="21"/>
        </w:rPr>
        <w:t>混凝土配合比选定应遵守DL/T5144-2001第6章的有关规定。</w:t>
      </w:r>
    </w:p>
    <w:p w14:paraId="6363B34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8.2.3混凝土拌和</w:t>
      </w:r>
    </w:p>
    <w:p w14:paraId="29545BFA">
      <w:pPr>
        <w:snapToGrid w:val="0"/>
        <w:spacing w:line="300" w:lineRule="auto"/>
        <w:ind w:firstLine="420" w:firstLineChars="200"/>
        <w:rPr>
          <w:rFonts w:ascii="宋体" w:hAnsi="宋体" w:eastAsia="宋体"/>
          <w:szCs w:val="21"/>
        </w:rPr>
      </w:pPr>
      <w:r>
        <w:rPr>
          <w:rFonts w:hint="eastAsia" w:ascii="宋体" w:hAnsi="宋体" w:eastAsia="宋体"/>
          <w:szCs w:val="21"/>
        </w:rPr>
        <w:t>(1)混凝土拌和设备：</w:t>
      </w:r>
    </w:p>
    <w:p w14:paraId="7A0D0994">
      <w:pPr>
        <w:snapToGrid w:val="0"/>
        <w:spacing w:line="300" w:lineRule="auto"/>
        <w:ind w:firstLine="420" w:firstLineChars="200"/>
        <w:rPr>
          <w:rFonts w:ascii="宋体" w:hAnsi="宋体" w:eastAsia="宋体"/>
          <w:szCs w:val="21"/>
        </w:rPr>
      </w:pPr>
      <w:r>
        <w:rPr>
          <w:rFonts w:hint="eastAsia" w:ascii="宋体" w:hAnsi="宋体" w:eastAsia="宋体"/>
          <w:szCs w:val="21"/>
        </w:rPr>
        <w:t>1)拌和厂应选用高效、可靠的固定式拌和设备，并采用自动或半自动控制的计量设备配料，拌和厂设备生产率必须满足本工程高峰浇筑强度的要求。</w:t>
      </w:r>
    </w:p>
    <w:p w14:paraId="38C3EF67">
      <w:pPr>
        <w:snapToGrid w:val="0"/>
        <w:spacing w:line="300" w:lineRule="auto"/>
        <w:ind w:firstLine="420" w:firstLineChars="200"/>
        <w:rPr>
          <w:rFonts w:ascii="宋体" w:hAnsi="宋体" w:eastAsia="宋体"/>
          <w:szCs w:val="21"/>
        </w:rPr>
      </w:pPr>
      <w:r>
        <w:rPr>
          <w:rFonts w:hint="eastAsia" w:ascii="宋体" w:hAnsi="宋体" w:eastAsia="宋体"/>
          <w:szCs w:val="21"/>
        </w:rPr>
        <w:t>2)拌和厂选用的所有称量、指示、记录及控制设备都应有防尘措施，设备称量应满足规定的精度要求，承包人应及时校正称量设备的精度。</w:t>
      </w:r>
    </w:p>
    <w:p w14:paraId="1F8F7404">
      <w:pPr>
        <w:snapToGrid w:val="0"/>
        <w:spacing w:line="300" w:lineRule="auto"/>
        <w:ind w:firstLine="420" w:firstLineChars="200"/>
        <w:rPr>
          <w:rFonts w:ascii="宋体" w:hAnsi="宋体" w:eastAsia="宋体"/>
          <w:szCs w:val="21"/>
        </w:rPr>
      </w:pPr>
      <w:r>
        <w:rPr>
          <w:rFonts w:hint="eastAsia" w:ascii="宋体" w:hAnsi="宋体" w:eastAsia="宋体"/>
          <w:szCs w:val="21"/>
        </w:rPr>
        <w:t>3)施工过程中，承包人若要改变混凝土生产程序或设备，必须将改变后的设备生产能力、技术说明书以及混凝土生产流程等提交监理人批准。</w:t>
      </w:r>
    </w:p>
    <w:p w14:paraId="14AC9C0D">
      <w:pPr>
        <w:snapToGrid w:val="0"/>
        <w:spacing w:line="300" w:lineRule="auto"/>
        <w:ind w:firstLine="420" w:firstLineChars="200"/>
        <w:rPr>
          <w:rFonts w:ascii="宋体" w:hAnsi="宋体" w:eastAsia="宋体"/>
          <w:szCs w:val="21"/>
        </w:rPr>
      </w:pPr>
      <w:r>
        <w:rPr>
          <w:rFonts w:hint="eastAsia" w:ascii="宋体" w:hAnsi="宋体" w:eastAsia="宋体"/>
          <w:szCs w:val="21"/>
        </w:rPr>
        <w:t>4)承包人应设置排水沉淀池，分离或同时采取其它有效措施，防止污染环境。并应防止污水或含有悬浮质的水流污染施工现场和排入河流。</w:t>
      </w:r>
    </w:p>
    <w:p w14:paraId="184F8336">
      <w:pPr>
        <w:snapToGrid w:val="0"/>
        <w:spacing w:line="300" w:lineRule="auto"/>
        <w:ind w:firstLine="420" w:firstLineChars="200"/>
        <w:rPr>
          <w:rFonts w:ascii="宋体" w:hAnsi="宋体" w:eastAsia="宋体"/>
          <w:szCs w:val="21"/>
        </w:rPr>
      </w:pPr>
      <w:r>
        <w:rPr>
          <w:rFonts w:hint="eastAsia" w:ascii="宋体" w:hAnsi="宋体" w:eastAsia="宋体"/>
          <w:szCs w:val="21"/>
        </w:rPr>
        <w:t>(2)混凝土拌和。混凝土拌和应遵守DL/T5144-2001第7.1节的有关规定。</w:t>
      </w:r>
    </w:p>
    <w:p w14:paraId="5A2A406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8.2.4混凝土的取样和检验</w:t>
      </w:r>
    </w:p>
    <w:p w14:paraId="60F4DDA0">
      <w:pPr>
        <w:snapToGrid w:val="0"/>
        <w:spacing w:line="300" w:lineRule="auto"/>
        <w:ind w:firstLine="420" w:firstLineChars="200"/>
        <w:rPr>
          <w:rFonts w:ascii="宋体" w:hAnsi="宋体" w:eastAsia="宋体"/>
          <w:szCs w:val="21"/>
        </w:rPr>
      </w:pPr>
      <w:r>
        <w:rPr>
          <w:rFonts w:hint="eastAsia" w:ascii="宋体" w:hAnsi="宋体" w:eastAsia="宋体"/>
          <w:szCs w:val="21"/>
        </w:rPr>
        <w:t>(1)混凝土原材料的取样和检验。混凝土原材料的取样和检验应遵守DL/T5144-2001第11.2节的有关规定。</w:t>
      </w:r>
    </w:p>
    <w:p w14:paraId="30F1ED37">
      <w:pPr>
        <w:snapToGrid w:val="0"/>
        <w:spacing w:line="300" w:lineRule="auto"/>
        <w:ind w:firstLine="420" w:firstLineChars="200"/>
        <w:rPr>
          <w:rFonts w:ascii="宋体" w:hAnsi="宋体" w:eastAsia="宋体"/>
          <w:szCs w:val="21"/>
        </w:rPr>
      </w:pPr>
      <w:r>
        <w:rPr>
          <w:rFonts w:hint="eastAsia" w:ascii="宋体" w:hAnsi="宋体" w:eastAsia="宋体"/>
          <w:szCs w:val="21"/>
        </w:rPr>
        <w:t>(2)混凝土拌和与混凝土拌和物的质量检测：</w:t>
      </w:r>
    </w:p>
    <w:p w14:paraId="2760A062">
      <w:pPr>
        <w:snapToGrid w:val="0"/>
        <w:spacing w:line="300" w:lineRule="auto"/>
        <w:ind w:firstLine="420" w:firstLineChars="200"/>
        <w:rPr>
          <w:rFonts w:ascii="宋体" w:hAnsi="宋体" w:eastAsia="宋体"/>
          <w:szCs w:val="21"/>
        </w:rPr>
      </w:pPr>
      <w:r>
        <w:rPr>
          <w:rFonts w:hint="eastAsia" w:ascii="宋体" w:hAnsi="宋体" w:eastAsia="宋体"/>
          <w:szCs w:val="21"/>
        </w:rPr>
        <w:t>1)混凝土拌和与混凝土拌和物的质量检测应遵守DL/T5144-2001第11.3节的规定。</w:t>
      </w:r>
    </w:p>
    <w:p w14:paraId="4DAFCCDB">
      <w:pPr>
        <w:snapToGrid w:val="0"/>
        <w:spacing w:line="300" w:lineRule="auto"/>
        <w:ind w:firstLine="420" w:firstLineChars="200"/>
        <w:rPr>
          <w:rFonts w:ascii="宋体" w:hAnsi="宋体" w:eastAsia="宋体"/>
          <w:szCs w:val="21"/>
        </w:rPr>
      </w:pPr>
      <w:r>
        <w:rPr>
          <w:rFonts w:hint="eastAsia" w:ascii="宋体" w:hAnsi="宋体" w:eastAsia="宋体"/>
          <w:szCs w:val="21"/>
        </w:rPr>
        <w:t>2)混凝土施工配合比必须满足本合同技术条款和施工图纸的要求，施工配料必须严格按监理人批准的混凝土配料单进行配料，严禁擅自更改。</w:t>
      </w:r>
    </w:p>
    <w:p w14:paraId="4A1C078E">
      <w:pPr>
        <w:snapToGrid w:val="0"/>
        <w:spacing w:line="300" w:lineRule="auto"/>
        <w:ind w:firstLine="420" w:firstLineChars="200"/>
        <w:rPr>
          <w:rFonts w:ascii="宋体" w:hAnsi="宋体" w:eastAsia="宋体"/>
          <w:szCs w:val="21"/>
        </w:rPr>
      </w:pPr>
      <w:r>
        <w:rPr>
          <w:rFonts w:hint="eastAsia" w:ascii="宋体" w:hAnsi="宋体" w:eastAsia="宋体"/>
          <w:szCs w:val="21"/>
        </w:rPr>
        <w:t>3)混凝土坍落度及混凝土拌和物的水胶比按SL/T352-2020的规定取样检测。</w:t>
      </w:r>
    </w:p>
    <w:p w14:paraId="04D72283">
      <w:pPr>
        <w:snapToGrid w:val="0"/>
        <w:spacing w:line="300" w:lineRule="auto"/>
        <w:ind w:firstLine="420" w:firstLineChars="200"/>
        <w:rPr>
          <w:rFonts w:ascii="宋体" w:hAnsi="宋体" w:eastAsia="宋体"/>
          <w:szCs w:val="21"/>
        </w:rPr>
      </w:pPr>
      <w:r>
        <w:rPr>
          <w:rFonts w:hint="eastAsia" w:ascii="宋体" w:hAnsi="宋体" w:eastAsia="宋体"/>
          <w:szCs w:val="21"/>
        </w:rPr>
        <w:t>4)混凝土拌和温度、气温和原材料温度的检测方法应遵守SL/T352-2020的规定。</w:t>
      </w:r>
    </w:p>
    <w:p w14:paraId="1D66C6E2">
      <w:pPr>
        <w:snapToGrid w:val="0"/>
        <w:spacing w:line="300" w:lineRule="auto"/>
        <w:ind w:firstLine="420" w:firstLineChars="200"/>
        <w:rPr>
          <w:rFonts w:ascii="宋体" w:hAnsi="宋体" w:eastAsia="宋体"/>
          <w:szCs w:val="21"/>
        </w:rPr>
      </w:pPr>
      <w:r>
        <w:rPr>
          <w:rFonts w:hint="eastAsia" w:ascii="宋体" w:hAnsi="宋体" w:eastAsia="宋体"/>
          <w:szCs w:val="21"/>
        </w:rPr>
        <w:t>5)各级混凝土试件的各项试验和检测均应遵守SL/T352-2020的规定。</w:t>
      </w:r>
    </w:p>
    <w:p w14:paraId="22A6A4A1">
      <w:pPr>
        <w:adjustRightInd w:val="0"/>
        <w:snapToGrid w:val="0"/>
        <w:spacing w:before="134" w:beforeLines="25" w:line="300" w:lineRule="auto"/>
        <w:outlineLvl w:val="1"/>
        <w:rPr>
          <w:rFonts w:ascii="宋体" w:hAnsi="宋体" w:eastAsia="宋体"/>
          <w:b/>
          <w:bCs/>
          <w:sz w:val="24"/>
          <w:szCs w:val="24"/>
        </w:rPr>
      </w:pPr>
      <w:bookmarkStart w:id="1570" w:name="第14章03"/>
      <w:bookmarkEnd w:id="1570"/>
      <w:r>
        <w:rPr>
          <w:rFonts w:hint="eastAsia" w:ascii="宋体" w:hAnsi="宋体" w:eastAsia="宋体"/>
          <w:b/>
          <w:bCs/>
          <w:sz w:val="24"/>
          <w:szCs w:val="24"/>
        </w:rPr>
        <w:t>8.3模板</w:t>
      </w:r>
    </w:p>
    <w:p w14:paraId="766E814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8.3.1模板材料</w:t>
      </w:r>
    </w:p>
    <w:p w14:paraId="1E3D8498">
      <w:pPr>
        <w:snapToGrid w:val="0"/>
        <w:spacing w:line="300" w:lineRule="auto"/>
        <w:ind w:firstLine="420" w:firstLineChars="200"/>
        <w:rPr>
          <w:rFonts w:ascii="宋体" w:hAnsi="宋体" w:eastAsia="宋体"/>
          <w:szCs w:val="21"/>
        </w:rPr>
      </w:pPr>
      <w:r>
        <w:rPr>
          <w:rFonts w:hint="eastAsia" w:ascii="宋体" w:hAnsi="宋体" w:eastAsia="宋体"/>
          <w:szCs w:val="21"/>
        </w:rPr>
        <w:t>模板材料应遵守DL/T5110-2013第5章的有关规定。</w:t>
      </w:r>
    </w:p>
    <w:p w14:paraId="26D3F17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8.3.2模板的设计，制作和安装</w:t>
      </w:r>
    </w:p>
    <w:p w14:paraId="0DC35056">
      <w:pPr>
        <w:snapToGrid w:val="0"/>
        <w:spacing w:line="300" w:lineRule="auto"/>
        <w:ind w:firstLine="420" w:firstLineChars="200"/>
        <w:rPr>
          <w:rFonts w:ascii="宋体" w:hAnsi="宋体" w:eastAsia="宋体"/>
          <w:szCs w:val="21"/>
        </w:rPr>
      </w:pPr>
      <w:r>
        <w:rPr>
          <w:rFonts w:hint="eastAsia" w:ascii="宋体" w:hAnsi="宋体" w:eastAsia="宋体"/>
          <w:szCs w:val="21"/>
        </w:rPr>
        <w:t>(1)混凝土模板的设计，除应满足本合同施工图纸的规定外，还应遵守DL/T5110-2013第6章的有关规定。</w:t>
      </w:r>
    </w:p>
    <w:p w14:paraId="2DF66E8B">
      <w:pPr>
        <w:snapToGrid w:val="0"/>
        <w:spacing w:line="300" w:lineRule="auto"/>
        <w:ind w:firstLine="420" w:firstLineChars="200"/>
        <w:rPr>
          <w:rFonts w:ascii="宋体" w:hAnsi="宋体" w:eastAsia="宋体"/>
          <w:szCs w:val="21"/>
        </w:rPr>
      </w:pPr>
      <w:r>
        <w:rPr>
          <w:rFonts w:hint="eastAsia" w:ascii="宋体" w:hAnsi="宋体" w:eastAsia="宋体"/>
          <w:szCs w:val="21"/>
        </w:rPr>
        <w:t>(2)各种混凝土模板制作的允许偏差不应超过DL/T5110-2013第7章表7.0.1的有关规定。</w:t>
      </w:r>
    </w:p>
    <w:p w14:paraId="362AA17B">
      <w:pPr>
        <w:snapToGrid w:val="0"/>
        <w:spacing w:line="300" w:lineRule="auto"/>
        <w:ind w:firstLine="420" w:firstLineChars="200"/>
        <w:rPr>
          <w:rFonts w:ascii="宋体" w:hAnsi="宋体" w:eastAsia="宋体"/>
          <w:szCs w:val="21"/>
        </w:rPr>
      </w:pPr>
      <w:r>
        <w:rPr>
          <w:rFonts w:hint="eastAsia" w:ascii="宋体" w:hAnsi="宋体" w:eastAsia="宋体"/>
          <w:szCs w:val="21"/>
        </w:rPr>
        <w:t>(3)承包人应负责异型模板(蜗壳、尾水管等)、特种模板(包括滑动模板、移置模板和永久性模板)的设计、制作和安装，应遵守DL/T5110-2013第10章的有关规定。</w:t>
      </w:r>
    </w:p>
    <w:p w14:paraId="0F207CA4">
      <w:pPr>
        <w:snapToGrid w:val="0"/>
        <w:spacing w:line="300" w:lineRule="auto"/>
        <w:ind w:firstLine="420" w:firstLineChars="200"/>
        <w:rPr>
          <w:rFonts w:ascii="宋体" w:hAnsi="宋体" w:eastAsia="宋体"/>
          <w:szCs w:val="21"/>
        </w:rPr>
      </w:pPr>
      <w:r>
        <w:rPr>
          <w:rFonts w:hint="eastAsia" w:ascii="宋体" w:hAnsi="宋体" w:eastAsia="宋体"/>
          <w:szCs w:val="21"/>
        </w:rPr>
        <w:t>(4)曲面模板的设计和制作，除应满足本合同施工图纸所示的混凝土建筑物表面的曲度要求外，其允许偏差应遵守DL/T5110-2013第7.0.1条的规定。</w:t>
      </w:r>
    </w:p>
    <w:p w14:paraId="659D95F3">
      <w:pPr>
        <w:snapToGrid w:val="0"/>
        <w:spacing w:line="300" w:lineRule="auto"/>
        <w:ind w:firstLine="420" w:firstLineChars="200"/>
        <w:rPr>
          <w:rFonts w:ascii="宋体" w:hAnsi="宋体" w:eastAsia="宋体"/>
          <w:szCs w:val="21"/>
        </w:rPr>
      </w:pPr>
      <w:r>
        <w:rPr>
          <w:rFonts w:hint="eastAsia" w:ascii="宋体" w:hAnsi="宋体" w:eastAsia="宋体"/>
          <w:szCs w:val="21"/>
        </w:rPr>
        <w:t>(5)模板之间的接缝必须平整严密，建筑物分层施工时应逐层校正下层偏差，模板下端不应有“错台”。</w:t>
      </w:r>
    </w:p>
    <w:p w14:paraId="3C4C00DF">
      <w:pPr>
        <w:snapToGrid w:val="0"/>
        <w:spacing w:line="300" w:lineRule="auto"/>
        <w:ind w:firstLine="420" w:firstLineChars="200"/>
        <w:rPr>
          <w:rFonts w:ascii="宋体" w:hAnsi="宋体" w:eastAsia="宋体"/>
          <w:szCs w:val="21"/>
        </w:rPr>
      </w:pPr>
      <w:r>
        <w:rPr>
          <w:rFonts w:hint="eastAsia" w:ascii="宋体" w:hAnsi="宋体" w:eastAsia="宋体"/>
          <w:szCs w:val="21"/>
        </w:rPr>
        <w:t>(6)模板及支架上严禁堆放超过其设计荷载的材料和设备。</w:t>
      </w:r>
    </w:p>
    <w:p w14:paraId="7C554ACB">
      <w:pPr>
        <w:snapToGrid w:val="0"/>
        <w:spacing w:line="300" w:lineRule="auto"/>
        <w:ind w:firstLine="420" w:firstLineChars="200"/>
        <w:rPr>
          <w:rFonts w:ascii="宋体" w:hAnsi="宋体" w:eastAsia="宋体"/>
          <w:szCs w:val="21"/>
        </w:rPr>
      </w:pPr>
      <w:r>
        <w:rPr>
          <w:rFonts w:hint="eastAsia" w:ascii="宋体" w:hAnsi="宋体" w:eastAsia="宋体"/>
          <w:szCs w:val="21"/>
        </w:rPr>
        <w:t>(7)模板安装应按混凝土结构物的详图测量放样，重要结构多设控制点，以利检查校正。</w:t>
      </w:r>
    </w:p>
    <w:p w14:paraId="13AB1309">
      <w:pPr>
        <w:snapToGrid w:val="0"/>
        <w:spacing w:line="300" w:lineRule="auto"/>
        <w:ind w:firstLine="420" w:firstLineChars="200"/>
        <w:rPr>
          <w:rFonts w:ascii="宋体" w:hAnsi="宋体" w:eastAsia="宋体"/>
          <w:szCs w:val="21"/>
        </w:rPr>
      </w:pPr>
      <w:r>
        <w:rPr>
          <w:rFonts w:hint="eastAsia" w:ascii="宋体" w:hAnsi="宋体" w:eastAsia="宋体"/>
          <w:szCs w:val="21"/>
        </w:rPr>
        <w:t>(8)建筑结构混凝土与钢筋混凝土模板的安装允许偏差应遵守GB50204-2015第4.2.7条的规定，大体积混凝土模板的安装允许偏差应遵守DL/T5110-2013第8.0.9条的规定。</w:t>
      </w:r>
    </w:p>
    <w:p w14:paraId="7E17272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8.3.3模板的清洗和涂料</w:t>
      </w:r>
    </w:p>
    <w:p w14:paraId="1B8DDB30">
      <w:pPr>
        <w:snapToGrid w:val="0"/>
        <w:spacing w:line="300" w:lineRule="auto"/>
        <w:ind w:firstLine="420" w:firstLineChars="200"/>
        <w:rPr>
          <w:rFonts w:ascii="宋体" w:hAnsi="宋体" w:eastAsia="宋体"/>
          <w:szCs w:val="21"/>
        </w:rPr>
      </w:pPr>
      <w:r>
        <w:rPr>
          <w:rFonts w:hint="eastAsia" w:ascii="宋体" w:hAnsi="宋体" w:eastAsia="宋体"/>
          <w:szCs w:val="21"/>
        </w:rPr>
        <w:t>(1)钢模板在每次使用前应清洗干净；为防锈和拆模方便，钢模面板应涂刷防锈保护涂料，不得采用污染混凝土和影响混凝土质量的涂剂。</w:t>
      </w:r>
    </w:p>
    <w:p w14:paraId="2203C1C9">
      <w:pPr>
        <w:snapToGrid w:val="0"/>
        <w:spacing w:line="300" w:lineRule="auto"/>
        <w:ind w:firstLine="420" w:firstLineChars="200"/>
        <w:rPr>
          <w:rFonts w:ascii="宋体" w:hAnsi="宋体" w:eastAsia="宋体"/>
          <w:szCs w:val="21"/>
        </w:rPr>
      </w:pPr>
      <w:r>
        <w:rPr>
          <w:rFonts w:hint="eastAsia" w:ascii="宋体" w:hAnsi="宋体" w:eastAsia="宋体"/>
          <w:szCs w:val="21"/>
        </w:rPr>
        <w:t>(2)木模板面应采用烤石蜡或其它监理人批准的保护性涂料进行保护。</w:t>
      </w:r>
    </w:p>
    <w:p w14:paraId="58CECD3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8.3.4模板的拆除和维修</w:t>
      </w:r>
    </w:p>
    <w:p w14:paraId="5481B66A">
      <w:pPr>
        <w:snapToGrid w:val="0"/>
        <w:spacing w:line="300" w:lineRule="auto"/>
        <w:ind w:firstLine="420" w:firstLineChars="200"/>
        <w:rPr>
          <w:rFonts w:ascii="宋体" w:hAnsi="宋体" w:eastAsia="宋体"/>
          <w:szCs w:val="21"/>
        </w:rPr>
      </w:pPr>
      <w:r>
        <w:rPr>
          <w:rFonts w:hint="eastAsia" w:ascii="宋体" w:hAnsi="宋体" w:eastAsia="宋体"/>
          <w:szCs w:val="21"/>
        </w:rPr>
        <w:t>(1)现浇混凝土的模板(如侧模、底模)以及钢筋混凝土与混凝土结构的承载模板拆除时的混凝土强度应遵守本合同施工图纸和DL/T5110-2013第9.0.1条的规定。</w:t>
      </w:r>
    </w:p>
    <w:p w14:paraId="638BAB96">
      <w:pPr>
        <w:snapToGrid w:val="0"/>
        <w:spacing w:line="300" w:lineRule="auto"/>
        <w:ind w:firstLine="420" w:firstLineChars="200"/>
        <w:rPr>
          <w:rFonts w:ascii="宋体" w:hAnsi="宋体" w:eastAsia="宋体"/>
          <w:szCs w:val="21"/>
        </w:rPr>
      </w:pPr>
      <w:r>
        <w:rPr>
          <w:rFonts w:hint="eastAsia" w:ascii="宋体" w:hAnsi="宋体" w:eastAsia="宋体"/>
          <w:szCs w:val="21"/>
        </w:rPr>
        <w:t>(2)墩、台、柱部位的混凝土强度必须达到设计强度的100%时，方可拆除模板。</w:t>
      </w:r>
    </w:p>
    <w:p w14:paraId="2EC705E5">
      <w:pPr>
        <w:snapToGrid w:val="0"/>
        <w:spacing w:line="300" w:lineRule="auto"/>
        <w:ind w:firstLine="420" w:firstLineChars="200"/>
        <w:rPr>
          <w:rFonts w:ascii="宋体" w:hAnsi="宋体" w:eastAsia="宋体"/>
          <w:szCs w:val="21"/>
        </w:rPr>
      </w:pPr>
      <w:r>
        <w:rPr>
          <w:rFonts w:hint="eastAsia" w:ascii="宋体" w:hAnsi="宋体" w:eastAsia="宋体"/>
          <w:szCs w:val="21"/>
        </w:rPr>
        <w:t>(3)特殊模板的拆除时限应由承包人报经监理人批准。</w:t>
      </w:r>
    </w:p>
    <w:p w14:paraId="4884BDE1">
      <w:pPr>
        <w:snapToGrid w:val="0"/>
        <w:spacing w:line="300" w:lineRule="auto"/>
        <w:ind w:firstLine="420" w:firstLineChars="200"/>
        <w:rPr>
          <w:rFonts w:ascii="宋体" w:hAnsi="宋体" w:eastAsia="宋体"/>
          <w:szCs w:val="21"/>
        </w:rPr>
      </w:pPr>
      <w:r>
        <w:rPr>
          <w:rFonts w:hint="eastAsia" w:ascii="宋体" w:hAnsi="宋体" w:eastAsia="宋体"/>
          <w:szCs w:val="21"/>
        </w:rPr>
        <w:t>(4)预制混凝土构件模板拆除的混凝土强度应遵守施工图纸和DL/T5110-2013第9.0.3条的规定。</w:t>
      </w:r>
    </w:p>
    <w:p w14:paraId="1A6C9554">
      <w:pPr>
        <w:snapToGrid w:val="0"/>
        <w:spacing w:line="300" w:lineRule="auto"/>
        <w:ind w:firstLine="420" w:firstLineChars="200"/>
        <w:rPr>
          <w:rFonts w:ascii="宋体" w:hAnsi="宋体" w:eastAsia="宋体"/>
          <w:szCs w:val="21"/>
        </w:rPr>
      </w:pPr>
      <w:r>
        <w:rPr>
          <w:rFonts w:hint="eastAsia" w:ascii="宋体" w:hAnsi="宋体" w:eastAsia="宋体"/>
          <w:szCs w:val="21"/>
        </w:rPr>
        <w:t>(5)后张法预应力混凝土结构模板的拆除，除应满足本合同技术条款和施工图纸的要求外，其侧面模板应在预应力张拉前拆除，底部模板应在结构构件建立预应力后拆除。</w:t>
      </w:r>
    </w:p>
    <w:p w14:paraId="613DE060">
      <w:pPr>
        <w:snapToGrid w:val="0"/>
        <w:spacing w:line="300" w:lineRule="auto"/>
        <w:ind w:firstLine="420" w:firstLineChars="200"/>
        <w:rPr>
          <w:rFonts w:ascii="宋体" w:hAnsi="宋体" w:eastAsia="宋体"/>
          <w:szCs w:val="21"/>
        </w:rPr>
      </w:pPr>
      <w:r>
        <w:rPr>
          <w:rFonts w:hint="eastAsia" w:ascii="宋体" w:hAnsi="宋体" w:eastAsia="宋体"/>
          <w:szCs w:val="21"/>
        </w:rPr>
        <w:t>(6)经计算和试验复核后，混凝土结构实际强度已能承受自重及其它荷载时，经监理人批准后，方可提前拆模。未经监理人批准，模板及其支架和支撑均不得任意拆除。</w:t>
      </w:r>
    </w:p>
    <w:p w14:paraId="32AA6957">
      <w:pPr>
        <w:snapToGrid w:val="0"/>
        <w:spacing w:line="300" w:lineRule="auto"/>
        <w:ind w:firstLine="420" w:firstLineChars="200"/>
        <w:rPr>
          <w:rFonts w:ascii="宋体" w:hAnsi="宋体" w:eastAsia="宋体"/>
          <w:szCs w:val="21"/>
        </w:rPr>
      </w:pPr>
      <w:r>
        <w:rPr>
          <w:rFonts w:hint="eastAsia" w:ascii="宋体" w:hAnsi="宋体" w:eastAsia="宋体"/>
          <w:szCs w:val="21"/>
        </w:rPr>
        <w:t>(7)模板的安装及拆除作业必须使用专项设备，并应严格按规定的施工程序进行，以避免施工期发生事故，防止混凝土及其模板的损坏。</w:t>
      </w:r>
    </w:p>
    <w:p w14:paraId="372C977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8.3.5模板质量检查</w:t>
      </w:r>
    </w:p>
    <w:p w14:paraId="7344AE7F">
      <w:pPr>
        <w:snapToGrid w:val="0"/>
        <w:spacing w:line="300" w:lineRule="auto"/>
        <w:ind w:firstLine="420" w:firstLineChars="200"/>
        <w:rPr>
          <w:rFonts w:ascii="宋体" w:hAnsi="宋体" w:eastAsia="宋体"/>
          <w:szCs w:val="21"/>
        </w:rPr>
      </w:pPr>
      <w:r>
        <w:rPr>
          <w:rFonts w:hint="eastAsia" w:ascii="宋体" w:hAnsi="宋体" w:eastAsia="宋体"/>
          <w:szCs w:val="21"/>
        </w:rPr>
        <w:t>(1)现场安装质量检查：</w:t>
      </w:r>
    </w:p>
    <w:p w14:paraId="1F0870E1">
      <w:pPr>
        <w:snapToGrid w:val="0"/>
        <w:spacing w:line="300" w:lineRule="auto"/>
        <w:ind w:firstLine="420" w:firstLineChars="200"/>
        <w:rPr>
          <w:rFonts w:ascii="宋体" w:hAnsi="宋体" w:eastAsia="宋体"/>
          <w:szCs w:val="21"/>
        </w:rPr>
      </w:pPr>
      <w:r>
        <w:rPr>
          <w:rFonts w:hint="eastAsia" w:ascii="宋体" w:hAnsi="宋体" w:eastAsia="宋体"/>
          <w:szCs w:val="21"/>
        </w:rPr>
        <w:t>1)模板及其附件的制作质量应满足本合同技术条款和施工图纸的要求；</w:t>
      </w:r>
    </w:p>
    <w:p w14:paraId="7CA1A944">
      <w:pPr>
        <w:snapToGrid w:val="0"/>
        <w:spacing w:line="300" w:lineRule="auto"/>
        <w:ind w:firstLine="420" w:firstLineChars="200"/>
        <w:rPr>
          <w:rFonts w:ascii="宋体" w:hAnsi="宋体" w:eastAsia="宋体"/>
          <w:szCs w:val="21"/>
        </w:rPr>
      </w:pPr>
      <w:r>
        <w:rPr>
          <w:rFonts w:hint="eastAsia" w:ascii="宋体" w:hAnsi="宋体" w:eastAsia="宋体"/>
          <w:szCs w:val="21"/>
        </w:rPr>
        <w:t>2)模板安装应有足够的密封性能，以防止混凝土浇筑过程中的水泥浆流失；</w:t>
      </w:r>
    </w:p>
    <w:p w14:paraId="691768A3">
      <w:pPr>
        <w:snapToGrid w:val="0"/>
        <w:spacing w:line="300" w:lineRule="auto"/>
        <w:ind w:firstLine="420" w:firstLineChars="200"/>
        <w:rPr>
          <w:rFonts w:ascii="宋体" w:hAnsi="宋体" w:eastAsia="宋体"/>
          <w:szCs w:val="21"/>
        </w:rPr>
      </w:pPr>
      <w:r>
        <w:rPr>
          <w:rFonts w:hint="eastAsia" w:ascii="宋体" w:hAnsi="宋体" w:eastAsia="宋体"/>
          <w:szCs w:val="21"/>
        </w:rPr>
        <w:t>3)重复使用的模板应保持原设计要求的强度、刚度、密实性和模板表面的光滑度，检查发现模板有损坏时，承包人应按监理人指示进行更换或修补；</w:t>
      </w:r>
    </w:p>
    <w:p w14:paraId="230A00C6">
      <w:pPr>
        <w:snapToGrid w:val="0"/>
        <w:spacing w:line="300" w:lineRule="auto"/>
        <w:ind w:firstLine="420" w:firstLineChars="200"/>
        <w:rPr>
          <w:rFonts w:ascii="宋体" w:hAnsi="宋体" w:eastAsia="宋体"/>
          <w:szCs w:val="21"/>
        </w:rPr>
      </w:pPr>
      <w:r>
        <w:rPr>
          <w:rFonts w:hint="eastAsia" w:ascii="宋体" w:hAnsi="宋体" w:eastAsia="宋体"/>
          <w:szCs w:val="21"/>
        </w:rPr>
        <w:t>4)模板安装完成后，承包人应会同监理人共同对模板的安装质量进行检查，检查记录应提交监理人；</w:t>
      </w:r>
    </w:p>
    <w:p w14:paraId="438C07C4">
      <w:pPr>
        <w:snapToGrid w:val="0"/>
        <w:spacing w:line="300" w:lineRule="auto"/>
        <w:ind w:firstLine="420" w:firstLineChars="200"/>
        <w:rPr>
          <w:rFonts w:ascii="宋体" w:hAnsi="宋体" w:eastAsia="宋体"/>
          <w:szCs w:val="21"/>
        </w:rPr>
      </w:pPr>
      <w:r>
        <w:rPr>
          <w:rFonts w:hint="eastAsia" w:ascii="宋体" w:hAnsi="宋体" w:eastAsia="宋体"/>
          <w:szCs w:val="21"/>
        </w:rPr>
        <w:t>5)在混凝土浇筑过程中，承包人应随时检查模板的定线和定位，发现偏差和位移，应采取有效措施予以纠正，检查记录应提交监理人。</w:t>
      </w:r>
    </w:p>
    <w:p w14:paraId="56081247">
      <w:pPr>
        <w:snapToGrid w:val="0"/>
        <w:spacing w:line="300" w:lineRule="auto"/>
        <w:ind w:firstLine="420" w:firstLineChars="200"/>
        <w:rPr>
          <w:rFonts w:ascii="宋体" w:hAnsi="宋体" w:eastAsia="宋体"/>
          <w:szCs w:val="21"/>
        </w:rPr>
      </w:pPr>
      <w:r>
        <w:rPr>
          <w:rFonts w:hint="eastAsia" w:ascii="宋体" w:hAnsi="宋体" w:eastAsia="宋体"/>
          <w:szCs w:val="21"/>
        </w:rPr>
        <w:t>(2)模板拆除后的检查</w:t>
      </w:r>
    </w:p>
    <w:p w14:paraId="1D13DE92">
      <w:pPr>
        <w:snapToGrid w:val="0"/>
        <w:spacing w:line="300" w:lineRule="auto"/>
        <w:ind w:firstLine="420" w:firstLineChars="200"/>
        <w:rPr>
          <w:rFonts w:ascii="宋体" w:hAnsi="宋体" w:eastAsia="宋体"/>
          <w:szCs w:val="21"/>
        </w:rPr>
      </w:pPr>
      <w:r>
        <w:rPr>
          <w:rFonts w:hint="eastAsia" w:ascii="宋体" w:hAnsi="宋体" w:eastAsia="宋体"/>
          <w:szCs w:val="21"/>
        </w:rPr>
        <w:t>拆模时间应经过验算。拆模后，承包人应会同监理人共同检查混凝土结构物及其浇筑面质量是否达到施工图纸要求的混凝土强度和平整度，验算成果和检查记录应提交监理人。</w:t>
      </w:r>
    </w:p>
    <w:p w14:paraId="77E712CB">
      <w:pPr>
        <w:adjustRightInd w:val="0"/>
        <w:snapToGrid w:val="0"/>
        <w:spacing w:before="134" w:beforeLines="25" w:line="300" w:lineRule="auto"/>
        <w:outlineLvl w:val="1"/>
        <w:rPr>
          <w:rFonts w:ascii="宋体" w:hAnsi="宋体" w:eastAsia="宋体"/>
          <w:b/>
          <w:bCs/>
          <w:sz w:val="24"/>
          <w:szCs w:val="24"/>
        </w:rPr>
      </w:pPr>
      <w:bookmarkStart w:id="1571" w:name="第14章04"/>
      <w:bookmarkEnd w:id="1571"/>
      <w:r>
        <w:rPr>
          <w:rFonts w:hint="eastAsia" w:ascii="宋体" w:hAnsi="宋体" w:eastAsia="宋体"/>
          <w:b/>
          <w:bCs/>
          <w:sz w:val="24"/>
          <w:szCs w:val="24"/>
        </w:rPr>
        <w:t>8.4钢筋</w:t>
      </w:r>
    </w:p>
    <w:p w14:paraId="0CD2271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8.4.1材料</w:t>
      </w:r>
    </w:p>
    <w:p w14:paraId="30A0A8F8">
      <w:pPr>
        <w:snapToGrid w:val="0"/>
        <w:spacing w:line="300" w:lineRule="auto"/>
        <w:ind w:firstLine="420" w:firstLineChars="200"/>
        <w:rPr>
          <w:rFonts w:ascii="宋体" w:hAnsi="宋体" w:eastAsia="宋体"/>
          <w:szCs w:val="21"/>
        </w:rPr>
      </w:pPr>
      <w:r>
        <w:rPr>
          <w:rFonts w:hint="eastAsia" w:ascii="宋体" w:hAnsi="宋体" w:eastAsia="宋体"/>
          <w:szCs w:val="21"/>
        </w:rPr>
        <w:t>(1)混凝土结构用的钢筋和锚筋的规格和质量应遵守DL/T5169-2013的规定。</w:t>
      </w:r>
    </w:p>
    <w:p w14:paraId="791A4940">
      <w:pPr>
        <w:snapToGrid w:val="0"/>
        <w:spacing w:line="300" w:lineRule="auto"/>
        <w:ind w:firstLine="420" w:firstLineChars="200"/>
        <w:rPr>
          <w:rFonts w:ascii="宋体" w:hAnsi="宋体" w:eastAsia="宋体"/>
          <w:szCs w:val="21"/>
        </w:rPr>
      </w:pPr>
      <w:r>
        <w:rPr>
          <w:rFonts w:hint="eastAsia" w:ascii="宋体" w:hAnsi="宋体" w:eastAsia="宋体"/>
          <w:szCs w:val="21"/>
        </w:rPr>
        <w:t>(2)每批钢筋使用前，应按DL/T5169-2013第4.2.2条的规定，分批进行钢筋的机械性能检测。检测合格者才准使用，检测记录应提交监理人。</w:t>
      </w:r>
    </w:p>
    <w:p w14:paraId="4DECD86B">
      <w:pPr>
        <w:snapToGrid w:val="0"/>
        <w:spacing w:line="300" w:lineRule="auto"/>
        <w:ind w:firstLine="420" w:firstLineChars="200"/>
        <w:rPr>
          <w:rFonts w:ascii="宋体" w:hAnsi="宋体" w:eastAsia="宋体"/>
          <w:szCs w:val="21"/>
        </w:rPr>
      </w:pPr>
      <w:r>
        <w:rPr>
          <w:rFonts w:hint="eastAsia" w:ascii="宋体" w:hAnsi="宋体" w:eastAsia="宋体"/>
          <w:szCs w:val="21"/>
        </w:rPr>
        <w:t>(3)对钢号不明的钢筋，承包人应按DL/T5169-2013第4.2.3条的规定进行钢材化学成分和主要机械性能的检验，经检验合格，并经监理人批准后，方可使用。</w:t>
      </w:r>
    </w:p>
    <w:p w14:paraId="7F3D4CB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8.4.2钢筋的加工和安装</w:t>
      </w:r>
    </w:p>
    <w:p w14:paraId="73F12E54">
      <w:pPr>
        <w:snapToGrid w:val="0"/>
        <w:spacing w:line="300" w:lineRule="auto"/>
        <w:ind w:firstLine="420" w:firstLineChars="200"/>
        <w:rPr>
          <w:rFonts w:ascii="宋体" w:hAnsi="宋体" w:eastAsia="宋体"/>
          <w:szCs w:val="21"/>
        </w:rPr>
      </w:pPr>
      <w:r>
        <w:rPr>
          <w:rFonts w:hint="eastAsia" w:ascii="宋体" w:hAnsi="宋体" w:eastAsia="宋体"/>
          <w:szCs w:val="21"/>
        </w:rPr>
        <w:t>(1)钢筋表面应洁净无损伤，使用前应将钢筋表面的油漆污染和铁锈等清除干净，带有颗粒状或片状老锈的钢筋不得使用。</w:t>
      </w:r>
    </w:p>
    <w:p w14:paraId="0D3C1DA5">
      <w:pPr>
        <w:snapToGrid w:val="0"/>
        <w:spacing w:line="300" w:lineRule="auto"/>
        <w:ind w:firstLine="420" w:firstLineChars="200"/>
        <w:rPr>
          <w:rFonts w:ascii="宋体" w:hAnsi="宋体" w:eastAsia="宋体"/>
          <w:szCs w:val="21"/>
        </w:rPr>
      </w:pPr>
      <w:r>
        <w:rPr>
          <w:rFonts w:hint="eastAsia" w:ascii="宋体" w:hAnsi="宋体" w:eastAsia="宋体"/>
          <w:szCs w:val="21"/>
        </w:rPr>
        <w:t>(2)钢筋的弯折、端头和接头的加工应遵守DL/T5169-2013第5.2节、第5.3节的规定。</w:t>
      </w:r>
    </w:p>
    <w:p w14:paraId="7C8F624B">
      <w:pPr>
        <w:snapToGrid w:val="0"/>
        <w:spacing w:line="300" w:lineRule="auto"/>
        <w:ind w:firstLine="420" w:firstLineChars="200"/>
        <w:rPr>
          <w:rFonts w:ascii="宋体" w:hAnsi="宋体" w:eastAsia="宋体"/>
          <w:szCs w:val="21"/>
        </w:rPr>
      </w:pPr>
      <w:r>
        <w:rPr>
          <w:rFonts w:hint="eastAsia" w:ascii="宋体" w:hAnsi="宋体" w:eastAsia="宋体"/>
          <w:szCs w:val="21"/>
        </w:rPr>
        <w:t>(3)钢筋的焊接应按满足本合同技术条款和施工图纸的要求，并遵守DL/T5169-2013第6章的规定。</w:t>
      </w:r>
    </w:p>
    <w:p w14:paraId="49D9C68D">
      <w:pPr>
        <w:snapToGrid w:val="0"/>
        <w:spacing w:line="300" w:lineRule="auto"/>
        <w:ind w:firstLine="420" w:firstLineChars="200"/>
        <w:rPr>
          <w:rFonts w:ascii="宋体" w:hAnsi="宋体" w:eastAsia="宋体"/>
          <w:szCs w:val="21"/>
        </w:rPr>
      </w:pPr>
      <w:r>
        <w:rPr>
          <w:rFonts w:hint="eastAsia" w:ascii="宋体" w:hAnsi="宋体" w:eastAsia="宋体"/>
          <w:szCs w:val="21"/>
        </w:rPr>
        <w:t>(4)钢筋的气压焊作业应遵守DL/T5169-2013第6.2.8条的规定。</w:t>
      </w:r>
    </w:p>
    <w:p w14:paraId="2D84082E">
      <w:pPr>
        <w:snapToGrid w:val="0"/>
        <w:spacing w:line="300" w:lineRule="auto"/>
        <w:ind w:firstLine="420" w:firstLineChars="200"/>
        <w:rPr>
          <w:rFonts w:ascii="宋体" w:hAnsi="宋体" w:eastAsia="宋体"/>
          <w:szCs w:val="21"/>
        </w:rPr>
      </w:pPr>
      <w:r>
        <w:rPr>
          <w:rFonts w:hint="eastAsia" w:ascii="宋体" w:hAnsi="宋体" w:eastAsia="宋体"/>
          <w:szCs w:val="21"/>
        </w:rPr>
        <w:t>(5)钢筋的安装和绑扎应遵守DL/T5169-2013第7章的规定。</w:t>
      </w:r>
    </w:p>
    <w:p w14:paraId="2754110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8.4.3钢筋的质量检查和检验</w:t>
      </w:r>
    </w:p>
    <w:p w14:paraId="64343090">
      <w:pPr>
        <w:snapToGrid w:val="0"/>
        <w:spacing w:line="300" w:lineRule="auto"/>
        <w:ind w:firstLine="420" w:firstLineChars="200"/>
        <w:rPr>
          <w:rFonts w:ascii="宋体" w:hAnsi="宋体" w:eastAsia="宋体"/>
          <w:szCs w:val="21"/>
        </w:rPr>
      </w:pPr>
      <w:r>
        <w:rPr>
          <w:rFonts w:hint="eastAsia" w:ascii="宋体" w:hAnsi="宋体" w:eastAsia="宋体"/>
          <w:szCs w:val="21"/>
        </w:rPr>
        <w:t>(1)钢筋的机械性能检验应遵守DL/T5169-2013第4.2.2条的规定。</w:t>
      </w:r>
    </w:p>
    <w:p w14:paraId="3B5BE5CA">
      <w:pPr>
        <w:snapToGrid w:val="0"/>
        <w:spacing w:line="300" w:lineRule="auto"/>
        <w:ind w:firstLine="420" w:firstLineChars="200"/>
        <w:rPr>
          <w:rFonts w:ascii="宋体" w:hAnsi="宋体" w:eastAsia="宋体"/>
          <w:szCs w:val="21"/>
        </w:rPr>
      </w:pPr>
      <w:r>
        <w:rPr>
          <w:rFonts w:hint="eastAsia" w:ascii="宋体" w:hAnsi="宋体" w:eastAsia="宋体"/>
          <w:szCs w:val="21"/>
        </w:rPr>
        <w:t>(2)钢筋的接头质量检验应遵守DL/T5169-2013第6.2节的规定，其中气压焊应遵守DL/T5169-2013第6.2.8条的规定；机械连接应遵守按DL/T5169-2013第6.2.9条规定。</w:t>
      </w:r>
    </w:p>
    <w:p w14:paraId="403DFE02">
      <w:pPr>
        <w:snapToGrid w:val="0"/>
        <w:spacing w:line="300" w:lineRule="auto"/>
        <w:ind w:firstLine="420" w:firstLineChars="200"/>
        <w:rPr>
          <w:rFonts w:ascii="宋体" w:hAnsi="宋体" w:eastAsia="宋体"/>
          <w:szCs w:val="21"/>
        </w:rPr>
      </w:pPr>
      <w:r>
        <w:rPr>
          <w:rFonts w:hint="eastAsia" w:ascii="宋体" w:hAnsi="宋体" w:eastAsia="宋体"/>
          <w:szCs w:val="21"/>
        </w:rPr>
        <w:t>(3)钢筋架设完成后，应按本合同技术条款和施工图纸的要求进行检查和检验，并做好记录，若安装好的钢筋和锚筋生锈，应进行现场除锈，对于锈蚀严重的钢筋应予更换。</w:t>
      </w:r>
    </w:p>
    <w:p w14:paraId="77A9DB18">
      <w:pPr>
        <w:snapToGrid w:val="0"/>
        <w:spacing w:line="300" w:lineRule="auto"/>
        <w:ind w:firstLine="420" w:firstLineChars="200"/>
        <w:rPr>
          <w:rFonts w:ascii="宋体" w:hAnsi="宋体" w:eastAsia="宋体"/>
          <w:szCs w:val="21"/>
        </w:rPr>
      </w:pPr>
      <w:r>
        <w:rPr>
          <w:rFonts w:hint="eastAsia" w:ascii="宋体" w:hAnsi="宋体" w:eastAsia="宋体"/>
          <w:szCs w:val="21"/>
        </w:rPr>
        <w:t>(4)在混凝土浇筑施工前，应检查现场钢筋的架立位置，如发现钢筋位置变动应及时校正，严禁在混凝土浇筑中擅自移动或割除钢筋。</w:t>
      </w:r>
    </w:p>
    <w:p w14:paraId="2055586F">
      <w:pPr>
        <w:snapToGrid w:val="0"/>
        <w:spacing w:line="300" w:lineRule="auto"/>
        <w:ind w:firstLine="420" w:firstLineChars="200"/>
        <w:rPr>
          <w:rFonts w:ascii="宋体" w:hAnsi="宋体" w:eastAsia="宋体"/>
          <w:szCs w:val="21"/>
        </w:rPr>
      </w:pPr>
      <w:r>
        <w:rPr>
          <w:rFonts w:hint="eastAsia" w:ascii="宋体" w:hAnsi="宋体" w:eastAsia="宋体"/>
          <w:szCs w:val="21"/>
        </w:rPr>
        <w:t>(5)钢筋的安装和清理完成后，承包人应会同监理人在混凝土浇筑前进行检查和验收，并做好记录，经监理人批准后，才能浇筑混凝土。</w:t>
      </w:r>
    </w:p>
    <w:p w14:paraId="107388CD">
      <w:pPr>
        <w:adjustRightInd w:val="0"/>
        <w:snapToGrid w:val="0"/>
        <w:spacing w:before="134" w:beforeLines="25" w:line="300" w:lineRule="auto"/>
        <w:outlineLvl w:val="1"/>
        <w:rPr>
          <w:rFonts w:ascii="宋体" w:hAnsi="宋体" w:eastAsia="宋体"/>
          <w:b/>
          <w:bCs/>
          <w:sz w:val="24"/>
          <w:szCs w:val="24"/>
        </w:rPr>
      </w:pPr>
      <w:bookmarkStart w:id="1572" w:name="第14章05"/>
      <w:bookmarkEnd w:id="1572"/>
      <w:r>
        <w:rPr>
          <w:rFonts w:hint="eastAsia" w:ascii="宋体" w:hAnsi="宋体" w:eastAsia="宋体"/>
          <w:b/>
          <w:bCs/>
          <w:sz w:val="24"/>
          <w:szCs w:val="24"/>
        </w:rPr>
        <w:t>8.5混凝土(含钢筋混凝土)</w:t>
      </w:r>
    </w:p>
    <w:p w14:paraId="56DD64CD">
      <w:pPr>
        <w:snapToGrid w:val="0"/>
        <w:spacing w:line="300" w:lineRule="auto"/>
        <w:ind w:firstLine="420" w:firstLineChars="200"/>
        <w:rPr>
          <w:rFonts w:ascii="宋体" w:hAnsi="宋体" w:eastAsia="宋体"/>
          <w:szCs w:val="21"/>
        </w:rPr>
      </w:pPr>
      <w:r>
        <w:rPr>
          <w:rFonts w:hint="eastAsia" w:ascii="宋体" w:hAnsi="宋体" w:eastAsia="宋体"/>
          <w:szCs w:val="21"/>
        </w:rPr>
        <w:t>混凝土的材料、配合比设计及拌和应按本章第8.2节的规定执行。</w:t>
      </w:r>
    </w:p>
    <w:p w14:paraId="1600F5E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8.5.1混凝土运输</w:t>
      </w:r>
    </w:p>
    <w:p w14:paraId="6447EF62">
      <w:pPr>
        <w:snapToGrid w:val="0"/>
        <w:spacing w:line="300" w:lineRule="auto"/>
        <w:ind w:firstLine="420" w:firstLineChars="200"/>
        <w:rPr>
          <w:rFonts w:ascii="宋体" w:hAnsi="宋体" w:eastAsia="宋体"/>
          <w:szCs w:val="21"/>
        </w:rPr>
      </w:pPr>
      <w:r>
        <w:rPr>
          <w:rFonts w:hint="eastAsia" w:ascii="宋体" w:hAnsi="宋体" w:eastAsia="宋体"/>
          <w:szCs w:val="21"/>
        </w:rPr>
        <w:t>混凝土运输应遵守DL/T5144-2001第7.2节的规定。</w:t>
      </w:r>
    </w:p>
    <w:p w14:paraId="2A771F2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8.5.2混凝土浇筑</w:t>
      </w:r>
    </w:p>
    <w:p w14:paraId="38D202A1">
      <w:pPr>
        <w:snapToGrid w:val="0"/>
        <w:spacing w:line="300" w:lineRule="auto"/>
        <w:ind w:firstLine="420" w:firstLineChars="200"/>
        <w:rPr>
          <w:rFonts w:ascii="宋体" w:hAnsi="宋体" w:eastAsia="宋体"/>
          <w:szCs w:val="21"/>
        </w:rPr>
      </w:pPr>
      <w:r>
        <w:rPr>
          <w:rFonts w:hint="eastAsia" w:ascii="宋体" w:hAnsi="宋体" w:eastAsia="宋体"/>
          <w:szCs w:val="21"/>
        </w:rPr>
        <w:t>(1)浇筑前准备应遵守DL/T5144-2001第7.3.1~7.3.4条的规定。</w:t>
      </w:r>
    </w:p>
    <w:p w14:paraId="15CD5916">
      <w:pPr>
        <w:snapToGrid w:val="0"/>
        <w:spacing w:line="300" w:lineRule="auto"/>
        <w:ind w:firstLine="420" w:firstLineChars="200"/>
        <w:rPr>
          <w:rFonts w:ascii="宋体" w:hAnsi="宋体" w:eastAsia="宋体"/>
          <w:szCs w:val="21"/>
        </w:rPr>
      </w:pPr>
      <w:r>
        <w:rPr>
          <w:rFonts w:hint="eastAsia" w:ascii="宋体" w:hAnsi="宋体" w:eastAsia="宋体"/>
          <w:szCs w:val="21"/>
        </w:rPr>
        <w:t>(2)在岩基或软基建基面的浇筑混凝土浇筑应遵守DL/T5144-2001第7.3节的规定。</w:t>
      </w:r>
    </w:p>
    <w:p w14:paraId="327F41EC">
      <w:pPr>
        <w:snapToGrid w:val="0"/>
        <w:spacing w:line="300" w:lineRule="auto"/>
        <w:ind w:firstLine="420" w:firstLineChars="200"/>
        <w:rPr>
          <w:rFonts w:ascii="宋体" w:hAnsi="宋体" w:eastAsia="宋体"/>
          <w:szCs w:val="21"/>
        </w:rPr>
      </w:pPr>
      <w:r>
        <w:rPr>
          <w:rFonts w:hint="eastAsia" w:ascii="宋体" w:hAnsi="宋体" w:eastAsia="宋体"/>
          <w:szCs w:val="21"/>
        </w:rPr>
        <w:t>(3)混凝土分层浇筑作业应遵守DL/T5144-2001第7.3.6~7.3.8条的有关规定。</w:t>
      </w:r>
    </w:p>
    <w:p w14:paraId="71D95945">
      <w:pPr>
        <w:snapToGrid w:val="0"/>
        <w:spacing w:line="300" w:lineRule="auto"/>
        <w:ind w:firstLine="420" w:firstLineChars="200"/>
        <w:rPr>
          <w:rFonts w:ascii="宋体" w:hAnsi="宋体" w:eastAsia="宋体"/>
          <w:szCs w:val="21"/>
        </w:rPr>
      </w:pPr>
      <w:r>
        <w:rPr>
          <w:rFonts w:hint="eastAsia" w:ascii="宋体" w:hAnsi="宋体" w:eastAsia="宋体"/>
          <w:szCs w:val="21"/>
        </w:rPr>
        <w:t>(4)混凝土浇筑的振捣应遵守DL/T5144-2001第7.3.9条的规定。</w:t>
      </w:r>
    </w:p>
    <w:p w14:paraId="67AD10BB">
      <w:pPr>
        <w:snapToGrid w:val="0"/>
        <w:spacing w:line="300" w:lineRule="auto"/>
        <w:ind w:firstLine="420" w:firstLineChars="200"/>
        <w:rPr>
          <w:rFonts w:ascii="宋体" w:hAnsi="宋体" w:eastAsia="宋体"/>
          <w:szCs w:val="21"/>
        </w:rPr>
      </w:pPr>
      <w:r>
        <w:rPr>
          <w:rFonts w:hint="eastAsia" w:ascii="宋体" w:hAnsi="宋体" w:eastAsia="宋体"/>
          <w:szCs w:val="21"/>
        </w:rPr>
        <w:t>(5)混凝土浇筑应保持连续性，浇筑混凝土允许间歇时间应通过试验确定，并应遵守DL/T5144-2001第7.3.11条的有关规定。</w:t>
      </w:r>
    </w:p>
    <w:p w14:paraId="71FAC653">
      <w:pPr>
        <w:snapToGrid w:val="0"/>
        <w:spacing w:line="300" w:lineRule="auto"/>
        <w:ind w:firstLine="420" w:firstLineChars="200"/>
        <w:rPr>
          <w:rFonts w:ascii="宋体" w:hAnsi="宋体" w:eastAsia="宋体"/>
          <w:szCs w:val="21"/>
        </w:rPr>
      </w:pPr>
      <w:r>
        <w:rPr>
          <w:rFonts w:hint="eastAsia" w:ascii="宋体" w:hAnsi="宋体" w:eastAsia="宋体"/>
          <w:szCs w:val="21"/>
        </w:rPr>
        <w:t>(6)应在混凝土浇筑工艺设计中，根据搅拌、运输和浇筑的设备能力、振捣性能及气温等因素，详细确定混凝土浇筑层厚度。其浇筑层允许最大厚度应参照DL/T5144-2001表7.3.7的有关数据选定。</w:t>
      </w:r>
    </w:p>
    <w:p w14:paraId="5F05F8E9">
      <w:pPr>
        <w:snapToGrid w:val="0"/>
        <w:spacing w:line="300" w:lineRule="auto"/>
        <w:ind w:firstLine="420" w:firstLineChars="200"/>
        <w:rPr>
          <w:rFonts w:ascii="宋体" w:hAnsi="宋体" w:eastAsia="宋体"/>
          <w:szCs w:val="21"/>
        </w:rPr>
      </w:pPr>
      <w:r>
        <w:rPr>
          <w:rFonts w:hint="eastAsia" w:ascii="宋体" w:hAnsi="宋体" w:eastAsia="宋体"/>
          <w:szCs w:val="21"/>
        </w:rPr>
        <w:t>(7)混凝土浇筑施工缝的处理应按DL/T5144-2001第7.3.14条的规定执行。</w:t>
      </w:r>
    </w:p>
    <w:p w14:paraId="3735858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8.5.3混凝土养护</w:t>
      </w:r>
    </w:p>
    <w:p w14:paraId="1932D9F5">
      <w:pPr>
        <w:snapToGrid w:val="0"/>
        <w:spacing w:line="300" w:lineRule="auto"/>
        <w:ind w:firstLine="420" w:firstLineChars="200"/>
        <w:rPr>
          <w:rFonts w:ascii="宋体" w:hAnsi="宋体" w:eastAsia="宋体"/>
          <w:szCs w:val="21"/>
        </w:rPr>
      </w:pPr>
      <w:r>
        <w:rPr>
          <w:rFonts w:hint="eastAsia" w:ascii="宋体" w:hAnsi="宋体" w:eastAsia="宋体"/>
          <w:szCs w:val="21"/>
        </w:rPr>
        <w:t>混凝土养护应遵守DL/T5144-2001第7.5节的有关规定。</w:t>
      </w:r>
    </w:p>
    <w:p w14:paraId="77C0059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8.5.4混凝土温度控制</w:t>
      </w:r>
    </w:p>
    <w:p w14:paraId="33B7C52B">
      <w:pPr>
        <w:snapToGrid w:val="0"/>
        <w:spacing w:line="300" w:lineRule="auto"/>
        <w:ind w:firstLine="420" w:firstLineChars="200"/>
        <w:rPr>
          <w:rFonts w:ascii="宋体" w:hAnsi="宋体" w:eastAsia="宋体"/>
          <w:szCs w:val="21"/>
        </w:rPr>
      </w:pPr>
      <w:r>
        <w:rPr>
          <w:rFonts w:hint="eastAsia" w:ascii="宋体" w:hAnsi="宋体" w:eastAsia="宋体"/>
          <w:szCs w:val="21"/>
        </w:rPr>
        <w:t>(1)一般要求：</w:t>
      </w:r>
    </w:p>
    <w:p w14:paraId="2EF4CA16">
      <w:pPr>
        <w:snapToGrid w:val="0"/>
        <w:spacing w:line="300" w:lineRule="auto"/>
        <w:ind w:firstLine="420" w:firstLineChars="200"/>
        <w:rPr>
          <w:rFonts w:ascii="宋体" w:hAnsi="宋体" w:eastAsia="宋体"/>
          <w:szCs w:val="21"/>
        </w:rPr>
      </w:pPr>
      <w:r>
        <w:rPr>
          <w:rFonts w:hint="eastAsia" w:ascii="宋体" w:hAnsi="宋体" w:eastAsia="宋体"/>
          <w:szCs w:val="21"/>
        </w:rPr>
        <w:t>1)本节规定适用于现场浇筑大体积混凝土的温度控制工程，并应遵守DL/T5144-2001第8章的有关规定。其它有温度控制要求的现浇混凝土(如岩壁吊车梁、地下厂房工程)应参照本条有关规定执行；</w:t>
      </w:r>
    </w:p>
    <w:p w14:paraId="068D8DB4">
      <w:pPr>
        <w:snapToGrid w:val="0"/>
        <w:spacing w:line="300" w:lineRule="auto"/>
        <w:ind w:firstLine="420" w:firstLineChars="200"/>
        <w:rPr>
          <w:rFonts w:ascii="宋体" w:hAnsi="宋体" w:eastAsia="宋体"/>
          <w:szCs w:val="21"/>
        </w:rPr>
      </w:pPr>
      <w:r>
        <w:rPr>
          <w:rFonts w:hint="eastAsia" w:ascii="宋体" w:hAnsi="宋体" w:eastAsia="宋体"/>
          <w:szCs w:val="21"/>
        </w:rPr>
        <w:t>2)承包人应根据本合同施工图纸所设置的混凝土工程建筑物的浇筑纵横缝、分层厚度、浇筑间歇时间、混凝土允许最高温度及其它温度控制要求，编制温度控制措施专项技术文件，提交监理人批准；</w:t>
      </w:r>
    </w:p>
    <w:p w14:paraId="50E4929D">
      <w:pPr>
        <w:snapToGrid w:val="0"/>
        <w:spacing w:line="300" w:lineRule="auto"/>
        <w:ind w:firstLine="420" w:firstLineChars="200"/>
        <w:rPr>
          <w:rFonts w:ascii="宋体" w:hAnsi="宋体" w:eastAsia="宋体"/>
          <w:szCs w:val="21"/>
        </w:rPr>
      </w:pPr>
      <w:r>
        <w:rPr>
          <w:rFonts w:hint="eastAsia" w:ascii="宋体" w:hAnsi="宋体" w:eastAsia="宋体"/>
          <w:szCs w:val="21"/>
        </w:rPr>
        <w:t>3)承包人应采取有效措施控制混凝土搅拌机出机口温度，以及运输、浇筑过程中的温度回升，混凝土允许浇筑温度应符合本合同技术条款和施工图纸的要求；</w:t>
      </w:r>
    </w:p>
    <w:p w14:paraId="3C0053E7">
      <w:pPr>
        <w:snapToGrid w:val="0"/>
        <w:spacing w:line="300" w:lineRule="auto"/>
        <w:ind w:firstLine="420" w:firstLineChars="200"/>
        <w:rPr>
          <w:rFonts w:ascii="宋体" w:hAnsi="宋体" w:eastAsia="宋体"/>
          <w:szCs w:val="21"/>
        </w:rPr>
      </w:pPr>
      <w:r>
        <w:rPr>
          <w:rFonts w:hint="eastAsia" w:ascii="宋体" w:hAnsi="宋体" w:eastAsia="宋体"/>
          <w:szCs w:val="21"/>
        </w:rPr>
        <w:t>4)混凝土浇筑的纵横缝设置、分层厚度及浇筑间歇时间等，必须符合本合同技术条款和施工图纸的要求。若改变分层厚度时需要专门论证，并提交监理人批准；</w:t>
      </w:r>
    </w:p>
    <w:p w14:paraId="2A2C5504">
      <w:pPr>
        <w:snapToGrid w:val="0"/>
        <w:spacing w:line="300" w:lineRule="auto"/>
        <w:ind w:firstLine="420" w:firstLineChars="200"/>
        <w:rPr>
          <w:rFonts w:ascii="宋体" w:hAnsi="宋体" w:eastAsia="宋体"/>
          <w:szCs w:val="21"/>
        </w:rPr>
      </w:pPr>
      <w:r>
        <w:rPr>
          <w:rFonts w:hint="eastAsia" w:ascii="宋体" w:hAnsi="宋体" w:eastAsia="宋体"/>
          <w:szCs w:val="21"/>
        </w:rPr>
        <w:t>5)为提高混凝土抗裂能力，混凝土质量除应满足强度保证率要求外，还至少应达到DL/T5144-2001表11.5.11中混凝土生产质量优良的等级水平。</w:t>
      </w:r>
    </w:p>
    <w:p w14:paraId="6C4397B6">
      <w:pPr>
        <w:snapToGrid w:val="0"/>
        <w:spacing w:line="300" w:lineRule="auto"/>
        <w:ind w:firstLine="420" w:firstLineChars="200"/>
        <w:rPr>
          <w:rFonts w:ascii="宋体" w:hAnsi="宋体" w:eastAsia="宋体"/>
          <w:szCs w:val="21"/>
        </w:rPr>
      </w:pPr>
      <w:r>
        <w:rPr>
          <w:rFonts w:hint="eastAsia" w:ascii="宋体" w:hAnsi="宋体" w:eastAsia="宋体"/>
          <w:szCs w:val="21"/>
        </w:rPr>
        <w:t>(2)降低混凝土浇筑温度</w:t>
      </w:r>
    </w:p>
    <w:p w14:paraId="56C4BBA1">
      <w:pPr>
        <w:snapToGrid w:val="0"/>
        <w:spacing w:line="300" w:lineRule="auto"/>
        <w:ind w:firstLine="420" w:firstLineChars="200"/>
        <w:rPr>
          <w:rFonts w:ascii="宋体" w:hAnsi="宋体" w:eastAsia="宋体"/>
          <w:szCs w:val="21"/>
        </w:rPr>
      </w:pPr>
      <w:r>
        <w:rPr>
          <w:rFonts w:hint="eastAsia" w:ascii="宋体" w:hAnsi="宋体" w:eastAsia="宋体"/>
          <w:szCs w:val="21"/>
        </w:rPr>
        <w:t>降低混凝土浇筑温度应遵守DL/T5144-2001第8.2.1条的有关规定。</w:t>
      </w:r>
    </w:p>
    <w:p w14:paraId="761710AA">
      <w:pPr>
        <w:snapToGrid w:val="0"/>
        <w:spacing w:line="300" w:lineRule="auto"/>
        <w:ind w:firstLine="420" w:firstLineChars="200"/>
        <w:rPr>
          <w:rFonts w:ascii="宋体" w:hAnsi="宋体" w:eastAsia="宋体"/>
          <w:szCs w:val="21"/>
        </w:rPr>
      </w:pPr>
      <w:r>
        <w:rPr>
          <w:rFonts w:hint="eastAsia" w:ascii="宋体" w:hAnsi="宋体" w:eastAsia="宋体"/>
          <w:szCs w:val="21"/>
        </w:rPr>
        <w:t>(3)降低混凝土水化热温升</w:t>
      </w:r>
    </w:p>
    <w:p w14:paraId="1262BF93">
      <w:pPr>
        <w:snapToGrid w:val="0"/>
        <w:spacing w:line="300" w:lineRule="auto"/>
        <w:ind w:firstLine="420" w:firstLineChars="200"/>
        <w:rPr>
          <w:rFonts w:ascii="宋体" w:hAnsi="宋体" w:eastAsia="宋体"/>
          <w:szCs w:val="21"/>
        </w:rPr>
      </w:pPr>
      <w:r>
        <w:rPr>
          <w:rFonts w:hint="eastAsia" w:ascii="宋体" w:hAnsi="宋体" w:eastAsia="宋体"/>
          <w:szCs w:val="21"/>
        </w:rPr>
        <w:t>在满足合同技术条款和施工图纸规定的混凝土各项指标(强度、耐久性、抗裂等)要求的前提下，优化混凝土配合比设计，采取综合措施，减少混凝土单位水泥用量。</w:t>
      </w:r>
    </w:p>
    <w:p w14:paraId="4DF1B4F6">
      <w:pPr>
        <w:snapToGrid w:val="0"/>
        <w:spacing w:line="300" w:lineRule="auto"/>
        <w:ind w:firstLine="420" w:firstLineChars="200"/>
        <w:rPr>
          <w:rFonts w:ascii="宋体" w:hAnsi="宋体" w:eastAsia="宋体"/>
          <w:szCs w:val="21"/>
        </w:rPr>
      </w:pPr>
      <w:r>
        <w:rPr>
          <w:rFonts w:hint="eastAsia" w:ascii="宋体" w:hAnsi="宋体" w:eastAsia="宋体"/>
          <w:szCs w:val="21"/>
        </w:rPr>
        <w:t>(4)降低坝体内外温差</w:t>
      </w:r>
    </w:p>
    <w:p w14:paraId="5AA35E18">
      <w:pPr>
        <w:snapToGrid w:val="0"/>
        <w:spacing w:line="300" w:lineRule="auto"/>
        <w:ind w:firstLine="420" w:firstLineChars="200"/>
        <w:rPr>
          <w:rFonts w:ascii="宋体" w:hAnsi="宋体" w:eastAsia="宋体"/>
          <w:szCs w:val="21"/>
        </w:rPr>
      </w:pPr>
      <w:r>
        <w:rPr>
          <w:rFonts w:hint="eastAsia" w:ascii="宋体" w:hAnsi="宋体" w:eastAsia="宋体"/>
          <w:szCs w:val="21"/>
        </w:rPr>
        <w:t>在低温季节前将坝体温度降至施工图纸要求的温度，以降低坝体内外温差，防止或减少表面裂缝。</w:t>
      </w:r>
    </w:p>
    <w:p w14:paraId="6BFB85BD">
      <w:pPr>
        <w:snapToGrid w:val="0"/>
        <w:spacing w:line="300" w:lineRule="auto"/>
        <w:ind w:firstLine="420" w:firstLineChars="200"/>
        <w:rPr>
          <w:rFonts w:ascii="宋体" w:hAnsi="宋体" w:eastAsia="宋体"/>
          <w:szCs w:val="21"/>
        </w:rPr>
      </w:pPr>
      <w:r>
        <w:rPr>
          <w:rFonts w:hint="eastAsia" w:ascii="宋体" w:hAnsi="宋体" w:eastAsia="宋体"/>
          <w:szCs w:val="21"/>
        </w:rPr>
        <w:t>(5)控制浇筑层最大高度和浇筑间歇时间</w:t>
      </w:r>
    </w:p>
    <w:p w14:paraId="7A3E4A3B">
      <w:pPr>
        <w:snapToGrid w:val="0"/>
        <w:spacing w:line="300" w:lineRule="auto"/>
        <w:ind w:firstLine="420" w:firstLineChars="200"/>
        <w:rPr>
          <w:rFonts w:ascii="宋体" w:hAnsi="宋体" w:eastAsia="宋体"/>
          <w:szCs w:val="21"/>
        </w:rPr>
      </w:pPr>
      <w:r>
        <w:rPr>
          <w:rFonts w:hint="eastAsia" w:ascii="宋体" w:hAnsi="宋体" w:eastAsia="宋体"/>
          <w:szCs w:val="21"/>
        </w:rPr>
        <w:t>大体积混凝土浇筑应控制浇筑层最大高度和浇筑间歇时间。除施工图纸另有规定外，大体积混凝土浇筑的最大高度和最小间歇时间应遵守DL/T5144-2001的有关规定。</w:t>
      </w:r>
    </w:p>
    <w:p w14:paraId="63F88A28">
      <w:pPr>
        <w:snapToGrid w:val="0"/>
        <w:spacing w:line="300" w:lineRule="auto"/>
        <w:ind w:firstLine="420" w:firstLineChars="200"/>
        <w:rPr>
          <w:rFonts w:ascii="宋体" w:hAnsi="宋体" w:eastAsia="宋体"/>
          <w:szCs w:val="21"/>
        </w:rPr>
      </w:pPr>
      <w:r>
        <w:rPr>
          <w:rFonts w:hint="eastAsia" w:ascii="宋体" w:hAnsi="宋体" w:eastAsia="宋体"/>
          <w:szCs w:val="21"/>
        </w:rPr>
        <w:t>(6)通水冷却：</w:t>
      </w:r>
    </w:p>
    <w:p w14:paraId="37303937">
      <w:pPr>
        <w:snapToGrid w:val="0"/>
        <w:spacing w:line="300" w:lineRule="auto"/>
        <w:ind w:firstLine="420" w:firstLineChars="200"/>
        <w:rPr>
          <w:rFonts w:ascii="宋体" w:hAnsi="宋体" w:eastAsia="宋体"/>
          <w:szCs w:val="21"/>
        </w:rPr>
      </w:pPr>
      <w:r>
        <w:rPr>
          <w:rFonts w:hint="eastAsia" w:ascii="宋体" w:hAnsi="宋体" w:eastAsia="宋体"/>
          <w:szCs w:val="21"/>
        </w:rPr>
        <w:t>1)初期冷却：初期通水冷却应遵守DL/T5144-2001第8.2.2条3款的规定。</w:t>
      </w:r>
    </w:p>
    <w:p w14:paraId="16259AE5">
      <w:pPr>
        <w:snapToGrid w:val="0"/>
        <w:spacing w:line="300" w:lineRule="auto"/>
        <w:ind w:firstLine="420" w:firstLineChars="200"/>
        <w:rPr>
          <w:rFonts w:ascii="宋体" w:hAnsi="宋体" w:eastAsia="宋体"/>
          <w:szCs w:val="21"/>
        </w:rPr>
      </w:pPr>
      <w:r>
        <w:rPr>
          <w:rFonts w:hint="eastAsia" w:ascii="宋体" w:hAnsi="宋体" w:eastAsia="宋体"/>
          <w:szCs w:val="21"/>
        </w:rPr>
        <w:t>2)中、后期冷却：初期冷却结束后，应加强温度检测，控制混凝土温度回升不超过1.5℃，通水冷却的水温、通水流量、最大降温速率以及不同区域坝体混凝土温度控制和温度梯度等要求应按施工图纸要求或临理人指示确定。</w:t>
      </w:r>
    </w:p>
    <w:p w14:paraId="08AF1682">
      <w:pPr>
        <w:snapToGrid w:val="0"/>
        <w:spacing w:line="300" w:lineRule="auto"/>
        <w:ind w:firstLine="420" w:firstLineChars="200"/>
        <w:rPr>
          <w:rFonts w:ascii="宋体" w:hAnsi="宋体" w:eastAsia="宋体"/>
          <w:szCs w:val="21"/>
        </w:rPr>
      </w:pPr>
      <w:r>
        <w:rPr>
          <w:rFonts w:hint="eastAsia" w:ascii="宋体" w:hAnsi="宋体" w:eastAsia="宋体"/>
          <w:szCs w:val="21"/>
        </w:rPr>
        <w:t>(7)混凝土表面保护措施</w:t>
      </w:r>
    </w:p>
    <w:p w14:paraId="0F0D694A">
      <w:pPr>
        <w:snapToGrid w:val="0"/>
        <w:spacing w:line="300" w:lineRule="auto"/>
        <w:ind w:firstLine="420" w:firstLineChars="200"/>
        <w:rPr>
          <w:rFonts w:ascii="宋体" w:hAnsi="宋体" w:eastAsia="宋体"/>
          <w:szCs w:val="21"/>
        </w:rPr>
      </w:pPr>
      <w:r>
        <w:rPr>
          <w:rFonts w:hint="eastAsia" w:ascii="宋体" w:hAnsi="宋体" w:eastAsia="宋体"/>
          <w:szCs w:val="21"/>
        </w:rPr>
        <w:t>混凝土表面保护应遵守DL/T5144-2001第8.2.4条的规定。</w:t>
      </w:r>
    </w:p>
    <w:p w14:paraId="019365CD">
      <w:pPr>
        <w:snapToGrid w:val="0"/>
        <w:spacing w:line="300" w:lineRule="auto"/>
        <w:ind w:firstLine="420" w:firstLineChars="200"/>
        <w:rPr>
          <w:rFonts w:ascii="宋体" w:hAnsi="宋体" w:eastAsia="宋体"/>
          <w:szCs w:val="21"/>
        </w:rPr>
      </w:pPr>
      <w:r>
        <w:rPr>
          <w:rFonts w:hint="eastAsia" w:ascii="宋体" w:hAnsi="宋体" w:eastAsia="宋体"/>
          <w:szCs w:val="21"/>
        </w:rPr>
        <w:t>(8)温度测量</w:t>
      </w:r>
    </w:p>
    <w:p w14:paraId="5C4C2285">
      <w:pPr>
        <w:snapToGrid w:val="0"/>
        <w:spacing w:line="300" w:lineRule="auto"/>
        <w:ind w:firstLine="420" w:firstLineChars="200"/>
        <w:rPr>
          <w:rFonts w:ascii="宋体" w:hAnsi="宋体" w:eastAsia="宋体"/>
          <w:szCs w:val="21"/>
        </w:rPr>
      </w:pPr>
      <w:r>
        <w:rPr>
          <w:rFonts w:hint="eastAsia" w:ascii="宋体" w:hAnsi="宋体" w:eastAsia="宋体"/>
          <w:szCs w:val="21"/>
        </w:rPr>
        <w:t>混凝土施工过程中的温度测量应遵守DL/T5144-2001条第8.3节的规定。</w:t>
      </w:r>
    </w:p>
    <w:p w14:paraId="485AF9DB">
      <w:pPr>
        <w:snapToGrid w:val="0"/>
        <w:spacing w:line="300" w:lineRule="auto"/>
        <w:ind w:firstLine="420" w:firstLineChars="200"/>
        <w:rPr>
          <w:rFonts w:ascii="宋体" w:hAnsi="宋体" w:eastAsia="宋体"/>
          <w:szCs w:val="21"/>
        </w:rPr>
      </w:pPr>
      <w:r>
        <w:rPr>
          <w:rFonts w:hint="eastAsia" w:ascii="宋体" w:hAnsi="宋体" w:eastAsia="宋体"/>
          <w:szCs w:val="21"/>
        </w:rPr>
        <w:t>(9)低温季节施工</w:t>
      </w:r>
    </w:p>
    <w:p w14:paraId="725C81B7">
      <w:pPr>
        <w:snapToGrid w:val="0"/>
        <w:spacing w:line="300" w:lineRule="auto"/>
        <w:ind w:firstLine="420" w:firstLineChars="200"/>
        <w:rPr>
          <w:rFonts w:ascii="宋体" w:hAnsi="宋体" w:eastAsia="宋体"/>
          <w:szCs w:val="21"/>
        </w:rPr>
      </w:pPr>
      <w:r>
        <w:rPr>
          <w:rFonts w:hint="eastAsia" w:ascii="宋体" w:hAnsi="宋体" w:eastAsia="宋体"/>
          <w:szCs w:val="21"/>
        </w:rPr>
        <w:t>混凝土低温季节施工应遵守DL/T5144-2001第9章的有关规定。</w:t>
      </w:r>
    </w:p>
    <w:p w14:paraId="3DFD581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8.5.5混凝土防渗面板和趾板施工</w:t>
      </w:r>
    </w:p>
    <w:p w14:paraId="1542A00F">
      <w:pPr>
        <w:snapToGrid w:val="0"/>
        <w:spacing w:line="300" w:lineRule="auto"/>
        <w:ind w:firstLine="420" w:firstLineChars="200"/>
        <w:rPr>
          <w:rFonts w:ascii="宋体" w:hAnsi="宋体" w:eastAsia="宋体"/>
          <w:szCs w:val="21"/>
        </w:rPr>
      </w:pPr>
      <w:r>
        <w:rPr>
          <w:rFonts w:hint="eastAsia" w:ascii="宋体" w:hAnsi="宋体" w:eastAsia="宋体"/>
          <w:szCs w:val="21"/>
        </w:rPr>
        <w:t>(1)面板和趾板混凝土的原材料应遵守SL49-2015第6.1.1条的规定。</w:t>
      </w:r>
    </w:p>
    <w:p w14:paraId="25A7464E">
      <w:pPr>
        <w:snapToGrid w:val="0"/>
        <w:spacing w:line="300" w:lineRule="auto"/>
        <w:ind w:firstLine="420" w:firstLineChars="200"/>
        <w:rPr>
          <w:rFonts w:ascii="宋体" w:hAnsi="宋体" w:eastAsia="宋体"/>
          <w:szCs w:val="21"/>
        </w:rPr>
      </w:pPr>
      <w:r>
        <w:rPr>
          <w:rFonts w:hint="eastAsia" w:ascii="宋体" w:hAnsi="宋体" w:eastAsia="宋体"/>
          <w:szCs w:val="21"/>
        </w:rPr>
        <w:t>(2)面板与趾板混凝土配合比应满足本合同施工图纸的要求，并遵守SL49-2015第6.1.2条的规定。</w:t>
      </w:r>
    </w:p>
    <w:p w14:paraId="58A5E373">
      <w:pPr>
        <w:snapToGrid w:val="0"/>
        <w:spacing w:line="300" w:lineRule="auto"/>
        <w:ind w:firstLine="420" w:firstLineChars="200"/>
        <w:rPr>
          <w:rFonts w:ascii="宋体" w:hAnsi="宋体" w:eastAsia="宋体"/>
          <w:szCs w:val="21"/>
        </w:rPr>
      </w:pPr>
      <w:r>
        <w:rPr>
          <w:rFonts w:hint="eastAsia" w:ascii="宋体" w:hAnsi="宋体" w:eastAsia="宋体"/>
          <w:szCs w:val="21"/>
        </w:rPr>
        <w:t>(3)趾板施工应遵守DL/T5144-2001第6.2节的有关规定。</w:t>
      </w:r>
    </w:p>
    <w:p w14:paraId="78A33BB7">
      <w:pPr>
        <w:snapToGrid w:val="0"/>
        <w:spacing w:line="300" w:lineRule="auto"/>
        <w:ind w:firstLine="420" w:firstLineChars="200"/>
        <w:rPr>
          <w:rFonts w:ascii="宋体" w:hAnsi="宋体" w:eastAsia="宋体"/>
          <w:szCs w:val="21"/>
        </w:rPr>
      </w:pPr>
      <w:r>
        <w:rPr>
          <w:rFonts w:hint="eastAsia" w:ascii="宋体" w:hAnsi="宋体" w:eastAsia="宋体"/>
          <w:szCs w:val="21"/>
        </w:rPr>
        <w:t>(4)面板施工应遵守SL49-2015第6.3节的规定施工。</w:t>
      </w:r>
    </w:p>
    <w:p w14:paraId="119B334A">
      <w:pPr>
        <w:snapToGrid w:val="0"/>
        <w:spacing w:line="300" w:lineRule="auto"/>
        <w:ind w:firstLine="420" w:firstLineChars="200"/>
        <w:rPr>
          <w:rFonts w:ascii="宋体" w:hAnsi="宋体" w:eastAsia="宋体"/>
          <w:szCs w:val="21"/>
        </w:rPr>
      </w:pPr>
      <w:r>
        <w:rPr>
          <w:rFonts w:hint="eastAsia" w:ascii="宋体" w:hAnsi="宋体" w:eastAsia="宋体"/>
          <w:szCs w:val="21"/>
        </w:rPr>
        <w:t>(5)面板的止水设施施工应遵守SL49-2015第7章的有关规定。</w:t>
      </w:r>
    </w:p>
    <w:p w14:paraId="3EA9311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8.5.6二期混凝土施工</w:t>
      </w:r>
    </w:p>
    <w:p w14:paraId="0D4A4889">
      <w:pPr>
        <w:snapToGrid w:val="0"/>
        <w:spacing w:line="300" w:lineRule="auto"/>
        <w:ind w:firstLine="420" w:firstLineChars="200"/>
        <w:rPr>
          <w:rFonts w:ascii="宋体" w:hAnsi="宋体" w:eastAsia="宋体"/>
          <w:szCs w:val="21"/>
        </w:rPr>
      </w:pPr>
      <w:r>
        <w:rPr>
          <w:rFonts w:hint="eastAsia" w:ascii="宋体" w:hAnsi="宋体" w:eastAsia="宋体"/>
          <w:szCs w:val="21"/>
        </w:rPr>
        <w:t>(1)二期混凝土施工范围包括闸门槽混凝土、钢衬预留槽混凝土、门机大梁轨底预留槽混凝土、电站厂房尾水管锥管和蜗壳周围混凝土、座环及水轮发电机支承混凝土、轨道梁预留槽混凝土，以及预留孔洞、坑、槽、沟等的混凝土浇筑。</w:t>
      </w:r>
    </w:p>
    <w:p w14:paraId="3213D373">
      <w:pPr>
        <w:snapToGrid w:val="0"/>
        <w:spacing w:line="300" w:lineRule="auto"/>
        <w:ind w:firstLine="420" w:firstLineChars="200"/>
        <w:rPr>
          <w:rFonts w:ascii="宋体" w:hAnsi="宋体" w:eastAsia="宋体"/>
          <w:szCs w:val="21"/>
        </w:rPr>
      </w:pPr>
      <w:r>
        <w:rPr>
          <w:rFonts w:hint="eastAsia" w:ascii="宋体" w:hAnsi="宋体" w:eastAsia="宋体"/>
          <w:szCs w:val="21"/>
        </w:rPr>
        <w:t>(2)选用收缩性较小的原材料进行二期混凝土配合比试验，选定的混凝土配合比应满足混凝土强度保证率 75 %以上，离差系数不大于 180 ，原材料和混凝土配合比试验成果应提交监理人批准。</w:t>
      </w:r>
    </w:p>
    <w:p w14:paraId="4A9BEF51">
      <w:pPr>
        <w:snapToGrid w:val="0"/>
        <w:spacing w:line="300" w:lineRule="auto"/>
        <w:ind w:firstLine="420" w:firstLineChars="200"/>
        <w:rPr>
          <w:rFonts w:ascii="宋体" w:hAnsi="宋体" w:eastAsia="宋体"/>
          <w:szCs w:val="21"/>
        </w:rPr>
      </w:pPr>
      <w:r>
        <w:rPr>
          <w:rFonts w:hint="eastAsia" w:ascii="宋体" w:hAnsi="宋体" w:eastAsia="宋体"/>
          <w:szCs w:val="21"/>
        </w:rPr>
        <w:t>(3)槽孔二期混凝土浇筑应采用小型振捣机或用手工棒或钎捣实，避免漏振。</w:t>
      </w:r>
    </w:p>
    <w:p w14:paraId="3EC62D83">
      <w:pPr>
        <w:snapToGrid w:val="0"/>
        <w:spacing w:line="300" w:lineRule="auto"/>
        <w:ind w:firstLine="420" w:firstLineChars="200"/>
        <w:rPr>
          <w:rFonts w:ascii="宋体" w:hAnsi="宋体" w:eastAsia="宋体"/>
          <w:szCs w:val="21"/>
        </w:rPr>
      </w:pPr>
      <w:r>
        <w:rPr>
          <w:rFonts w:hint="eastAsia" w:ascii="宋体" w:hAnsi="宋体" w:eastAsia="宋体"/>
          <w:szCs w:val="21"/>
        </w:rPr>
        <w:t>(4)二期混凝土模板的拆除时间及其养护作业，应按监理人批准的施工措施进行。</w:t>
      </w:r>
    </w:p>
    <w:p w14:paraId="64DFB35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8.5.7抗冲，抗磨蚀部位的混凝土施工</w:t>
      </w:r>
    </w:p>
    <w:p w14:paraId="5014C935">
      <w:pPr>
        <w:snapToGrid w:val="0"/>
        <w:spacing w:line="300" w:lineRule="auto"/>
        <w:ind w:firstLine="420" w:firstLineChars="200"/>
        <w:rPr>
          <w:rFonts w:ascii="宋体" w:hAnsi="宋体" w:eastAsia="宋体"/>
          <w:szCs w:val="21"/>
        </w:rPr>
      </w:pPr>
      <w:r>
        <w:rPr>
          <w:rFonts w:hint="eastAsia" w:ascii="宋体" w:hAnsi="宋体" w:eastAsia="宋体"/>
          <w:szCs w:val="21"/>
        </w:rPr>
        <w:t>(1)本节规定的应用范围为高速水流过流的溢洪道、底孔与底孔进出口段等泄水建筑物。</w:t>
      </w:r>
    </w:p>
    <w:p w14:paraId="2C353701">
      <w:pPr>
        <w:snapToGrid w:val="0"/>
        <w:spacing w:line="300" w:lineRule="auto"/>
        <w:ind w:firstLine="420" w:firstLineChars="200"/>
        <w:rPr>
          <w:rFonts w:ascii="宋体" w:hAnsi="宋体" w:eastAsia="宋体"/>
          <w:szCs w:val="21"/>
        </w:rPr>
      </w:pPr>
      <w:r>
        <w:rPr>
          <w:rFonts w:hint="eastAsia" w:ascii="宋体" w:hAnsi="宋体" w:eastAsia="宋体"/>
          <w:szCs w:val="21"/>
        </w:rPr>
        <w:t>(2)抗冲和抗磨混凝土的材料和配合比应遵守DL/T5207-2005第6章和第7.1节的规定。</w:t>
      </w:r>
    </w:p>
    <w:p w14:paraId="7DA72B59">
      <w:pPr>
        <w:snapToGrid w:val="0"/>
        <w:spacing w:line="300" w:lineRule="auto"/>
        <w:ind w:firstLine="420" w:firstLineChars="200"/>
        <w:rPr>
          <w:rFonts w:ascii="宋体" w:hAnsi="宋体" w:eastAsia="宋体"/>
          <w:szCs w:val="21"/>
        </w:rPr>
      </w:pPr>
      <w:r>
        <w:rPr>
          <w:rFonts w:hint="eastAsia" w:ascii="宋体" w:hAnsi="宋体" w:eastAsia="宋体"/>
          <w:szCs w:val="21"/>
        </w:rPr>
        <w:t>(3)抗冲和抗磨混凝土施工应遵守DL/T5207-2005第7.2节的有关规定。</w:t>
      </w:r>
    </w:p>
    <w:p w14:paraId="7E22670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8.5.8止水，伸缩缝和排水</w:t>
      </w:r>
    </w:p>
    <w:p w14:paraId="25260500">
      <w:pPr>
        <w:snapToGrid w:val="0"/>
        <w:spacing w:line="300" w:lineRule="auto"/>
        <w:ind w:firstLine="420" w:firstLineChars="200"/>
        <w:rPr>
          <w:rFonts w:ascii="宋体" w:hAnsi="宋体" w:eastAsia="宋体"/>
          <w:szCs w:val="21"/>
        </w:rPr>
      </w:pPr>
      <w:r>
        <w:rPr>
          <w:rFonts w:hint="eastAsia" w:ascii="宋体" w:hAnsi="宋体" w:eastAsia="宋体"/>
          <w:szCs w:val="21"/>
        </w:rPr>
        <w:t>止水、伸缩缝和排水施工应遵守DL/T5144-2001第10.2节的有关规定。</w:t>
      </w:r>
    </w:p>
    <w:p w14:paraId="2803A31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8.5.9埋设管路和埋设件</w:t>
      </w:r>
    </w:p>
    <w:p w14:paraId="46865B0A">
      <w:pPr>
        <w:snapToGrid w:val="0"/>
        <w:spacing w:line="300" w:lineRule="auto"/>
        <w:ind w:firstLine="420" w:firstLineChars="200"/>
        <w:rPr>
          <w:rFonts w:ascii="宋体" w:hAnsi="宋体" w:eastAsia="宋体"/>
          <w:szCs w:val="21"/>
        </w:rPr>
      </w:pPr>
      <w:r>
        <w:rPr>
          <w:rFonts w:hint="eastAsia" w:ascii="宋体" w:hAnsi="宋体" w:eastAsia="宋体"/>
          <w:szCs w:val="21"/>
        </w:rPr>
        <w:t>(1)坝内排水设施施工应遵守DL/T5144-2001第10.2.5条的规定。</w:t>
      </w:r>
    </w:p>
    <w:p w14:paraId="313D8932">
      <w:pPr>
        <w:snapToGrid w:val="0"/>
        <w:spacing w:line="300" w:lineRule="auto"/>
        <w:ind w:firstLine="420" w:firstLineChars="200"/>
        <w:rPr>
          <w:rFonts w:ascii="宋体" w:hAnsi="宋体" w:eastAsia="宋体"/>
          <w:szCs w:val="21"/>
        </w:rPr>
      </w:pPr>
      <w:r>
        <w:rPr>
          <w:rFonts w:hint="eastAsia" w:ascii="宋体" w:hAnsi="宋体" w:eastAsia="宋体"/>
          <w:szCs w:val="21"/>
        </w:rPr>
        <w:t>(2)冷却水管与接缝灌浆管路埋设应遵守DL/T5144-2001第10.3节的有关规定。</w:t>
      </w:r>
    </w:p>
    <w:p w14:paraId="7B4B8E58">
      <w:pPr>
        <w:snapToGrid w:val="0"/>
        <w:spacing w:line="300" w:lineRule="auto"/>
        <w:ind w:firstLine="420" w:firstLineChars="200"/>
        <w:rPr>
          <w:rFonts w:ascii="宋体" w:hAnsi="宋体" w:eastAsia="宋体"/>
          <w:szCs w:val="21"/>
        </w:rPr>
      </w:pPr>
      <w:r>
        <w:rPr>
          <w:rFonts w:hint="eastAsia" w:ascii="宋体" w:hAnsi="宋体" w:eastAsia="宋体"/>
          <w:szCs w:val="21"/>
        </w:rPr>
        <w:t>(3)金属件埋设应遵守DL/T5144-2001第10.4节的有关规定。</w:t>
      </w:r>
    </w:p>
    <w:p w14:paraId="7F0474F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8.5.10质量检查和验收</w:t>
      </w:r>
    </w:p>
    <w:p w14:paraId="338DEC83">
      <w:pPr>
        <w:snapToGrid w:val="0"/>
        <w:spacing w:line="300" w:lineRule="auto"/>
        <w:ind w:firstLine="420" w:firstLineChars="200"/>
        <w:rPr>
          <w:rFonts w:ascii="宋体" w:hAnsi="宋体" w:eastAsia="宋体"/>
          <w:szCs w:val="21"/>
        </w:rPr>
      </w:pPr>
      <w:r>
        <w:rPr>
          <w:rFonts w:hint="eastAsia" w:ascii="宋体" w:hAnsi="宋体" w:eastAsia="宋体"/>
          <w:szCs w:val="21"/>
        </w:rPr>
        <w:t>(1)混凝土原材料的质量检验和验收</w:t>
      </w:r>
    </w:p>
    <w:p w14:paraId="39D090C6">
      <w:pPr>
        <w:snapToGrid w:val="0"/>
        <w:spacing w:line="300" w:lineRule="auto"/>
        <w:ind w:firstLine="420" w:firstLineChars="200"/>
        <w:rPr>
          <w:rFonts w:ascii="宋体" w:hAnsi="宋体" w:eastAsia="宋体"/>
          <w:szCs w:val="21"/>
        </w:rPr>
      </w:pPr>
      <w:r>
        <w:rPr>
          <w:rFonts w:hint="eastAsia" w:ascii="宋体" w:hAnsi="宋体" w:eastAsia="宋体"/>
          <w:szCs w:val="21"/>
        </w:rPr>
        <w:t>承包人应会同监理人，按本章第8.2.1条的规定，对本工程混凝土原材料进行现场抽样检验和入库验收，检验成果应提交监理人。</w:t>
      </w:r>
    </w:p>
    <w:p w14:paraId="02A8DFC4">
      <w:pPr>
        <w:snapToGrid w:val="0"/>
        <w:spacing w:line="300" w:lineRule="auto"/>
        <w:ind w:firstLine="420" w:firstLineChars="200"/>
        <w:rPr>
          <w:rFonts w:ascii="宋体" w:hAnsi="宋体" w:eastAsia="宋体"/>
          <w:szCs w:val="21"/>
        </w:rPr>
      </w:pPr>
      <w:r>
        <w:rPr>
          <w:rFonts w:hint="eastAsia" w:ascii="宋体" w:hAnsi="宋体" w:eastAsia="宋体"/>
          <w:szCs w:val="21"/>
        </w:rPr>
        <w:t>(2)混凝土拌和物的质量检验</w:t>
      </w:r>
    </w:p>
    <w:p w14:paraId="455EC24D">
      <w:pPr>
        <w:snapToGrid w:val="0"/>
        <w:spacing w:line="300" w:lineRule="auto"/>
        <w:ind w:firstLine="420" w:firstLineChars="200"/>
        <w:rPr>
          <w:rFonts w:ascii="宋体" w:hAnsi="宋体" w:eastAsia="宋体"/>
          <w:szCs w:val="21"/>
        </w:rPr>
      </w:pPr>
      <w:r>
        <w:rPr>
          <w:rFonts w:hint="eastAsia" w:ascii="宋体" w:hAnsi="宋体" w:eastAsia="宋体"/>
          <w:szCs w:val="21"/>
        </w:rPr>
        <w:t>承包人应会同监理人，按本章第8.2.3条的规定进行混凝土拌和物的现场抽样检验，检验成果应提交监理人。</w:t>
      </w:r>
    </w:p>
    <w:p w14:paraId="764D6415">
      <w:pPr>
        <w:snapToGrid w:val="0"/>
        <w:spacing w:line="300" w:lineRule="auto"/>
        <w:ind w:firstLine="420" w:firstLineChars="200"/>
        <w:rPr>
          <w:rFonts w:ascii="宋体" w:hAnsi="宋体" w:eastAsia="宋体"/>
          <w:szCs w:val="21"/>
        </w:rPr>
      </w:pPr>
      <w:r>
        <w:rPr>
          <w:rFonts w:hint="eastAsia" w:ascii="宋体" w:hAnsi="宋体" w:eastAsia="宋体"/>
          <w:szCs w:val="21"/>
        </w:rPr>
        <w:t>(2)建筑物的混凝土浇筑和成型质量的检查和验收：</w:t>
      </w:r>
    </w:p>
    <w:p w14:paraId="137213AC">
      <w:pPr>
        <w:snapToGrid w:val="0"/>
        <w:spacing w:line="300" w:lineRule="auto"/>
        <w:ind w:firstLine="420" w:firstLineChars="200"/>
        <w:rPr>
          <w:rFonts w:ascii="宋体" w:hAnsi="宋体" w:eastAsia="宋体"/>
          <w:szCs w:val="21"/>
        </w:rPr>
      </w:pPr>
      <w:r>
        <w:rPr>
          <w:rFonts w:hint="eastAsia" w:ascii="宋体" w:hAnsi="宋体" w:eastAsia="宋体"/>
          <w:szCs w:val="21"/>
        </w:rPr>
        <w:t>1)建基面混凝土浇筑前，应由承包人会同监理人对建基面的测量放样成果和建基面的基础清理质量进行检查与验收；</w:t>
      </w:r>
    </w:p>
    <w:p w14:paraId="2121B3BD">
      <w:pPr>
        <w:snapToGrid w:val="0"/>
        <w:spacing w:line="300" w:lineRule="auto"/>
        <w:ind w:firstLine="420" w:firstLineChars="200"/>
        <w:rPr>
          <w:rFonts w:ascii="宋体" w:hAnsi="宋体" w:eastAsia="宋体"/>
          <w:szCs w:val="21"/>
        </w:rPr>
      </w:pPr>
      <w:r>
        <w:rPr>
          <w:rFonts w:hint="eastAsia" w:ascii="宋体" w:hAnsi="宋体" w:eastAsia="宋体"/>
          <w:szCs w:val="21"/>
        </w:rPr>
        <w:t>2)混凝土浇筑过程中，承包人应会同监理人对混凝土建筑物的测量放样成果进行检查和验收。其测量放样成果应提交监理人；</w:t>
      </w:r>
    </w:p>
    <w:p w14:paraId="4F285598">
      <w:pPr>
        <w:snapToGrid w:val="0"/>
        <w:spacing w:line="300" w:lineRule="auto"/>
        <w:ind w:firstLine="420" w:firstLineChars="200"/>
        <w:rPr>
          <w:rFonts w:ascii="宋体" w:hAnsi="宋体" w:eastAsia="宋体"/>
          <w:szCs w:val="21"/>
        </w:rPr>
      </w:pPr>
      <w:r>
        <w:rPr>
          <w:rFonts w:hint="eastAsia" w:ascii="宋体" w:hAnsi="宋体" w:eastAsia="宋体"/>
          <w:szCs w:val="21"/>
        </w:rPr>
        <w:t>3)监理人应会同承包人按DL/T5144-2001的有关规定，对现场浇筑的混凝土的强度、浇筑温度和坝体内温度进行检验和检测，其检验和检测成果应提交监理人；</w:t>
      </w:r>
    </w:p>
    <w:p w14:paraId="35D71CB9">
      <w:pPr>
        <w:snapToGrid w:val="0"/>
        <w:spacing w:line="300" w:lineRule="auto"/>
        <w:ind w:firstLine="420" w:firstLineChars="200"/>
        <w:rPr>
          <w:rFonts w:ascii="宋体" w:hAnsi="宋体" w:eastAsia="宋体"/>
          <w:szCs w:val="21"/>
        </w:rPr>
      </w:pPr>
      <w:r>
        <w:rPr>
          <w:rFonts w:hint="eastAsia" w:ascii="宋体" w:hAnsi="宋体" w:eastAsia="宋体"/>
          <w:szCs w:val="21"/>
        </w:rPr>
        <w:t>4)混凝土浇筑过程中，承包人会同监理人对各浇筑面的施工浇筑质量和养护质量，以及各种埋设件的埋设质量进行质量检查和验收，检查和验收记录应提交监理人；</w:t>
      </w:r>
    </w:p>
    <w:p w14:paraId="4A8B59A8">
      <w:pPr>
        <w:snapToGrid w:val="0"/>
        <w:spacing w:line="300" w:lineRule="auto"/>
        <w:ind w:firstLine="420" w:firstLineChars="200"/>
        <w:rPr>
          <w:rFonts w:ascii="宋体" w:hAnsi="宋体" w:eastAsia="宋体"/>
          <w:szCs w:val="21"/>
        </w:rPr>
      </w:pPr>
      <w:r>
        <w:rPr>
          <w:rFonts w:hint="eastAsia" w:ascii="宋体" w:hAnsi="宋体" w:eastAsia="宋体"/>
          <w:szCs w:val="21"/>
        </w:rPr>
        <w:t>5)混凝土工程建筑物浇筑完成后，承包人应会同监理人对混凝土工程建筑物永久结构面的成型质量进行检查和验收。检查和验收记录应提交监理人。</w:t>
      </w:r>
    </w:p>
    <w:p w14:paraId="49DA089A">
      <w:pPr>
        <w:snapToGrid w:val="0"/>
        <w:spacing w:line="300" w:lineRule="auto"/>
        <w:ind w:firstLine="420" w:firstLineChars="200"/>
        <w:rPr>
          <w:rFonts w:ascii="宋体" w:hAnsi="宋体" w:eastAsia="宋体"/>
          <w:szCs w:val="21"/>
        </w:rPr>
      </w:pPr>
      <w:r>
        <w:rPr>
          <w:rFonts w:hint="eastAsia" w:ascii="宋体" w:hAnsi="宋体" w:eastAsia="宋体"/>
          <w:szCs w:val="21"/>
        </w:rPr>
        <w:t>(4)堆石坝面板(趾板)混凝土质量的检验</w:t>
      </w:r>
    </w:p>
    <w:p w14:paraId="4623D01F">
      <w:pPr>
        <w:snapToGrid w:val="0"/>
        <w:spacing w:line="300" w:lineRule="auto"/>
        <w:ind w:firstLine="420" w:firstLineChars="200"/>
        <w:rPr>
          <w:rFonts w:ascii="宋体" w:hAnsi="宋体" w:eastAsia="宋体"/>
          <w:szCs w:val="21"/>
        </w:rPr>
      </w:pPr>
      <w:r>
        <w:rPr>
          <w:rFonts w:hint="eastAsia" w:ascii="宋体" w:hAnsi="宋体" w:eastAsia="宋体"/>
          <w:szCs w:val="21"/>
        </w:rPr>
        <w:t>1)面板滑动模板的质量应参照SL49-2015附表A5、A6的有关数据进行检查；</w:t>
      </w:r>
    </w:p>
    <w:p w14:paraId="403F12AF">
      <w:pPr>
        <w:snapToGrid w:val="0"/>
        <w:spacing w:line="300" w:lineRule="auto"/>
        <w:ind w:firstLine="420" w:firstLineChars="200"/>
        <w:rPr>
          <w:rFonts w:ascii="宋体" w:hAnsi="宋体" w:eastAsia="宋体"/>
          <w:szCs w:val="21"/>
        </w:rPr>
      </w:pPr>
      <w:r>
        <w:rPr>
          <w:rFonts w:hint="eastAsia" w:ascii="宋体" w:hAnsi="宋体" w:eastAsia="宋体"/>
          <w:szCs w:val="21"/>
        </w:rPr>
        <w:t>2)面板混凝土浇筑质量应参照SL49-2015附表A7、A8的有关数据进行检查，并按SL49-2015附录A1.4.2规定进行取样检测。检测成果应提交监理人；</w:t>
      </w:r>
    </w:p>
    <w:p w14:paraId="22EDD6D3">
      <w:pPr>
        <w:snapToGrid w:val="0"/>
        <w:spacing w:line="300" w:lineRule="auto"/>
        <w:ind w:firstLine="420" w:firstLineChars="200"/>
        <w:rPr>
          <w:rFonts w:ascii="宋体" w:hAnsi="宋体" w:eastAsia="宋体"/>
          <w:szCs w:val="21"/>
        </w:rPr>
      </w:pPr>
      <w:r>
        <w:rPr>
          <w:rFonts w:hint="eastAsia" w:ascii="宋体" w:hAnsi="宋体" w:eastAsia="宋体"/>
          <w:szCs w:val="21"/>
        </w:rPr>
        <w:t>3)面板、趾板的止水设施质量应参照SL49-2015附录A1.5的规定进行检查，止水设施至少每5m检查一点。</w:t>
      </w:r>
    </w:p>
    <w:p w14:paraId="7E9F4D0E">
      <w:pPr>
        <w:snapToGrid w:val="0"/>
        <w:spacing w:line="300" w:lineRule="auto"/>
        <w:ind w:firstLine="420" w:firstLineChars="200"/>
        <w:rPr>
          <w:rFonts w:ascii="宋体" w:hAnsi="宋体" w:eastAsia="宋体"/>
          <w:szCs w:val="21"/>
        </w:rPr>
      </w:pPr>
      <w:r>
        <w:rPr>
          <w:rFonts w:hint="eastAsia" w:ascii="宋体" w:hAnsi="宋体" w:eastAsia="宋体"/>
          <w:szCs w:val="21"/>
        </w:rPr>
        <w:t>(5)完工验收</w:t>
      </w:r>
    </w:p>
    <w:p w14:paraId="67864F37">
      <w:pPr>
        <w:snapToGrid w:val="0"/>
        <w:spacing w:line="300" w:lineRule="auto"/>
        <w:ind w:firstLine="420" w:firstLineChars="200"/>
        <w:rPr>
          <w:rFonts w:ascii="宋体" w:hAnsi="宋体" w:eastAsia="宋体"/>
          <w:szCs w:val="21"/>
        </w:rPr>
      </w:pPr>
      <w:r>
        <w:rPr>
          <w:rFonts w:hint="eastAsia" w:ascii="宋体" w:hAnsi="宋体" w:eastAsia="宋体"/>
          <w:szCs w:val="21"/>
        </w:rPr>
        <w:t>混凝土工程建筑物全部完工后，承包人应向发包人申请完工验收，并提交以下完工资料：</w:t>
      </w:r>
    </w:p>
    <w:p w14:paraId="0AADB5B2">
      <w:pPr>
        <w:snapToGrid w:val="0"/>
        <w:spacing w:line="300" w:lineRule="auto"/>
        <w:ind w:firstLine="420" w:firstLineChars="200"/>
        <w:rPr>
          <w:rFonts w:ascii="宋体" w:hAnsi="宋体" w:eastAsia="宋体"/>
          <w:szCs w:val="21"/>
        </w:rPr>
      </w:pPr>
      <w:r>
        <w:rPr>
          <w:rFonts w:hint="eastAsia" w:ascii="宋体" w:hAnsi="宋体" w:eastAsia="宋体"/>
          <w:szCs w:val="21"/>
        </w:rPr>
        <w:t>1)混凝土工程建筑物竣工图(包括布置图和主要结构图)；</w:t>
      </w:r>
    </w:p>
    <w:p w14:paraId="421F97DF">
      <w:pPr>
        <w:snapToGrid w:val="0"/>
        <w:spacing w:line="300" w:lineRule="auto"/>
        <w:ind w:firstLine="420" w:firstLineChars="200"/>
        <w:rPr>
          <w:rFonts w:ascii="宋体" w:hAnsi="宋体" w:eastAsia="宋体"/>
          <w:szCs w:val="21"/>
        </w:rPr>
      </w:pPr>
      <w:r>
        <w:rPr>
          <w:rFonts w:hint="eastAsia" w:ascii="宋体" w:hAnsi="宋体" w:eastAsia="宋体"/>
          <w:szCs w:val="21"/>
        </w:rPr>
        <w:t>2)混凝土工程建筑物的隐蔽工程及工程隐蔽部位的质量检查验收报告；</w:t>
      </w:r>
    </w:p>
    <w:p w14:paraId="24D53E7C">
      <w:pPr>
        <w:snapToGrid w:val="0"/>
        <w:spacing w:line="300" w:lineRule="auto"/>
        <w:ind w:firstLine="420" w:firstLineChars="200"/>
        <w:rPr>
          <w:rFonts w:ascii="宋体" w:hAnsi="宋体" w:eastAsia="宋体"/>
          <w:szCs w:val="21"/>
        </w:rPr>
      </w:pPr>
      <w:r>
        <w:rPr>
          <w:rFonts w:hint="eastAsia" w:ascii="宋体" w:hAnsi="宋体" w:eastAsia="宋体"/>
          <w:szCs w:val="21"/>
        </w:rPr>
        <w:t>3)混凝土工程建筑物的永久观测设施的竣工资料及建筑物观测成果；</w:t>
      </w:r>
    </w:p>
    <w:p w14:paraId="4143F81A">
      <w:pPr>
        <w:snapToGrid w:val="0"/>
        <w:spacing w:line="300" w:lineRule="auto"/>
        <w:ind w:firstLine="420" w:firstLineChars="200"/>
        <w:rPr>
          <w:rFonts w:ascii="宋体" w:hAnsi="宋体" w:eastAsia="宋体"/>
          <w:szCs w:val="21"/>
        </w:rPr>
      </w:pPr>
      <w:r>
        <w:rPr>
          <w:rFonts w:hint="eastAsia" w:ascii="宋体" w:hAnsi="宋体" w:eastAsia="宋体"/>
          <w:szCs w:val="21"/>
        </w:rPr>
        <w:t>4)混凝土建筑物的缺陷修补和质量事故处理报告；</w:t>
      </w:r>
    </w:p>
    <w:p w14:paraId="5B42A1F5">
      <w:pPr>
        <w:snapToGrid w:val="0"/>
        <w:spacing w:line="300" w:lineRule="auto"/>
        <w:ind w:firstLine="420" w:firstLineChars="200"/>
        <w:rPr>
          <w:rFonts w:ascii="宋体" w:hAnsi="宋体" w:eastAsia="宋体"/>
          <w:szCs w:val="21"/>
        </w:rPr>
      </w:pPr>
      <w:r>
        <w:rPr>
          <w:rFonts w:hint="eastAsia" w:ascii="宋体" w:hAnsi="宋体" w:eastAsia="宋体"/>
          <w:szCs w:val="21"/>
        </w:rPr>
        <w:t>5)混凝土工程建筑物成型复测成果；</w:t>
      </w:r>
    </w:p>
    <w:p w14:paraId="14D259F0">
      <w:pPr>
        <w:snapToGrid w:val="0"/>
        <w:spacing w:line="300" w:lineRule="auto"/>
        <w:ind w:firstLine="420" w:firstLineChars="200"/>
        <w:rPr>
          <w:rFonts w:ascii="宋体" w:hAnsi="宋体" w:eastAsia="宋体"/>
          <w:szCs w:val="21"/>
        </w:rPr>
      </w:pPr>
      <w:r>
        <w:rPr>
          <w:rFonts w:hint="eastAsia" w:ascii="宋体" w:hAnsi="宋体" w:eastAsia="宋体"/>
          <w:szCs w:val="21"/>
        </w:rPr>
        <w:t>6)监理人要求提交的其它完工资料。</w:t>
      </w:r>
    </w:p>
    <w:p w14:paraId="5BFFD578">
      <w:pPr>
        <w:adjustRightInd w:val="0"/>
        <w:snapToGrid w:val="0"/>
        <w:spacing w:before="134" w:beforeLines="25" w:line="300" w:lineRule="auto"/>
        <w:outlineLvl w:val="1"/>
        <w:rPr>
          <w:rFonts w:ascii="宋体" w:hAnsi="宋体" w:eastAsia="宋体"/>
          <w:b/>
          <w:bCs/>
          <w:sz w:val="24"/>
          <w:szCs w:val="24"/>
        </w:rPr>
      </w:pPr>
      <w:bookmarkStart w:id="1573" w:name="第14章06"/>
      <w:bookmarkEnd w:id="1573"/>
      <w:r>
        <w:rPr>
          <w:rFonts w:hint="eastAsia" w:ascii="宋体" w:hAnsi="宋体" w:eastAsia="宋体"/>
          <w:b/>
          <w:bCs/>
          <w:sz w:val="24"/>
          <w:szCs w:val="24"/>
        </w:rPr>
        <w:t>8.6预制混凝土</w:t>
      </w:r>
    </w:p>
    <w:p w14:paraId="213C4382">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8.6.1材料</w:t>
      </w:r>
    </w:p>
    <w:p w14:paraId="05B1C1A5">
      <w:pPr>
        <w:snapToGrid w:val="0"/>
        <w:spacing w:line="300" w:lineRule="auto"/>
        <w:ind w:firstLine="420" w:firstLineChars="200"/>
        <w:rPr>
          <w:rFonts w:ascii="宋体" w:hAnsi="宋体" w:eastAsia="宋体"/>
          <w:szCs w:val="21"/>
        </w:rPr>
      </w:pPr>
      <w:r>
        <w:rPr>
          <w:rFonts w:hint="eastAsia" w:ascii="宋体" w:hAnsi="宋体" w:eastAsia="宋体"/>
          <w:szCs w:val="21"/>
        </w:rPr>
        <w:t>(1)预制混凝土所需原材料的采购、储存、运输、拌和以及配合比试验等均应符合本章第8.2节、第8.5节的有关规定。</w:t>
      </w:r>
    </w:p>
    <w:p w14:paraId="28F03561">
      <w:pPr>
        <w:snapToGrid w:val="0"/>
        <w:spacing w:line="300" w:lineRule="auto"/>
        <w:ind w:firstLine="420" w:firstLineChars="200"/>
        <w:rPr>
          <w:rFonts w:ascii="宋体" w:hAnsi="宋体" w:eastAsia="宋体"/>
          <w:szCs w:val="21"/>
        </w:rPr>
      </w:pPr>
      <w:r>
        <w:rPr>
          <w:rFonts w:hint="eastAsia" w:ascii="宋体" w:hAnsi="宋体" w:eastAsia="宋体"/>
          <w:szCs w:val="21"/>
        </w:rPr>
        <w:t>(2)预制混凝土构件的模板应优先采用钢模，模板的材料及其制作、安装、拆除等工艺应符合本章第8.3节的有关规定。各种模板必须有足够的承载力、刚度和稳定性，并应构造简单、支撑拆除方便，模板接缝不应漏浆，与混凝土接触面应平整光洁。</w:t>
      </w:r>
    </w:p>
    <w:p w14:paraId="1EC06A48">
      <w:pPr>
        <w:snapToGrid w:val="0"/>
        <w:spacing w:line="300" w:lineRule="auto"/>
        <w:ind w:firstLine="420" w:firstLineChars="200"/>
        <w:rPr>
          <w:rFonts w:ascii="宋体" w:hAnsi="宋体" w:eastAsia="宋体"/>
          <w:szCs w:val="21"/>
        </w:rPr>
      </w:pPr>
      <w:r>
        <w:rPr>
          <w:rFonts w:hint="eastAsia" w:ascii="宋体" w:hAnsi="宋体" w:eastAsia="宋体"/>
          <w:szCs w:val="21"/>
        </w:rPr>
        <w:t>(3)钢筋的采购、运输、保管、质量检验和验收应符合本技术条款第8.4节的有关规定。</w:t>
      </w:r>
    </w:p>
    <w:p w14:paraId="443C20E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8.6.2预制构件</w:t>
      </w:r>
    </w:p>
    <w:p w14:paraId="566BC6D4">
      <w:pPr>
        <w:snapToGrid w:val="0"/>
        <w:spacing w:line="300" w:lineRule="auto"/>
        <w:ind w:firstLine="420" w:firstLineChars="200"/>
        <w:rPr>
          <w:rFonts w:ascii="宋体" w:hAnsi="宋体" w:eastAsia="宋体"/>
          <w:szCs w:val="21"/>
        </w:rPr>
      </w:pPr>
      <w:r>
        <w:rPr>
          <w:rFonts w:hint="eastAsia" w:ascii="宋体" w:hAnsi="宋体" w:eastAsia="宋体"/>
          <w:szCs w:val="21"/>
        </w:rPr>
        <w:t>(1)制作预制混凝土构件的场地应平整坚实，设置必要的排水设施，保证制作构件时不因混凝土浇筑振捣而引起场地的沉陷变形。</w:t>
      </w:r>
    </w:p>
    <w:p w14:paraId="73CDA1CD">
      <w:pPr>
        <w:snapToGrid w:val="0"/>
        <w:spacing w:line="300" w:lineRule="auto"/>
        <w:ind w:firstLine="420" w:firstLineChars="200"/>
        <w:rPr>
          <w:rFonts w:ascii="宋体" w:hAnsi="宋体" w:eastAsia="宋体"/>
          <w:szCs w:val="21"/>
        </w:rPr>
      </w:pPr>
      <w:r>
        <w:rPr>
          <w:rFonts w:hint="eastAsia" w:ascii="宋体" w:hAnsi="宋体" w:eastAsia="宋体"/>
          <w:szCs w:val="21"/>
        </w:rPr>
        <w:t>(2)预制构件的钢筋安装应遵守DL/T5169-2013的有关规定。</w:t>
      </w:r>
    </w:p>
    <w:p w14:paraId="35D097BF">
      <w:pPr>
        <w:snapToGrid w:val="0"/>
        <w:spacing w:line="300" w:lineRule="auto"/>
        <w:ind w:firstLine="420" w:firstLineChars="200"/>
        <w:rPr>
          <w:rFonts w:ascii="宋体" w:hAnsi="宋体" w:eastAsia="宋体"/>
          <w:szCs w:val="21"/>
        </w:rPr>
      </w:pPr>
      <w:r>
        <w:rPr>
          <w:rFonts w:hint="eastAsia" w:ascii="宋体" w:hAnsi="宋体" w:eastAsia="宋体"/>
          <w:szCs w:val="21"/>
        </w:rPr>
        <w:t>(3)预制构件使用的钢板、钢筋、吊耳等各种预埋件，其埋设的允许偏差和外观质量应符合CECS40:92表6.2.37的有关规定。</w:t>
      </w:r>
    </w:p>
    <w:p w14:paraId="5A68A1FE">
      <w:pPr>
        <w:snapToGrid w:val="0"/>
        <w:spacing w:line="300" w:lineRule="auto"/>
        <w:ind w:firstLine="420" w:firstLineChars="200"/>
        <w:rPr>
          <w:rFonts w:ascii="宋体" w:hAnsi="宋体" w:eastAsia="宋体"/>
          <w:szCs w:val="21"/>
        </w:rPr>
      </w:pPr>
      <w:r>
        <w:rPr>
          <w:rFonts w:hint="eastAsia" w:ascii="宋体" w:hAnsi="宋体" w:eastAsia="宋体"/>
          <w:szCs w:val="21"/>
        </w:rPr>
        <w:t>(4)预制混凝土构件的制作允许偏差应参照GB50204-2015表9.2.5的有关数据确定。</w:t>
      </w:r>
    </w:p>
    <w:p w14:paraId="289B4EDA">
      <w:pPr>
        <w:snapToGrid w:val="0"/>
        <w:spacing w:line="300" w:lineRule="auto"/>
        <w:ind w:firstLine="420" w:firstLineChars="200"/>
        <w:rPr>
          <w:rFonts w:ascii="宋体" w:hAnsi="宋体" w:eastAsia="宋体"/>
          <w:szCs w:val="21"/>
        </w:rPr>
      </w:pPr>
      <w:r>
        <w:rPr>
          <w:rFonts w:hint="eastAsia" w:ascii="宋体" w:hAnsi="宋体" w:eastAsia="宋体"/>
          <w:szCs w:val="21"/>
        </w:rPr>
        <w:t>(5)预制混凝土模板的安装和拆除符合GB50204-2015表4.3.1的有关规定，混凝土预制件必须达到规定强度后，方可拆除模板。</w:t>
      </w:r>
    </w:p>
    <w:p w14:paraId="591CBBD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8.6.3养护、修整和标记</w:t>
      </w:r>
    </w:p>
    <w:p w14:paraId="211688D8">
      <w:pPr>
        <w:snapToGrid w:val="0"/>
        <w:spacing w:line="300" w:lineRule="auto"/>
        <w:ind w:firstLine="420" w:firstLineChars="200"/>
        <w:rPr>
          <w:rFonts w:ascii="宋体" w:hAnsi="宋体" w:eastAsia="宋体"/>
          <w:szCs w:val="21"/>
        </w:rPr>
      </w:pPr>
      <w:r>
        <w:rPr>
          <w:rFonts w:hint="eastAsia" w:ascii="宋体" w:hAnsi="宋体" w:eastAsia="宋体"/>
          <w:szCs w:val="21"/>
        </w:rPr>
        <w:t>(1)养护用水养护混凝土应不少28天，蒸汽养护应按监理人的指示或现行规范中的有关规定进行。</w:t>
      </w:r>
    </w:p>
    <w:p w14:paraId="71CD960C">
      <w:pPr>
        <w:snapToGrid w:val="0"/>
        <w:spacing w:line="300" w:lineRule="auto"/>
        <w:ind w:firstLine="420" w:firstLineChars="200"/>
        <w:rPr>
          <w:rFonts w:ascii="宋体" w:hAnsi="宋体" w:eastAsia="宋体"/>
          <w:szCs w:val="21"/>
        </w:rPr>
      </w:pPr>
      <w:r>
        <w:rPr>
          <w:rFonts w:hint="eastAsia" w:ascii="宋体" w:hAnsi="宋体" w:eastAsia="宋体"/>
          <w:szCs w:val="21"/>
        </w:rPr>
        <w:t>(2)表面修整：预制混凝土表面修整应符合DL/T5144-2001有关规定。</w:t>
      </w:r>
    </w:p>
    <w:p w14:paraId="6BC43202">
      <w:pPr>
        <w:snapToGrid w:val="0"/>
        <w:spacing w:line="300" w:lineRule="auto"/>
        <w:ind w:firstLine="420" w:firstLineChars="200"/>
        <w:rPr>
          <w:rFonts w:ascii="宋体" w:hAnsi="宋体" w:eastAsia="宋体"/>
          <w:szCs w:val="21"/>
        </w:rPr>
      </w:pPr>
      <w:r>
        <w:rPr>
          <w:rFonts w:hint="eastAsia" w:ascii="宋体" w:hAnsi="宋体" w:eastAsia="宋体"/>
          <w:szCs w:val="21"/>
        </w:rPr>
        <w:t>(3)合格标记：经监理人检查合格的预制混凝土构件应标有合格标志，并标有合格的编号、制作日期和安装标记，未标有合格标志或有缺陷的构件不得使用。</w:t>
      </w:r>
    </w:p>
    <w:p w14:paraId="7CEAA5A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8.6.4运输，堆放，吊运和安装</w:t>
      </w:r>
    </w:p>
    <w:p w14:paraId="09CCF9ED">
      <w:pPr>
        <w:snapToGrid w:val="0"/>
        <w:spacing w:line="300" w:lineRule="auto"/>
        <w:ind w:firstLine="420" w:firstLineChars="200"/>
        <w:rPr>
          <w:rFonts w:ascii="宋体" w:hAnsi="宋体" w:eastAsia="宋体"/>
          <w:szCs w:val="21"/>
        </w:rPr>
      </w:pPr>
      <w:r>
        <w:rPr>
          <w:rFonts w:hint="eastAsia" w:ascii="宋体" w:hAnsi="宋体" w:eastAsia="宋体"/>
          <w:szCs w:val="21"/>
        </w:rPr>
        <w:t>运输、堆放、吊运和安装应符合GB50204-2015第9.4节有关规定。</w:t>
      </w:r>
    </w:p>
    <w:p w14:paraId="6894AB5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8.6.5质量检查和验收</w:t>
      </w:r>
    </w:p>
    <w:p w14:paraId="6326A9B0">
      <w:pPr>
        <w:snapToGrid w:val="0"/>
        <w:spacing w:line="300" w:lineRule="auto"/>
        <w:ind w:firstLine="420" w:firstLineChars="200"/>
        <w:rPr>
          <w:rFonts w:ascii="宋体" w:hAnsi="宋体" w:eastAsia="宋体"/>
          <w:szCs w:val="21"/>
        </w:rPr>
      </w:pPr>
      <w:r>
        <w:rPr>
          <w:rFonts w:hint="eastAsia" w:ascii="宋体" w:hAnsi="宋体" w:eastAsia="宋体"/>
          <w:szCs w:val="21"/>
        </w:rPr>
        <w:t>承包人应会同监理人对预制混凝土构件的制作和安装进行以下项目的检查和验收：</w:t>
      </w:r>
    </w:p>
    <w:p w14:paraId="483E8D49">
      <w:pPr>
        <w:snapToGrid w:val="0"/>
        <w:spacing w:line="300" w:lineRule="auto"/>
        <w:ind w:firstLine="420" w:firstLineChars="200"/>
        <w:rPr>
          <w:rFonts w:ascii="宋体" w:hAnsi="宋体" w:eastAsia="宋体"/>
          <w:szCs w:val="21"/>
        </w:rPr>
      </w:pPr>
      <w:r>
        <w:rPr>
          <w:rFonts w:hint="eastAsia" w:ascii="宋体" w:hAnsi="宋体" w:eastAsia="宋体"/>
          <w:szCs w:val="21"/>
        </w:rPr>
        <w:t>(1)预制混凝土原材料的质量检验应按本章第8.2节有关规定执行。</w:t>
      </w:r>
    </w:p>
    <w:p w14:paraId="11988EDF">
      <w:pPr>
        <w:snapToGrid w:val="0"/>
        <w:spacing w:line="300" w:lineRule="auto"/>
        <w:ind w:firstLine="420" w:firstLineChars="200"/>
        <w:rPr>
          <w:rFonts w:ascii="宋体" w:hAnsi="宋体" w:eastAsia="宋体"/>
          <w:szCs w:val="21"/>
        </w:rPr>
      </w:pPr>
      <w:r>
        <w:rPr>
          <w:rFonts w:hint="eastAsia" w:ascii="宋体" w:hAnsi="宋体" w:eastAsia="宋体"/>
          <w:szCs w:val="21"/>
        </w:rPr>
        <w:t>(2)预制混凝土构件应按GB50204-2015第9章的规定进行预制构件性能检验、外观质量检查和构件施工安装质量的检查。</w:t>
      </w:r>
    </w:p>
    <w:p w14:paraId="78EA959D">
      <w:pPr>
        <w:adjustRightInd w:val="0"/>
        <w:snapToGrid w:val="0"/>
        <w:spacing w:before="134" w:beforeLines="25" w:line="300" w:lineRule="auto"/>
        <w:outlineLvl w:val="1"/>
        <w:rPr>
          <w:rFonts w:ascii="宋体" w:hAnsi="宋体" w:eastAsia="宋体"/>
          <w:b/>
          <w:bCs/>
          <w:sz w:val="24"/>
          <w:szCs w:val="24"/>
        </w:rPr>
      </w:pPr>
      <w:bookmarkStart w:id="1574" w:name="第14章07"/>
      <w:bookmarkEnd w:id="1574"/>
      <w:r>
        <w:rPr>
          <w:rFonts w:hint="eastAsia" w:ascii="宋体" w:hAnsi="宋体" w:eastAsia="宋体"/>
          <w:b/>
          <w:bCs/>
          <w:sz w:val="24"/>
          <w:szCs w:val="24"/>
        </w:rPr>
        <w:t>8.7预应力混凝土</w:t>
      </w:r>
    </w:p>
    <w:p w14:paraId="6EBEE85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8.7.1材料</w:t>
      </w:r>
    </w:p>
    <w:p w14:paraId="11A4D932">
      <w:pPr>
        <w:snapToGrid w:val="0"/>
        <w:spacing w:line="300" w:lineRule="auto"/>
        <w:ind w:firstLine="420" w:firstLineChars="200"/>
        <w:rPr>
          <w:rFonts w:ascii="宋体" w:hAnsi="宋体" w:eastAsia="宋体"/>
          <w:szCs w:val="21"/>
        </w:rPr>
      </w:pPr>
      <w:r>
        <w:rPr>
          <w:rFonts w:hint="eastAsia" w:ascii="宋体" w:hAnsi="宋体" w:eastAsia="宋体"/>
          <w:szCs w:val="21"/>
        </w:rPr>
        <w:t>预应力混凝土所采用的常规钢筋、水泥、骨料和掺合料等应符合本章第8.2节和第8.4节的有关规定。</w:t>
      </w:r>
    </w:p>
    <w:p w14:paraId="227642F4">
      <w:pPr>
        <w:snapToGrid w:val="0"/>
        <w:spacing w:line="300" w:lineRule="auto"/>
        <w:ind w:firstLine="420" w:firstLineChars="200"/>
        <w:rPr>
          <w:rFonts w:ascii="宋体" w:hAnsi="宋体" w:eastAsia="宋体"/>
          <w:szCs w:val="21"/>
        </w:rPr>
      </w:pPr>
      <w:r>
        <w:rPr>
          <w:rFonts w:hint="eastAsia" w:ascii="宋体" w:hAnsi="宋体" w:eastAsia="宋体"/>
          <w:szCs w:val="21"/>
        </w:rPr>
        <w:t>(2)预应力钢筋、钢绞线和钢丝：</w:t>
      </w:r>
    </w:p>
    <w:p w14:paraId="23DC8EE8">
      <w:pPr>
        <w:snapToGrid w:val="0"/>
        <w:spacing w:line="300" w:lineRule="auto"/>
        <w:ind w:firstLine="420" w:firstLineChars="200"/>
        <w:rPr>
          <w:rFonts w:ascii="宋体" w:hAnsi="宋体" w:eastAsia="宋体"/>
          <w:szCs w:val="21"/>
        </w:rPr>
      </w:pPr>
      <w:r>
        <w:rPr>
          <w:rFonts w:hint="eastAsia" w:ascii="宋体" w:hAnsi="宋体" w:eastAsia="宋体"/>
          <w:szCs w:val="21"/>
        </w:rPr>
        <w:t>预应力钢筋、钢绞线和钢丝应符合GB50204-2015第6.2节的有关规定。</w:t>
      </w:r>
    </w:p>
    <w:p w14:paraId="2CB9D20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8.7.2锚固器具和张拉设备</w:t>
      </w:r>
    </w:p>
    <w:p w14:paraId="332A1E2E">
      <w:pPr>
        <w:snapToGrid w:val="0"/>
        <w:spacing w:line="300" w:lineRule="auto"/>
        <w:ind w:firstLine="420" w:firstLineChars="200"/>
        <w:rPr>
          <w:rFonts w:ascii="宋体" w:hAnsi="宋体" w:eastAsia="宋体"/>
          <w:szCs w:val="21"/>
        </w:rPr>
      </w:pPr>
      <w:r>
        <w:rPr>
          <w:rFonts w:hint="eastAsia" w:ascii="宋体" w:hAnsi="宋体" w:eastAsia="宋体"/>
          <w:szCs w:val="21"/>
        </w:rPr>
        <w:t>锚固器具和张拉设备应遵守GB/T14370-2015，以及GB50204-2015第6.2.6~6.2.8条的有关规定。</w:t>
      </w:r>
    </w:p>
    <w:p w14:paraId="28A62F5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8.7.3预应力筋制作和安装</w:t>
      </w:r>
    </w:p>
    <w:p w14:paraId="519EDE8C">
      <w:pPr>
        <w:snapToGrid w:val="0"/>
        <w:spacing w:line="300" w:lineRule="auto"/>
        <w:ind w:firstLine="420" w:firstLineChars="200"/>
        <w:rPr>
          <w:rFonts w:ascii="宋体" w:hAnsi="宋体" w:eastAsia="宋体"/>
          <w:szCs w:val="21"/>
        </w:rPr>
      </w:pPr>
      <w:r>
        <w:rPr>
          <w:rFonts w:hint="eastAsia" w:ascii="宋体" w:hAnsi="宋体" w:eastAsia="宋体"/>
          <w:szCs w:val="21"/>
        </w:rPr>
        <w:t>预应力筋的制作和安装应遵守GB50204-2015第6.3节的有关规定。</w:t>
      </w:r>
    </w:p>
    <w:p w14:paraId="63756B5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8.7.4预应力混凝土浇筑和养护</w:t>
      </w:r>
    </w:p>
    <w:p w14:paraId="492CA45A">
      <w:pPr>
        <w:snapToGrid w:val="0"/>
        <w:spacing w:line="300" w:lineRule="auto"/>
        <w:ind w:firstLine="420" w:firstLineChars="200"/>
        <w:rPr>
          <w:rFonts w:ascii="宋体" w:hAnsi="宋体" w:eastAsia="宋体"/>
          <w:szCs w:val="21"/>
        </w:rPr>
      </w:pPr>
      <w:r>
        <w:rPr>
          <w:rFonts w:hint="eastAsia" w:ascii="宋体" w:hAnsi="宋体" w:eastAsia="宋体"/>
          <w:szCs w:val="21"/>
        </w:rPr>
        <w:t>(1)预应力混凝土浇筑构件内的钢筋绑扎及套管等各类预埋件的埋设和固定就位完毕，并经监理人检验合格后，方能进行预应力构件的混凝土浇筑。</w:t>
      </w:r>
    </w:p>
    <w:p w14:paraId="11230B42">
      <w:pPr>
        <w:snapToGrid w:val="0"/>
        <w:spacing w:line="300" w:lineRule="auto"/>
        <w:ind w:firstLine="420" w:firstLineChars="200"/>
        <w:rPr>
          <w:rFonts w:ascii="宋体" w:hAnsi="宋体" w:eastAsia="宋体"/>
          <w:szCs w:val="21"/>
        </w:rPr>
      </w:pPr>
      <w:r>
        <w:rPr>
          <w:rFonts w:hint="eastAsia" w:ascii="宋体" w:hAnsi="宋体" w:eastAsia="宋体"/>
          <w:szCs w:val="21"/>
        </w:rPr>
        <w:t>(2)预应力混凝土浇筑应连续进行，不允许产生混凝土冷缝；混凝土振捣时，避免碰撞预应力钢束管道和预埋件，并应经常检查模板、管道、锚固件及埋设件有无缺失和损坏。</w:t>
      </w:r>
    </w:p>
    <w:p w14:paraId="6332C4C9">
      <w:pPr>
        <w:snapToGrid w:val="0"/>
        <w:spacing w:line="300" w:lineRule="auto"/>
        <w:ind w:firstLine="420" w:firstLineChars="200"/>
        <w:rPr>
          <w:rFonts w:ascii="宋体" w:hAnsi="宋体" w:eastAsia="宋体"/>
          <w:szCs w:val="21"/>
        </w:rPr>
      </w:pPr>
      <w:r>
        <w:rPr>
          <w:rFonts w:hint="eastAsia" w:ascii="宋体" w:hAnsi="宋体" w:eastAsia="宋体"/>
          <w:szCs w:val="21"/>
        </w:rPr>
        <w:t>(3)预应力混凝土的养护应按普通混凝土的有关规定进行。</w:t>
      </w:r>
    </w:p>
    <w:p w14:paraId="3A99781C">
      <w:pPr>
        <w:snapToGrid w:val="0"/>
        <w:spacing w:line="300" w:lineRule="auto"/>
        <w:ind w:firstLine="420" w:firstLineChars="200"/>
        <w:rPr>
          <w:rFonts w:ascii="宋体" w:hAnsi="宋体" w:eastAsia="宋体"/>
          <w:szCs w:val="21"/>
        </w:rPr>
      </w:pPr>
      <w:r>
        <w:rPr>
          <w:rFonts w:hint="eastAsia" w:ascii="宋体" w:hAnsi="宋体" w:eastAsia="宋体"/>
          <w:szCs w:val="21"/>
        </w:rPr>
        <w:t>(4)混凝土强度尚未达到15~20MPa时，不得拆除模板。</w:t>
      </w:r>
    </w:p>
    <w:p w14:paraId="63A8EF1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8.7.5预应力张拉</w:t>
      </w:r>
    </w:p>
    <w:p w14:paraId="67EE8B8D">
      <w:pPr>
        <w:snapToGrid w:val="0"/>
        <w:spacing w:line="300" w:lineRule="auto"/>
        <w:ind w:firstLine="420" w:firstLineChars="200"/>
        <w:rPr>
          <w:rFonts w:ascii="宋体" w:hAnsi="宋体" w:eastAsia="宋体"/>
          <w:szCs w:val="21"/>
        </w:rPr>
      </w:pPr>
      <w:r>
        <w:rPr>
          <w:rFonts w:hint="eastAsia" w:ascii="宋体" w:hAnsi="宋体" w:eastAsia="宋体"/>
          <w:szCs w:val="21"/>
        </w:rPr>
        <w:t>预应力张拉应符合GB50204-2015第6.4节的有关规定。</w:t>
      </w:r>
    </w:p>
    <w:p w14:paraId="3DF9F0B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8.7.6灌浆及封锚</w:t>
      </w:r>
    </w:p>
    <w:p w14:paraId="155137E6">
      <w:pPr>
        <w:snapToGrid w:val="0"/>
        <w:spacing w:line="300" w:lineRule="auto"/>
        <w:ind w:firstLine="420" w:firstLineChars="200"/>
        <w:rPr>
          <w:rFonts w:ascii="宋体" w:hAnsi="宋体" w:eastAsia="宋体"/>
          <w:szCs w:val="21"/>
        </w:rPr>
      </w:pPr>
      <w:r>
        <w:rPr>
          <w:rFonts w:hint="eastAsia" w:ascii="宋体" w:hAnsi="宋体" w:eastAsia="宋体"/>
          <w:szCs w:val="21"/>
        </w:rPr>
        <w:t>灌浆及封锚应符合GB50204-2015第6.5节的有关规定。</w:t>
      </w:r>
    </w:p>
    <w:p w14:paraId="64F9777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8.7.7运输和安装</w:t>
      </w:r>
    </w:p>
    <w:p w14:paraId="62C00F1D">
      <w:pPr>
        <w:snapToGrid w:val="0"/>
        <w:spacing w:line="300" w:lineRule="auto"/>
        <w:ind w:firstLine="420" w:firstLineChars="200"/>
        <w:rPr>
          <w:rFonts w:ascii="宋体" w:hAnsi="宋体" w:eastAsia="宋体"/>
          <w:szCs w:val="21"/>
        </w:rPr>
      </w:pPr>
      <w:r>
        <w:rPr>
          <w:rFonts w:hint="eastAsia" w:ascii="宋体" w:hAnsi="宋体" w:eastAsia="宋体"/>
          <w:szCs w:val="21"/>
        </w:rPr>
        <w:t>预应力混凝土预制件的运输、堆放、吊运和安装应按本章第8.6.4条的规定进行。</w:t>
      </w:r>
    </w:p>
    <w:p w14:paraId="3004C42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8.7.8质量检查和验收</w:t>
      </w:r>
    </w:p>
    <w:p w14:paraId="15DEF71E">
      <w:pPr>
        <w:snapToGrid w:val="0"/>
        <w:spacing w:line="300" w:lineRule="auto"/>
        <w:ind w:firstLine="420" w:firstLineChars="200"/>
        <w:rPr>
          <w:rFonts w:ascii="宋体" w:hAnsi="宋体" w:eastAsia="宋体"/>
          <w:szCs w:val="21"/>
        </w:rPr>
      </w:pPr>
      <w:r>
        <w:rPr>
          <w:rFonts w:hint="eastAsia" w:ascii="宋体" w:hAnsi="宋体" w:eastAsia="宋体"/>
          <w:szCs w:val="21"/>
        </w:rPr>
        <w:t>承包人应会同监理人对预应力混凝土进行以下项目的检查和验收：</w:t>
      </w:r>
    </w:p>
    <w:p w14:paraId="63216A93">
      <w:pPr>
        <w:snapToGrid w:val="0"/>
        <w:spacing w:line="300" w:lineRule="auto"/>
        <w:ind w:firstLine="420" w:firstLineChars="200"/>
        <w:rPr>
          <w:rFonts w:ascii="宋体" w:hAnsi="宋体" w:eastAsia="宋体"/>
          <w:szCs w:val="21"/>
        </w:rPr>
      </w:pPr>
      <w:r>
        <w:rPr>
          <w:rFonts w:hint="eastAsia" w:ascii="宋体" w:hAnsi="宋体" w:eastAsia="宋体"/>
          <w:szCs w:val="21"/>
        </w:rPr>
        <w:t>(1)预应力混凝土的各项原材料应按本章第8.2.1条的规定进行质量检查和验收。</w:t>
      </w:r>
    </w:p>
    <w:p w14:paraId="2F9BDCEC">
      <w:pPr>
        <w:snapToGrid w:val="0"/>
        <w:spacing w:line="300" w:lineRule="auto"/>
        <w:ind w:firstLine="420" w:firstLineChars="200"/>
        <w:rPr>
          <w:rFonts w:ascii="宋体" w:hAnsi="宋体" w:eastAsia="宋体"/>
          <w:szCs w:val="21"/>
        </w:rPr>
      </w:pPr>
      <w:r>
        <w:rPr>
          <w:rFonts w:hint="eastAsia" w:ascii="宋体" w:hAnsi="宋体" w:eastAsia="宋体"/>
          <w:szCs w:val="21"/>
        </w:rPr>
        <w:t>(2)预应力混凝土结构和构件的制作安装质量应按以下要求进行检查和验收：</w:t>
      </w:r>
    </w:p>
    <w:p w14:paraId="4CB8A2FA">
      <w:pPr>
        <w:snapToGrid w:val="0"/>
        <w:spacing w:line="300" w:lineRule="auto"/>
        <w:ind w:firstLine="420" w:firstLineChars="200"/>
        <w:rPr>
          <w:rFonts w:ascii="宋体" w:hAnsi="宋体" w:eastAsia="宋体"/>
          <w:szCs w:val="21"/>
        </w:rPr>
      </w:pPr>
      <w:r>
        <w:rPr>
          <w:rFonts w:hint="eastAsia" w:ascii="宋体" w:hAnsi="宋体" w:eastAsia="宋体"/>
          <w:szCs w:val="21"/>
        </w:rPr>
        <w:t>1)预应力混凝土浇筑过程的取样试验按本章第8.2.4条有关规定执行；</w:t>
      </w:r>
    </w:p>
    <w:p w14:paraId="15DC8259">
      <w:pPr>
        <w:snapToGrid w:val="0"/>
        <w:spacing w:line="300" w:lineRule="auto"/>
        <w:ind w:firstLine="420" w:firstLineChars="200"/>
        <w:rPr>
          <w:rFonts w:ascii="宋体" w:hAnsi="宋体" w:eastAsia="宋体"/>
          <w:szCs w:val="21"/>
        </w:rPr>
      </w:pPr>
      <w:r>
        <w:rPr>
          <w:rFonts w:hint="eastAsia" w:ascii="宋体" w:hAnsi="宋体" w:eastAsia="宋体"/>
          <w:szCs w:val="21"/>
        </w:rPr>
        <w:t>2)预应力混凝土构件制作尺寸的允许偏差应遵守GB50204-2015的有关规定；</w:t>
      </w:r>
    </w:p>
    <w:p w14:paraId="418D4D21">
      <w:pPr>
        <w:snapToGrid w:val="0"/>
        <w:spacing w:line="300" w:lineRule="auto"/>
        <w:ind w:firstLine="420" w:firstLineChars="200"/>
        <w:rPr>
          <w:rFonts w:ascii="宋体" w:hAnsi="宋体" w:eastAsia="宋体"/>
          <w:szCs w:val="21"/>
        </w:rPr>
      </w:pPr>
      <w:r>
        <w:rPr>
          <w:rFonts w:hint="eastAsia" w:ascii="宋体" w:hAnsi="宋体" w:eastAsia="宋体"/>
          <w:szCs w:val="21"/>
        </w:rPr>
        <w:t>3)预应力构件安装的定位放样应按施工图纸的要求进行检查和验收；</w:t>
      </w:r>
    </w:p>
    <w:p w14:paraId="77DD2D0E">
      <w:pPr>
        <w:snapToGrid w:val="0"/>
        <w:spacing w:line="300" w:lineRule="auto"/>
        <w:ind w:firstLine="420" w:firstLineChars="200"/>
        <w:rPr>
          <w:rFonts w:ascii="宋体" w:hAnsi="宋体" w:eastAsia="宋体"/>
          <w:szCs w:val="21"/>
        </w:rPr>
      </w:pPr>
      <w:r>
        <w:rPr>
          <w:rFonts w:hint="eastAsia" w:ascii="宋体" w:hAnsi="宋体" w:eastAsia="宋体"/>
          <w:szCs w:val="21"/>
        </w:rPr>
        <w:t>4)预应力的应力延伸率的预应力损失值应按施工图纸的要求进行检查和验收。</w:t>
      </w:r>
    </w:p>
    <w:p w14:paraId="01C8B537">
      <w:pPr>
        <w:adjustRightInd w:val="0"/>
        <w:snapToGrid w:val="0"/>
        <w:spacing w:before="134" w:beforeLines="25" w:line="300" w:lineRule="auto"/>
        <w:outlineLvl w:val="1"/>
        <w:rPr>
          <w:rFonts w:ascii="宋体" w:hAnsi="宋体" w:eastAsia="宋体"/>
          <w:b/>
          <w:bCs/>
          <w:sz w:val="24"/>
          <w:szCs w:val="24"/>
        </w:rPr>
      </w:pPr>
      <w:bookmarkStart w:id="1575" w:name="第14章08"/>
      <w:bookmarkEnd w:id="1575"/>
      <w:r>
        <w:rPr>
          <w:rFonts w:hint="eastAsia" w:ascii="宋体" w:hAnsi="宋体" w:eastAsia="宋体"/>
          <w:b/>
          <w:bCs/>
          <w:sz w:val="24"/>
          <w:szCs w:val="24"/>
        </w:rPr>
        <w:t>8.8水下混凝土</w:t>
      </w:r>
    </w:p>
    <w:p w14:paraId="7E71C3A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8.8.1材料</w:t>
      </w:r>
    </w:p>
    <w:p w14:paraId="789EB384">
      <w:pPr>
        <w:snapToGrid w:val="0"/>
        <w:spacing w:line="300" w:lineRule="auto"/>
        <w:ind w:firstLine="420" w:firstLineChars="200"/>
        <w:rPr>
          <w:rFonts w:ascii="宋体" w:hAnsi="宋体" w:eastAsia="宋体"/>
          <w:szCs w:val="21"/>
        </w:rPr>
      </w:pPr>
      <w:r>
        <w:rPr>
          <w:rFonts w:hint="eastAsia" w:ascii="宋体" w:hAnsi="宋体" w:eastAsia="宋体"/>
          <w:szCs w:val="21"/>
        </w:rPr>
        <w:t>水下混凝土采用的水泥、骨料和外加剂，其品质应符合本章第8.2.1条、第8.4.1条的规定，并应按监理人的指示执行。</w:t>
      </w:r>
    </w:p>
    <w:p w14:paraId="17628E2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8.8.2水下地形测量</w:t>
      </w:r>
    </w:p>
    <w:p w14:paraId="6AB7125B">
      <w:pPr>
        <w:snapToGrid w:val="0"/>
        <w:spacing w:line="300" w:lineRule="auto"/>
        <w:ind w:firstLine="420" w:firstLineChars="200"/>
        <w:rPr>
          <w:rFonts w:ascii="宋体" w:hAnsi="宋体" w:eastAsia="宋体"/>
          <w:szCs w:val="21"/>
        </w:rPr>
      </w:pPr>
      <w:r>
        <w:rPr>
          <w:rFonts w:hint="eastAsia" w:ascii="宋体" w:hAnsi="宋体" w:eastAsia="宋体"/>
          <w:szCs w:val="21"/>
        </w:rPr>
        <w:t>承包人应会同监理人在本工程的水下混凝土浇筑前　　天，按本合同施工图纸规定的施测范围，测绘水下混凝土工程的水下地形图及其有关的测绘资料，提交监理人批准。</w:t>
      </w:r>
    </w:p>
    <w:p w14:paraId="5985F1B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8.8.3水下混凝土施工</w:t>
      </w:r>
    </w:p>
    <w:p w14:paraId="6EC6581C">
      <w:pPr>
        <w:snapToGrid w:val="0"/>
        <w:spacing w:line="300" w:lineRule="auto"/>
        <w:ind w:firstLine="420" w:firstLineChars="200"/>
        <w:rPr>
          <w:rFonts w:ascii="宋体" w:hAnsi="宋体" w:eastAsia="宋体"/>
          <w:szCs w:val="21"/>
        </w:rPr>
      </w:pPr>
      <w:r>
        <w:rPr>
          <w:rFonts w:hint="eastAsia" w:ascii="宋体" w:hAnsi="宋体" w:eastAsia="宋体"/>
          <w:szCs w:val="21"/>
        </w:rPr>
        <w:t>(1)水下混凝土采用直升导管法施工，应遵守下列规定：</w:t>
      </w:r>
    </w:p>
    <w:p w14:paraId="062E90F2">
      <w:pPr>
        <w:snapToGrid w:val="0"/>
        <w:spacing w:line="300" w:lineRule="auto"/>
        <w:ind w:firstLine="420" w:firstLineChars="200"/>
        <w:rPr>
          <w:rFonts w:ascii="宋体" w:hAnsi="宋体" w:eastAsia="宋体"/>
          <w:szCs w:val="21"/>
        </w:rPr>
      </w:pPr>
      <w:r>
        <w:rPr>
          <w:rFonts w:hint="eastAsia" w:ascii="宋体" w:hAnsi="宋体" w:eastAsia="宋体"/>
          <w:szCs w:val="21"/>
        </w:rPr>
        <w:t>1)导管的数量与位置应根据施工图纸规定的浇筑范围和导管的作用半径确定；</w:t>
      </w:r>
    </w:p>
    <w:p w14:paraId="685C60D6">
      <w:pPr>
        <w:snapToGrid w:val="0"/>
        <w:spacing w:line="300" w:lineRule="auto"/>
        <w:ind w:firstLine="420" w:firstLineChars="200"/>
        <w:rPr>
          <w:rFonts w:ascii="宋体" w:hAnsi="宋体" w:eastAsia="宋体"/>
          <w:szCs w:val="21"/>
        </w:rPr>
      </w:pPr>
      <w:r>
        <w:rPr>
          <w:rFonts w:hint="eastAsia" w:ascii="宋体" w:hAnsi="宋体" w:eastAsia="宋体"/>
          <w:szCs w:val="21"/>
        </w:rPr>
        <w:t>2)导管在使用前应进行密闭试验，密闭情况良好的导管才可投入使用；</w:t>
      </w:r>
    </w:p>
    <w:p w14:paraId="445CC46B">
      <w:pPr>
        <w:snapToGrid w:val="0"/>
        <w:spacing w:line="300" w:lineRule="auto"/>
        <w:ind w:firstLine="420" w:firstLineChars="200"/>
        <w:rPr>
          <w:rFonts w:ascii="宋体" w:hAnsi="宋体" w:eastAsia="宋体"/>
          <w:szCs w:val="21"/>
        </w:rPr>
      </w:pPr>
      <w:r>
        <w:rPr>
          <w:rFonts w:hint="eastAsia" w:ascii="宋体" w:hAnsi="宋体" w:eastAsia="宋体"/>
          <w:szCs w:val="21"/>
        </w:rPr>
        <w:t>3)在浇灌过程中，导管只能上下升降，不得左右移动；</w:t>
      </w:r>
    </w:p>
    <w:p w14:paraId="5A8C8BED">
      <w:pPr>
        <w:snapToGrid w:val="0"/>
        <w:spacing w:line="300" w:lineRule="auto"/>
        <w:ind w:firstLine="420" w:firstLineChars="200"/>
        <w:rPr>
          <w:rFonts w:ascii="宋体" w:hAnsi="宋体" w:eastAsia="宋体"/>
          <w:szCs w:val="21"/>
        </w:rPr>
      </w:pPr>
      <w:r>
        <w:rPr>
          <w:rFonts w:hint="eastAsia" w:ascii="宋体" w:hAnsi="宋体" w:eastAsia="宋体"/>
          <w:szCs w:val="21"/>
        </w:rPr>
        <w:t>4)开始浇灌时，导管底部应离水下地基面30cm，并尽量安置在地基低洼处。</w:t>
      </w:r>
    </w:p>
    <w:p w14:paraId="657086A1">
      <w:pPr>
        <w:snapToGrid w:val="0"/>
        <w:spacing w:line="300" w:lineRule="auto"/>
        <w:ind w:firstLine="420" w:firstLineChars="200"/>
        <w:rPr>
          <w:rFonts w:ascii="宋体" w:hAnsi="宋体" w:eastAsia="宋体"/>
          <w:szCs w:val="21"/>
        </w:rPr>
      </w:pPr>
      <w:r>
        <w:rPr>
          <w:rFonts w:hint="eastAsia" w:ascii="宋体" w:hAnsi="宋体" w:eastAsia="宋体"/>
          <w:szCs w:val="21"/>
        </w:rPr>
        <w:t>(2)混凝土粗骨料的最大粒径不得大于导管内径的1/4，或钢筋净间距的1/4，亦不应超过60cm。坍落度应取25至40cm之间，开始坍落度取小值，结束时酌量放大，以保证后注入的混凝土能自动摊平。</w:t>
      </w:r>
    </w:p>
    <w:p w14:paraId="0DDB8662">
      <w:pPr>
        <w:snapToGrid w:val="0"/>
        <w:spacing w:line="300" w:lineRule="auto"/>
        <w:ind w:firstLine="420" w:firstLineChars="200"/>
        <w:rPr>
          <w:rFonts w:ascii="宋体" w:hAnsi="宋体" w:eastAsia="宋体"/>
          <w:szCs w:val="21"/>
        </w:rPr>
      </w:pPr>
      <w:r>
        <w:rPr>
          <w:rFonts w:hint="eastAsia" w:ascii="宋体" w:hAnsi="宋体" w:eastAsia="宋体"/>
          <w:szCs w:val="21"/>
        </w:rPr>
        <w:t>(3)水下混凝土应连续浇灌，若混凝土的供应因故暂时中断，应设法防止管内出空。若中断时间较长，则必须等待已浇灌混凝土的强度达到2.5MPa时，并清除混凝土表面软弱部分后，才允许继续灌注混凝土。</w:t>
      </w:r>
    </w:p>
    <w:p w14:paraId="09623889">
      <w:pPr>
        <w:snapToGrid w:val="0"/>
        <w:spacing w:line="300" w:lineRule="auto"/>
        <w:ind w:firstLine="420" w:firstLineChars="200"/>
        <w:rPr>
          <w:rFonts w:ascii="宋体" w:hAnsi="宋体" w:eastAsia="宋体"/>
          <w:szCs w:val="21"/>
        </w:rPr>
      </w:pPr>
      <w:r>
        <w:rPr>
          <w:rFonts w:hint="eastAsia" w:ascii="宋体" w:hAnsi="宋体" w:eastAsia="宋体"/>
          <w:szCs w:val="21"/>
        </w:rPr>
        <w:t>(4)灌注混凝土表面应高于设计标高约10cm，以便清除其强度低的表层混凝土。</w:t>
      </w:r>
    </w:p>
    <w:p w14:paraId="180CE87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8.8.4质量检查和验收</w:t>
      </w:r>
    </w:p>
    <w:p w14:paraId="16364B3A">
      <w:pPr>
        <w:snapToGrid w:val="0"/>
        <w:spacing w:line="300" w:lineRule="auto"/>
        <w:ind w:firstLine="420" w:firstLineChars="200"/>
        <w:rPr>
          <w:rFonts w:ascii="宋体" w:hAnsi="宋体" w:eastAsia="宋体"/>
          <w:szCs w:val="21"/>
        </w:rPr>
      </w:pPr>
      <w:r>
        <w:rPr>
          <w:rFonts w:hint="eastAsia" w:ascii="宋体" w:hAnsi="宋体" w:eastAsia="宋体"/>
          <w:szCs w:val="21"/>
        </w:rPr>
        <w:t>水下混凝土浇灌质量的检查和验收：</w:t>
      </w:r>
    </w:p>
    <w:p w14:paraId="56C0EB6A">
      <w:pPr>
        <w:snapToGrid w:val="0"/>
        <w:spacing w:line="300" w:lineRule="auto"/>
        <w:ind w:firstLine="420" w:firstLineChars="200"/>
        <w:rPr>
          <w:rFonts w:ascii="宋体" w:hAnsi="宋体" w:eastAsia="宋体"/>
          <w:szCs w:val="21"/>
        </w:rPr>
      </w:pPr>
      <w:r>
        <w:rPr>
          <w:rFonts w:hint="eastAsia" w:ascii="宋体" w:hAnsi="宋体" w:eastAsia="宋体"/>
          <w:szCs w:val="21"/>
        </w:rPr>
        <w:t>(1)按本章第8.8.1条的要求进行水下混凝土原材料的质量检查和验收；</w:t>
      </w:r>
    </w:p>
    <w:p w14:paraId="219D95C5">
      <w:pPr>
        <w:snapToGrid w:val="0"/>
        <w:spacing w:line="300" w:lineRule="auto"/>
        <w:ind w:firstLine="420" w:firstLineChars="200"/>
        <w:rPr>
          <w:rFonts w:ascii="宋体" w:hAnsi="宋体" w:eastAsia="宋体"/>
          <w:szCs w:val="21"/>
        </w:rPr>
      </w:pPr>
      <w:r>
        <w:rPr>
          <w:rFonts w:hint="eastAsia" w:ascii="宋体" w:hAnsi="宋体" w:eastAsia="宋体"/>
          <w:szCs w:val="21"/>
        </w:rPr>
        <w:t>(2)监理人应按本章第8.8.2条的规定进行水下地形测量成果的检查和验收；</w:t>
      </w:r>
    </w:p>
    <w:p w14:paraId="534DB0BE">
      <w:pPr>
        <w:snapToGrid w:val="0"/>
        <w:spacing w:line="300" w:lineRule="auto"/>
        <w:ind w:firstLine="420" w:firstLineChars="200"/>
        <w:rPr>
          <w:rFonts w:ascii="宋体" w:hAnsi="宋体" w:eastAsia="宋体"/>
          <w:szCs w:val="21"/>
        </w:rPr>
      </w:pPr>
      <w:r>
        <w:rPr>
          <w:rFonts w:hint="eastAsia" w:ascii="宋体" w:hAnsi="宋体" w:eastAsia="宋体"/>
          <w:szCs w:val="21"/>
        </w:rPr>
        <w:t>(3)水下混凝土浇灌后，应钻取芯样进行混凝土强度的检验和验收。</w:t>
      </w:r>
    </w:p>
    <w:p w14:paraId="1FD22519">
      <w:pPr>
        <w:adjustRightInd w:val="0"/>
        <w:snapToGrid w:val="0"/>
        <w:spacing w:before="134" w:beforeLines="25" w:line="300" w:lineRule="auto"/>
        <w:outlineLvl w:val="1"/>
        <w:rPr>
          <w:rFonts w:ascii="宋体" w:hAnsi="宋体" w:eastAsia="宋体"/>
          <w:b/>
          <w:bCs/>
          <w:sz w:val="24"/>
          <w:szCs w:val="24"/>
        </w:rPr>
      </w:pPr>
      <w:bookmarkStart w:id="1576" w:name="第14章09"/>
      <w:bookmarkEnd w:id="1576"/>
      <w:bookmarkStart w:id="1577" w:name="第14章10"/>
      <w:bookmarkEnd w:id="1577"/>
      <w:r>
        <w:rPr>
          <w:rFonts w:hint="eastAsia" w:ascii="宋体" w:hAnsi="宋体" w:eastAsia="宋体"/>
          <w:b/>
          <w:bCs/>
          <w:sz w:val="24"/>
          <w:szCs w:val="24"/>
        </w:rPr>
        <w:t>8.9泵送混凝土</w:t>
      </w:r>
    </w:p>
    <w:p w14:paraId="074D198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8.9.1一般要求</w:t>
      </w:r>
    </w:p>
    <w:p w14:paraId="6A8410A9">
      <w:pPr>
        <w:snapToGrid w:val="0"/>
        <w:spacing w:line="300" w:lineRule="auto"/>
        <w:ind w:firstLine="420" w:firstLineChars="200"/>
        <w:rPr>
          <w:rFonts w:ascii="宋体" w:hAnsi="宋体" w:eastAsia="宋体"/>
          <w:szCs w:val="21"/>
        </w:rPr>
      </w:pPr>
      <w:r>
        <w:rPr>
          <w:rFonts w:hint="eastAsia" w:ascii="宋体" w:hAnsi="宋体" w:eastAsia="宋体"/>
          <w:szCs w:val="21"/>
        </w:rPr>
        <w:t>(1)泵送混凝土施工前，应将模板、钢筋等各项前工序验收合格后方可进行。</w:t>
      </w:r>
    </w:p>
    <w:p w14:paraId="48C9F671">
      <w:pPr>
        <w:snapToGrid w:val="0"/>
        <w:spacing w:line="300" w:lineRule="auto"/>
        <w:ind w:firstLine="420" w:firstLineChars="200"/>
        <w:rPr>
          <w:rFonts w:ascii="宋体" w:hAnsi="宋体" w:eastAsia="宋体"/>
          <w:szCs w:val="21"/>
        </w:rPr>
      </w:pPr>
      <w:r>
        <w:rPr>
          <w:rFonts w:hint="eastAsia" w:ascii="宋体" w:hAnsi="宋体" w:eastAsia="宋体"/>
          <w:szCs w:val="21"/>
        </w:rPr>
        <w:t>(2)泵送混凝土施工的供应遵守</w:t>
      </w:r>
      <w:bookmarkStart w:id="1578" w:name="_Hlt268518715"/>
      <w:bookmarkEnd w:id="1578"/>
      <w:r>
        <w:rPr>
          <w:rFonts w:hint="eastAsia" w:ascii="宋体" w:hAnsi="宋体" w:eastAsia="宋体"/>
          <w:szCs w:val="21"/>
        </w:rPr>
        <w:t>JGJ/T10-1995第4章的规定施工设备及管道的选择与布置应遵守JGJ/T10-1995第5章的规定；混凝土的泵送与浇筑应遵守JGJ/T10-1995第6章的规定；混凝土泵送施工的质量控制应遵守JGJ/T10-1995第7章的有关规定。</w:t>
      </w:r>
    </w:p>
    <w:p w14:paraId="59C2A784">
      <w:pPr>
        <w:snapToGrid w:val="0"/>
        <w:spacing w:line="300" w:lineRule="auto"/>
        <w:ind w:firstLine="420" w:firstLineChars="200"/>
        <w:rPr>
          <w:rFonts w:ascii="宋体" w:hAnsi="宋体" w:eastAsia="宋体"/>
          <w:szCs w:val="21"/>
        </w:rPr>
      </w:pPr>
      <w:r>
        <w:rPr>
          <w:rFonts w:hint="eastAsia" w:ascii="宋体" w:hAnsi="宋体" w:eastAsia="宋体"/>
          <w:szCs w:val="21"/>
        </w:rPr>
        <w:t>(3)泵送混凝土施工时的安全技术和劳动保护等要求必须符合国家有关规定。</w:t>
      </w:r>
    </w:p>
    <w:p w14:paraId="024E44D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8.9.2泵送混凝土施工配合比</w:t>
      </w:r>
    </w:p>
    <w:p w14:paraId="28FE5556">
      <w:pPr>
        <w:snapToGrid w:val="0"/>
        <w:spacing w:line="300" w:lineRule="auto"/>
        <w:ind w:firstLine="420" w:firstLineChars="200"/>
        <w:rPr>
          <w:rFonts w:ascii="宋体" w:hAnsi="宋体" w:eastAsia="宋体"/>
          <w:szCs w:val="21"/>
        </w:rPr>
      </w:pPr>
      <w:r>
        <w:rPr>
          <w:rFonts w:hint="eastAsia" w:ascii="宋体" w:hAnsi="宋体" w:eastAsia="宋体"/>
          <w:szCs w:val="21"/>
        </w:rPr>
        <w:t>(1)泵送混凝土的施工配合比，应符合《普通混凝土配合比设计规程》(JGJ55-2000)、《混凝土结构工程施工质量验收规范》(GB50204-2015)和《混凝土强度检验评定标准》(GBJ107-87)的要求。</w:t>
      </w:r>
    </w:p>
    <w:p w14:paraId="1BBC2BB0">
      <w:pPr>
        <w:snapToGrid w:val="0"/>
        <w:spacing w:line="300" w:lineRule="auto"/>
        <w:ind w:firstLine="420" w:firstLineChars="200"/>
        <w:rPr>
          <w:rFonts w:ascii="宋体" w:hAnsi="宋体" w:eastAsia="宋体"/>
          <w:szCs w:val="21"/>
        </w:rPr>
      </w:pPr>
      <w:r>
        <w:rPr>
          <w:rFonts w:hint="eastAsia" w:ascii="宋体" w:hAnsi="宋体" w:eastAsia="宋体"/>
          <w:szCs w:val="21"/>
        </w:rPr>
        <w:t>(2)泵送混凝土施工的可泵性，可用压力泌水试验结合施工经验进行控制，一般10s时的相对压力泌水率S10不宜超过40%。</w:t>
      </w:r>
    </w:p>
    <w:p w14:paraId="65C04743">
      <w:pPr>
        <w:snapToGrid w:val="0"/>
        <w:spacing w:line="300" w:lineRule="auto"/>
        <w:ind w:firstLine="420" w:firstLineChars="200"/>
        <w:rPr>
          <w:rFonts w:ascii="宋体" w:hAnsi="宋体" w:eastAsia="宋体"/>
          <w:szCs w:val="21"/>
        </w:rPr>
      </w:pPr>
      <w:r>
        <w:rPr>
          <w:rFonts w:hint="eastAsia" w:ascii="宋体" w:hAnsi="宋体" w:eastAsia="宋体"/>
          <w:szCs w:val="21"/>
        </w:rPr>
        <w:t>(3)泵送混凝土的施工参数可参照《混凝土结构工程施工质量验收规范》(GB50204-2015)的规定选用。</w:t>
      </w:r>
    </w:p>
    <w:p w14:paraId="1979B701">
      <w:pPr>
        <w:adjustRightInd w:val="0"/>
        <w:snapToGrid w:val="0"/>
        <w:spacing w:before="134" w:beforeLines="25" w:line="300" w:lineRule="auto"/>
        <w:outlineLvl w:val="1"/>
        <w:rPr>
          <w:rFonts w:ascii="宋体" w:hAnsi="宋体" w:eastAsia="宋体"/>
          <w:b/>
          <w:bCs/>
          <w:sz w:val="24"/>
          <w:szCs w:val="24"/>
        </w:rPr>
      </w:pPr>
      <w:bookmarkStart w:id="1579" w:name="第14章11"/>
      <w:bookmarkEnd w:id="1579"/>
      <w:r>
        <w:rPr>
          <w:rFonts w:hint="eastAsia" w:ascii="宋体" w:hAnsi="宋体" w:eastAsia="宋体"/>
          <w:b/>
          <w:bCs/>
          <w:sz w:val="24"/>
          <w:szCs w:val="24"/>
        </w:rPr>
        <w:t>8.10计量和支付</w:t>
      </w:r>
    </w:p>
    <w:p w14:paraId="6F9A0D0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8.10.1模扳</w:t>
      </w:r>
    </w:p>
    <w:p w14:paraId="6A797706">
      <w:pPr>
        <w:snapToGrid w:val="0"/>
        <w:spacing w:line="300" w:lineRule="auto"/>
        <w:ind w:firstLine="420" w:firstLineChars="200"/>
        <w:rPr>
          <w:rFonts w:ascii="宋体" w:hAnsi="宋体" w:eastAsia="宋体"/>
          <w:szCs w:val="21"/>
        </w:rPr>
      </w:pPr>
      <w:r>
        <w:rPr>
          <w:rFonts w:hint="eastAsia" w:ascii="宋体" w:hAnsi="宋体" w:eastAsia="宋体"/>
          <w:szCs w:val="21"/>
        </w:rPr>
        <w:t>(1)除合同另有约定外，现浇混凝土的模板费用，按施工图纸所示尺寸计算的有效面积以平方米为单位计量，由发包人按《工程量清单》相应项目有效工程量的每平方米工程单价支付。</w:t>
      </w:r>
    </w:p>
    <w:p w14:paraId="7A6BCBAE">
      <w:pPr>
        <w:snapToGrid w:val="0"/>
        <w:spacing w:line="300" w:lineRule="auto"/>
        <w:ind w:firstLine="420" w:firstLineChars="200"/>
        <w:rPr>
          <w:rFonts w:ascii="宋体" w:hAnsi="宋体" w:eastAsia="宋体"/>
          <w:szCs w:val="21"/>
        </w:rPr>
      </w:pPr>
      <w:r>
        <w:rPr>
          <w:rFonts w:hint="eastAsia" w:ascii="宋体" w:hAnsi="宋体" w:eastAsia="宋体"/>
          <w:szCs w:val="21"/>
        </w:rPr>
        <w:t>(2)混凝土预制构件模板所需费用，包含在《工程量清单》相应预制混凝土构件项目有效工程量的工程单价中，发包人不另行支付。</w:t>
      </w:r>
    </w:p>
    <w:p w14:paraId="02CDE7F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8.10.2钢筋</w:t>
      </w:r>
    </w:p>
    <w:p w14:paraId="307B0B38">
      <w:pPr>
        <w:snapToGrid w:val="0"/>
        <w:spacing w:line="300" w:lineRule="auto"/>
        <w:ind w:firstLine="420" w:firstLineChars="200"/>
        <w:rPr>
          <w:rFonts w:ascii="宋体" w:hAnsi="宋体" w:eastAsia="宋体"/>
          <w:szCs w:val="21"/>
        </w:rPr>
      </w:pPr>
      <w:r>
        <w:rPr>
          <w:rFonts w:hint="eastAsia" w:ascii="宋体" w:hAnsi="宋体" w:eastAsia="宋体"/>
          <w:szCs w:val="21"/>
        </w:rPr>
        <w:t>按施工图纸所示钢筋强度等级、直径和长度计算的有效重量以吨为单位计量，由发包人按《工程量清单》相应项目有效工程量的每吨工程单价支付。施工架立筋、搭接、套筒连接、加工及安装过程中操作损耗等所需费用，均包含在《工程量清单》相应项目有效工程量的每吨工程单价中，发包人不另行支付。</w:t>
      </w:r>
    </w:p>
    <w:p w14:paraId="71BA3F0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8.10.3普通混凝土</w:t>
      </w:r>
    </w:p>
    <w:p w14:paraId="3E78D8B1">
      <w:pPr>
        <w:snapToGrid w:val="0"/>
        <w:spacing w:line="300" w:lineRule="auto"/>
        <w:ind w:firstLine="420" w:firstLineChars="200"/>
        <w:rPr>
          <w:rFonts w:ascii="宋体" w:hAnsi="宋体" w:eastAsia="宋体"/>
          <w:szCs w:val="21"/>
        </w:rPr>
      </w:pPr>
      <w:r>
        <w:rPr>
          <w:rFonts w:hint="eastAsia" w:ascii="宋体" w:hAnsi="宋体" w:eastAsia="宋体"/>
          <w:szCs w:val="21"/>
        </w:rPr>
        <w:t>(1)旧砼体拆除及弃碴外运按原状实际量测，以m3计量，分别按工程量清单中相应的单价进行支付。外运单价中包含：拆旧物的装、运7km，卸及掩埋至监理人指定的，经发包人同意的地点，掩埋拆旧物的覆盖土层厚度不少于50cm，并对堆放地进行整修等费用。堆放地整修要求坡面无杂草，无坑洼，平整，达到线直，面平。</w:t>
      </w:r>
    </w:p>
    <w:p w14:paraId="6CA78F04">
      <w:pPr>
        <w:snapToGrid w:val="0"/>
        <w:spacing w:line="300" w:lineRule="auto"/>
        <w:ind w:firstLine="420" w:firstLineChars="200"/>
        <w:rPr>
          <w:rFonts w:ascii="宋体" w:hAnsi="宋体" w:eastAsia="宋体"/>
          <w:szCs w:val="21"/>
        </w:rPr>
      </w:pPr>
      <w:r>
        <w:rPr>
          <w:rFonts w:hint="eastAsia" w:ascii="宋体" w:hAnsi="宋体" w:eastAsia="宋体"/>
          <w:szCs w:val="21"/>
        </w:rPr>
        <w:t>(2)普通混凝土按施工图纸所示尺寸计算的有效体积以立方米为单位计量，由发包人按《工程量清单》相应项目有效工程量的每立方米工程单价支付。</w:t>
      </w:r>
    </w:p>
    <w:p w14:paraId="18DE5396">
      <w:pPr>
        <w:snapToGrid w:val="0"/>
        <w:spacing w:line="300" w:lineRule="auto"/>
        <w:ind w:firstLine="420" w:firstLineChars="200"/>
        <w:rPr>
          <w:rFonts w:ascii="宋体" w:hAnsi="宋体" w:eastAsia="宋体"/>
          <w:szCs w:val="21"/>
        </w:rPr>
      </w:pPr>
      <w:r>
        <w:rPr>
          <w:rFonts w:hint="eastAsia" w:ascii="宋体" w:hAnsi="宋体" w:eastAsia="宋体"/>
          <w:szCs w:val="21"/>
        </w:rPr>
        <w:t>(3)混凝土有效工程量不扣除设计单体体积小于0.1m3的圆角或斜角，单体占用的空间体积小于0.1m3的钢筋和金属件，单体横截面积小于0.1m3的孔洞、排水管、预埋管和凹槽等所占的体积，按设计要求对上述孔洞回填的混凝土也不予计量。</w:t>
      </w:r>
    </w:p>
    <w:p w14:paraId="398652A8">
      <w:pPr>
        <w:snapToGrid w:val="0"/>
        <w:spacing w:line="300" w:lineRule="auto"/>
        <w:ind w:firstLine="420" w:firstLineChars="200"/>
        <w:rPr>
          <w:rFonts w:ascii="宋体" w:hAnsi="宋体" w:eastAsia="宋体"/>
          <w:szCs w:val="21"/>
        </w:rPr>
      </w:pPr>
      <w:r>
        <w:rPr>
          <w:rFonts w:hint="eastAsia" w:ascii="宋体" w:hAnsi="宋体" w:eastAsia="宋体"/>
          <w:szCs w:val="21"/>
        </w:rPr>
        <w:t>(4)不可预见地质原因超挖引起的超填工程量所发生的费用，由发包人按《工程量清单》相应项目或变更项目的每立方米工程单价支付。除此之外，同一承包人由于其他原因超挖引起的超填工程量和由此增加的其他工作所需的费用，均应包含在《工程量清单》相应项目有效工程量的每立方米工程单价中，发包人不另行支付。</w:t>
      </w:r>
    </w:p>
    <w:p w14:paraId="6DAE5B2D">
      <w:pPr>
        <w:snapToGrid w:val="0"/>
        <w:spacing w:line="300" w:lineRule="auto"/>
        <w:ind w:firstLine="420" w:firstLineChars="200"/>
        <w:rPr>
          <w:rFonts w:ascii="宋体" w:hAnsi="宋体" w:eastAsia="宋体"/>
          <w:szCs w:val="21"/>
        </w:rPr>
      </w:pPr>
      <w:r>
        <w:rPr>
          <w:rFonts w:hint="eastAsia" w:ascii="宋体" w:hAnsi="宋体" w:eastAsia="宋体"/>
          <w:szCs w:val="21"/>
        </w:rPr>
        <w:t>(5)混凝土在冲(凿)毛、拌和、运输和浇筑过程中的操作损耗，以及为临时性施工措施增加的附加混凝土量所需的费用，应包含在《工程量清单》相应项目有效工程量的每立方米工程单价中，发包人不另行支付。</w:t>
      </w:r>
    </w:p>
    <w:p w14:paraId="08A35652">
      <w:pPr>
        <w:snapToGrid w:val="0"/>
        <w:spacing w:line="300" w:lineRule="auto"/>
        <w:ind w:firstLine="420" w:firstLineChars="200"/>
        <w:rPr>
          <w:rFonts w:ascii="宋体" w:hAnsi="宋体" w:eastAsia="宋体"/>
          <w:szCs w:val="21"/>
        </w:rPr>
      </w:pPr>
      <w:r>
        <w:rPr>
          <w:rFonts w:hint="eastAsia" w:ascii="宋体" w:hAnsi="宋体" w:eastAsia="宋体"/>
          <w:szCs w:val="21"/>
        </w:rPr>
        <w:t>(6)施工过程中，承包人按本合同技术条款规定进行的各项混凝土试验所需的费用(不包括以总价形式支付的混凝土配合比试验费)，均包含在《工程量清单》相应项目有效工程量的每立方米工程单价中，发包人不另行支付。</w:t>
      </w:r>
    </w:p>
    <w:p w14:paraId="796613A2">
      <w:pPr>
        <w:snapToGrid w:val="0"/>
        <w:spacing w:line="300" w:lineRule="auto"/>
        <w:ind w:firstLine="420" w:firstLineChars="200"/>
        <w:rPr>
          <w:rFonts w:ascii="宋体" w:hAnsi="宋体" w:eastAsia="宋体"/>
          <w:szCs w:val="21"/>
        </w:rPr>
      </w:pPr>
      <w:r>
        <w:rPr>
          <w:rFonts w:hint="eastAsia" w:ascii="宋体" w:hAnsi="宋体" w:eastAsia="宋体"/>
          <w:szCs w:val="21"/>
        </w:rPr>
        <w:t>(7)止水、止浆、伸缩缝等按施工图纸所示各种材料数量以米(或平方米)为单位计量，由发包人按《工程量清单》相应项目有效工程量的每米(或平方米)工程单价支付。</w:t>
      </w:r>
    </w:p>
    <w:p w14:paraId="4DB0A9B0">
      <w:pPr>
        <w:snapToGrid w:val="0"/>
        <w:spacing w:line="300" w:lineRule="auto"/>
        <w:ind w:firstLine="420" w:firstLineChars="200"/>
        <w:rPr>
          <w:rFonts w:ascii="宋体" w:hAnsi="宋体" w:eastAsia="宋体"/>
          <w:szCs w:val="21"/>
        </w:rPr>
      </w:pPr>
      <w:r>
        <w:rPr>
          <w:rFonts w:hint="eastAsia" w:ascii="宋体" w:hAnsi="宋体" w:eastAsia="宋体"/>
          <w:szCs w:val="21"/>
        </w:rPr>
        <w:t>(8)混凝土温度控制措施费(包括冷却水管埋设及通水冷却费用、混凝土收缩缝和冷却水管的灌浆费用，以及混凝土坝体的保温费用)包含在《工程量清单》相应混凝土项目有效工程量的每立方米工程单价中，发包人不另行支付。</w:t>
      </w:r>
    </w:p>
    <w:p w14:paraId="3F14AB9E">
      <w:pPr>
        <w:snapToGrid w:val="0"/>
        <w:spacing w:line="300" w:lineRule="auto"/>
        <w:ind w:firstLine="420" w:firstLineChars="200"/>
        <w:rPr>
          <w:rFonts w:ascii="宋体" w:hAnsi="宋体" w:eastAsia="宋体"/>
          <w:szCs w:val="21"/>
        </w:rPr>
      </w:pPr>
      <w:r>
        <w:rPr>
          <w:rFonts w:hint="eastAsia" w:ascii="宋体" w:hAnsi="宋体" w:eastAsia="宋体"/>
          <w:szCs w:val="21"/>
        </w:rPr>
        <w:t>(9)混凝土坝体的接缝灌浆(接触灌浆)，按设计图纸所示要求灌浆的混凝土施工缝(混凝土与基础、岸坡岩体的接触缝)的接缝面积以平方米为单位计量，由发包人按《工程量清单》相应项目有效工程量的每平方米工程单价支付。</w:t>
      </w:r>
    </w:p>
    <w:p w14:paraId="172345C0">
      <w:pPr>
        <w:snapToGrid w:val="0"/>
        <w:spacing w:line="300" w:lineRule="auto"/>
        <w:ind w:firstLine="420" w:firstLineChars="200"/>
        <w:rPr>
          <w:rFonts w:ascii="宋体" w:hAnsi="宋体" w:eastAsia="宋体"/>
          <w:szCs w:val="21"/>
        </w:rPr>
      </w:pPr>
      <w:r>
        <w:rPr>
          <w:rFonts w:hint="eastAsia" w:ascii="宋体" w:hAnsi="宋体" w:eastAsia="宋体"/>
          <w:szCs w:val="21"/>
        </w:rPr>
        <w:t>(10)混凝土坝体内预埋排水管所需的费用，应包含在《工程量清单》相应混凝土项目有效工程量的每立方米工程单价中，发包人不另行支付。</w:t>
      </w:r>
    </w:p>
    <w:p w14:paraId="17A9650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8.10.4预制混凝土</w:t>
      </w:r>
    </w:p>
    <w:p w14:paraId="67684BC3">
      <w:pPr>
        <w:snapToGrid w:val="0"/>
        <w:spacing w:line="300" w:lineRule="auto"/>
        <w:ind w:firstLine="420" w:firstLineChars="200"/>
        <w:rPr>
          <w:rFonts w:ascii="宋体" w:hAnsi="宋体" w:eastAsia="宋体"/>
          <w:szCs w:val="21"/>
        </w:rPr>
      </w:pPr>
      <w:r>
        <w:rPr>
          <w:rFonts w:hint="eastAsia" w:ascii="宋体" w:hAnsi="宋体" w:eastAsia="宋体"/>
          <w:szCs w:val="21"/>
        </w:rPr>
        <w:t>(1)预制混凝土构件的预制和安装，按施工图纸所示尺寸计算的有效体积以立方米为单位计量，由发包人按《工程量清单》相应项目有效工程量的每立方米工程单价支付。</w:t>
      </w:r>
    </w:p>
    <w:p w14:paraId="7EA7430B">
      <w:pPr>
        <w:snapToGrid w:val="0"/>
        <w:spacing w:line="300" w:lineRule="auto"/>
        <w:ind w:firstLine="420" w:firstLineChars="200"/>
        <w:rPr>
          <w:rFonts w:ascii="宋体" w:hAnsi="宋体" w:eastAsia="宋体"/>
          <w:szCs w:val="21"/>
        </w:rPr>
      </w:pPr>
      <w:r>
        <w:rPr>
          <w:rFonts w:hint="eastAsia" w:ascii="宋体" w:hAnsi="宋体" w:eastAsia="宋体"/>
          <w:szCs w:val="21"/>
        </w:rPr>
        <w:t>(2)预制混凝土的钢筋费用和模板费用，均包含在《工程量清单》相应预制混凝土预制项目有效工程量的工程单价中，发包人不另行支付。</w:t>
      </w:r>
    </w:p>
    <w:p w14:paraId="06FF17EF">
      <w:pPr>
        <w:snapToGrid w:val="0"/>
        <w:spacing w:line="300" w:lineRule="auto"/>
        <w:ind w:firstLine="420" w:firstLineChars="200"/>
        <w:rPr>
          <w:rFonts w:ascii="宋体" w:hAnsi="宋体" w:eastAsia="宋体"/>
          <w:szCs w:val="21"/>
        </w:rPr>
      </w:pPr>
      <w:r>
        <w:rPr>
          <w:rFonts w:hint="eastAsia" w:ascii="宋体" w:hAnsi="宋体" w:eastAsia="宋体"/>
          <w:szCs w:val="21"/>
        </w:rPr>
        <w:t>(3)除合同另有约定外承包人完成预制混凝土构件的吊装、运输、就位、固定、填缝灌浆、复检、焊接等工作所需的费用，包含在《工程量清单》相应预制混凝土安装项目有效工程量的每立方米工程单价中，发包人不另行支付。</w:t>
      </w:r>
    </w:p>
    <w:p w14:paraId="5AF5508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8.10.5预应力混凝土</w:t>
      </w:r>
    </w:p>
    <w:p w14:paraId="30931EAD">
      <w:pPr>
        <w:snapToGrid w:val="0"/>
        <w:spacing w:line="300" w:lineRule="auto"/>
        <w:ind w:firstLine="420" w:firstLineChars="200"/>
        <w:rPr>
          <w:rFonts w:ascii="宋体" w:hAnsi="宋体" w:eastAsia="宋体"/>
          <w:szCs w:val="21"/>
        </w:rPr>
      </w:pPr>
      <w:r>
        <w:rPr>
          <w:rFonts w:hint="eastAsia" w:ascii="宋体" w:hAnsi="宋体" w:eastAsia="宋体"/>
          <w:szCs w:val="21"/>
        </w:rPr>
        <w:t>(1)预应力混凝土按施工图纸所示尺寸计算的有效体积以立方米为单位计量，由发包人按《工程量清单》相应项目有效工程量的每立方米工程单价支付。</w:t>
      </w:r>
    </w:p>
    <w:p w14:paraId="51D06AD0">
      <w:pPr>
        <w:snapToGrid w:val="0"/>
        <w:spacing w:line="300" w:lineRule="auto"/>
        <w:ind w:firstLine="420" w:firstLineChars="200"/>
        <w:rPr>
          <w:rFonts w:ascii="宋体" w:hAnsi="宋体" w:eastAsia="宋体"/>
          <w:szCs w:val="21"/>
        </w:rPr>
      </w:pPr>
      <w:r>
        <w:rPr>
          <w:rFonts w:hint="eastAsia" w:ascii="宋体" w:hAnsi="宋体" w:eastAsia="宋体"/>
          <w:szCs w:val="21"/>
        </w:rPr>
        <w:t>(2)预应力混凝土的锚索费用，包含在《工程量清单》相应预应力混凝土项目有效工程量的每立方米工程单价中，发包人不另行支付。</w:t>
      </w:r>
    </w:p>
    <w:p w14:paraId="73167AF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8.10.6水下混凝土</w:t>
      </w:r>
    </w:p>
    <w:p w14:paraId="5F2CE6C4">
      <w:pPr>
        <w:snapToGrid w:val="0"/>
        <w:spacing w:line="300" w:lineRule="auto"/>
        <w:ind w:firstLine="420" w:firstLineChars="200"/>
        <w:rPr>
          <w:rFonts w:ascii="宋体" w:hAnsi="宋体" w:eastAsia="宋体"/>
          <w:szCs w:val="21"/>
        </w:rPr>
      </w:pPr>
      <w:r>
        <w:rPr>
          <w:rFonts w:hint="eastAsia" w:ascii="宋体" w:hAnsi="宋体" w:eastAsia="宋体"/>
          <w:szCs w:val="21"/>
        </w:rPr>
        <w:t>水下混凝土按施工图纸所示浇筑范围内混凝土灌注前后的水下地形测量平、剖面图计算水下混凝土的有效体积以立方米为单位计量，由发包人按《工程量清单》相应项目有效工程量的每立方米工程单价支付。</w:t>
      </w:r>
    </w:p>
    <w:p w14:paraId="3DF8B8F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8.10.7碾压混凝土</w:t>
      </w:r>
    </w:p>
    <w:p w14:paraId="78ACDDFE">
      <w:pPr>
        <w:snapToGrid w:val="0"/>
        <w:spacing w:line="300" w:lineRule="auto"/>
        <w:ind w:firstLine="420" w:firstLineChars="200"/>
        <w:rPr>
          <w:rFonts w:ascii="宋体" w:hAnsi="宋体" w:eastAsia="宋体"/>
          <w:szCs w:val="21"/>
        </w:rPr>
      </w:pPr>
      <w:r>
        <w:rPr>
          <w:rFonts w:hint="eastAsia" w:ascii="宋体" w:hAnsi="宋体" w:eastAsia="宋体"/>
          <w:szCs w:val="21"/>
        </w:rPr>
        <w:t>(1)碾压混凝土按施工图纸所示尺寸计算的有效体积以立方米为单位计量，由发包人按《工程量清单》相应项目有效工程量的每立方米工程单价支付。</w:t>
      </w:r>
    </w:p>
    <w:p w14:paraId="0D58809F">
      <w:pPr>
        <w:snapToGrid w:val="0"/>
        <w:spacing w:line="300" w:lineRule="auto"/>
        <w:ind w:firstLine="420" w:firstLineChars="200"/>
        <w:rPr>
          <w:rFonts w:ascii="宋体" w:hAnsi="宋体" w:eastAsia="宋体"/>
          <w:szCs w:val="21"/>
        </w:rPr>
      </w:pPr>
      <w:r>
        <w:rPr>
          <w:rFonts w:hint="eastAsia" w:ascii="宋体" w:hAnsi="宋体" w:eastAsia="宋体"/>
          <w:szCs w:val="21"/>
        </w:rPr>
        <w:t>(2)碾压混凝土的模板费用包含在每立方米碾压混凝土工程单价中，发包人不另行支付。</w:t>
      </w:r>
      <w:bookmarkStart w:id="1580" w:name="_Hlt268757108"/>
      <w:bookmarkEnd w:id="1580"/>
    </w:p>
    <w:p w14:paraId="7BBEE886">
      <w:pPr>
        <w:snapToGrid w:val="0"/>
        <w:spacing w:line="300" w:lineRule="auto"/>
        <w:ind w:firstLine="420" w:firstLineChars="200"/>
        <w:rPr>
          <w:rFonts w:ascii="宋体" w:hAnsi="宋体" w:eastAsia="宋体"/>
          <w:szCs w:val="21"/>
        </w:rPr>
      </w:pPr>
      <w:r>
        <w:rPr>
          <w:rFonts w:hint="eastAsia" w:ascii="宋体" w:hAnsi="宋体" w:eastAsia="宋体"/>
          <w:szCs w:val="21"/>
        </w:rPr>
        <w:t>(3)碾压混凝土配合比试验和生产性碾压试验的费用由发包人按《工程量清单》相应项</w:t>
      </w:r>
      <w:bookmarkStart w:id="1581" w:name="_Hlt268757306"/>
      <w:bookmarkEnd w:id="1581"/>
      <w:r>
        <w:rPr>
          <w:rFonts w:hint="eastAsia" w:ascii="宋体" w:hAnsi="宋体" w:eastAsia="宋体"/>
          <w:szCs w:val="21"/>
        </w:rPr>
        <w:t>目的总价支付。</w:t>
      </w:r>
    </w:p>
    <w:p w14:paraId="05CF0C49">
      <w:pPr>
        <w:snapToGrid w:val="0"/>
        <w:spacing w:line="300" w:lineRule="auto"/>
        <w:ind w:firstLine="420" w:firstLineChars="200"/>
        <w:rPr>
          <w:rFonts w:ascii="宋体" w:hAnsi="宋体" w:eastAsia="宋体"/>
          <w:szCs w:val="21"/>
        </w:rPr>
        <w:sectPr>
          <w:pgSz w:w="11907" w:h="16840"/>
          <w:pgMar w:top="1418" w:right="1418" w:bottom="1418" w:left="1418" w:header="851" w:footer="851" w:gutter="0"/>
          <w:cols w:space="720" w:num="1"/>
          <w:docGrid w:type="linesAndChars" w:linePitch="537" w:charSpace="0"/>
        </w:sectPr>
      </w:pPr>
    </w:p>
    <w:p w14:paraId="0C27B84D">
      <w:pPr>
        <w:pStyle w:val="3"/>
        <w:keepNext w:val="0"/>
        <w:keepLines w:val="0"/>
        <w:spacing w:before="0" w:after="0" w:line="480" w:lineRule="auto"/>
        <w:jc w:val="center"/>
        <w:rPr>
          <w:rFonts w:ascii="宋体" w:hAnsi="宋体" w:eastAsia="宋体" w:cs="宋体"/>
          <w:sz w:val="28"/>
          <w:szCs w:val="28"/>
        </w:rPr>
      </w:pPr>
      <w:bookmarkStart w:id="1582" w:name="_Toc455652352"/>
      <w:r>
        <w:rPr>
          <w:rFonts w:hint="eastAsia" w:ascii="宋体" w:hAnsi="宋体" w:eastAsia="宋体" w:cs="宋体"/>
          <w:sz w:val="28"/>
          <w:szCs w:val="28"/>
        </w:rPr>
        <w:t>第9节 地基及基础工程</w:t>
      </w:r>
      <w:bookmarkEnd w:id="1582"/>
    </w:p>
    <w:p w14:paraId="4AFCEA72">
      <w:pPr>
        <w:adjustRightInd w:val="0"/>
        <w:snapToGrid w:val="0"/>
        <w:spacing w:before="134" w:beforeLines="25" w:line="300" w:lineRule="auto"/>
        <w:outlineLvl w:val="1"/>
        <w:rPr>
          <w:rFonts w:ascii="宋体" w:hAnsi="宋体" w:eastAsia="宋体"/>
          <w:b/>
          <w:bCs/>
          <w:sz w:val="24"/>
          <w:szCs w:val="24"/>
        </w:rPr>
      </w:pPr>
      <w:bookmarkStart w:id="1583" w:name="_Toc455652353"/>
      <w:bookmarkStart w:id="1584" w:name="_Toc455648416"/>
      <w:bookmarkStart w:id="1585" w:name="_Toc455651334"/>
      <w:bookmarkStart w:id="1586" w:name="_Toc455650348"/>
      <w:bookmarkStart w:id="1587" w:name="_Toc453707221"/>
      <w:bookmarkStart w:id="1588" w:name="_Toc453706739"/>
      <w:bookmarkStart w:id="1589" w:name="_Toc455494969"/>
      <w:r>
        <w:rPr>
          <w:rFonts w:hint="eastAsia" w:ascii="宋体" w:hAnsi="宋体" w:eastAsia="宋体"/>
          <w:b/>
          <w:bCs/>
          <w:sz w:val="24"/>
          <w:szCs w:val="24"/>
        </w:rPr>
        <w:t>9.1 一般规定</w:t>
      </w:r>
      <w:bookmarkEnd w:id="1583"/>
      <w:bookmarkEnd w:id="1584"/>
      <w:bookmarkEnd w:id="1585"/>
      <w:bookmarkEnd w:id="1586"/>
      <w:bookmarkEnd w:id="1587"/>
      <w:bookmarkEnd w:id="1588"/>
      <w:bookmarkEnd w:id="1589"/>
    </w:p>
    <w:p w14:paraId="3E4EDD2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9.1.1 应用范围</w:t>
      </w:r>
    </w:p>
    <w:p w14:paraId="73B4DCD5">
      <w:pPr>
        <w:snapToGrid w:val="0"/>
        <w:spacing w:line="300" w:lineRule="auto"/>
        <w:ind w:firstLine="420" w:firstLineChars="200"/>
        <w:rPr>
          <w:rFonts w:ascii="宋体" w:hAnsi="宋体" w:eastAsia="宋体"/>
          <w:szCs w:val="21"/>
        </w:rPr>
      </w:pPr>
      <w:bookmarkStart w:id="1590" w:name="_Toc455652354"/>
      <w:bookmarkStart w:id="1591" w:name="_Toc455494970"/>
      <w:bookmarkStart w:id="1592" w:name="_Toc453707222"/>
      <w:bookmarkStart w:id="1593" w:name="_Toc455650349"/>
      <w:bookmarkStart w:id="1594" w:name="_Toc453706740"/>
      <w:bookmarkStart w:id="1595" w:name="_Toc455648417"/>
      <w:bookmarkStart w:id="1596" w:name="_Toc455651335"/>
      <w:r>
        <w:rPr>
          <w:rFonts w:hint="eastAsia" w:ascii="宋体" w:hAnsi="宋体" w:eastAsia="宋体"/>
          <w:szCs w:val="21"/>
        </w:rPr>
        <w:t>本章规定适用于本合同施工图纸所示的永久和临时工程建筑物的地基及基础工程。其工程结构型式包括振冲法地基工程、混凝土灌注桩和沉井等基础工程。</w:t>
      </w:r>
      <w:bookmarkEnd w:id="1590"/>
      <w:bookmarkEnd w:id="1591"/>
      <w:bookmarkEnd w:id="1592"/>
      <w:bookmarkEnd w:id="1593"/>
      <w:bookmarkEnd w:id="1594"/>
      <w:bookmarkEnd w:id="1595"/>
      <w:bookmarkEnd w:id="1596"/>
    </w:p>
    <w:p w14:paraId="2D18ABD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9.1.2 承包人的责任</w:t>
      </w:r>
    </w:p>
    <w:p w14:paraId="734AF3C0">
      <w:pPr>
        <w:snapToGrid w:val="0"/>
        <w:spacing w:line="300" w:lineRule="auto"/>
        <w:ind w:firstLine="420" w:firstLineChars="200"/>
        <w:rPr>
          <w:rFonts w:ascii="宋体" w:hAnsi="宋体" w:eastAsia="宋体"/>
          <w:szCs w:val="21"/>
        </w:rPr>
      </w:pPr>
      <w:bookmarkStart w:id="1597" w:name="_Toc453707223"/>
      <w:bookmarkStart w:id="1598" w:name="_Toc453706741"/>
      <w:bookmarkStart w:id="1599" w:name="_Toc455494971"/>
      <w:bookmarkStart w:id="1600" w:name="_Toc455648418"/>
      <w:bookmarkStart w:id="1601" w:name="_Toc455651336"/>
      <w:bookmarkStart w:id="1602" w:name="_Toc455652355"/>
      <w:bookmarkStart w:id="1603" w:name="_Toc455650350"/>
      <w:r>
        <w:rPr>
          <w:rFonts w:hint="eastAsia" w:ascii="宋体" w:hAnsi="宋体" w:eastAsia="宋体"/>
          <w:szCs w:val="21"/>
        </w:rPr>
        <w:t>(1)承包人应负责本合同地基基础工程的地质复勘工作，并根据发包人提供的地质资料和地质复勘成果，编制复勘工程地质剖面图，进行地基及基础工程的施工布置，确定地基基础工程的施工顺序。</w:t>
      </w:r>
      <w:bookmarkEnd w:id="1597"/>
      <w:bookmarkEnd w:id="1598"/>
      <w:bookmarkEnd w:id="1599"/>
      <w:bookmarkEnd w:id="1600"/>
      <w:bookmarkEnd w:id="1601"/>
      <w:bookmarkEnd w:id="1602"/>
      <w:bookmarkEnd w:id="1603"/>
    </w:p>
    <w:p w14:paraId="6DA7EC34">
      <w:pPr>
        <w:snapToGrid w:val="0"/>
        <w:spacing w:line="300" w:lineRule="auto"/>
        <w:ind w:firstLine="420" w:firstLineChars="200"/>
        <w:rPr>
          <w:rFonts w:ascii="宋体" w:hAnsi="宋体" w:eastAsia="宋体"/>
          <w:szCs w:val="21"/>
        </w:rPr>
      </w:pPr>
      <w:bookmarkStart w:id="1604" w:name="_Toc455494972"/>
      <w:bookmarkStart w:id="1605" w:name="_Toc455650351"/>
      <w:bookmarkStart w:id="1606" w:name="_Toc455651337"/>
      <w:bookmarkStart w:id="1607" w:name="_Toc453706742"/>
      <w:bookmarkStart w:id="1608" w:name="_Toc455652356"/>
      <w:bookmarkStart w:id="1609" w:name="_Toc455648419"/>
      <w:bookmarkStart w:id="1610" w:name="_Toc453707224"/>
      <w:r>
        <w:rPr>
          <w:rFonts w:hint="eastAsia" w:ascii="宋体" w:hAnsi="宋体" w:eastAsia="宋体"/>
          <w:szCs w:val="21"/>
        </w:rPr>
        <w:t>(2)承包人应负责提供地基及基础工程施工所需的材料和施工设备，以及负责地基及基础工程的施工、试验、检验等的全部施工作业。</w:t>
      </w:r>
      <w:bookmarkEnd w:id="1604"/>
      <w:bookmarkEnd w:id="1605"/>
      <w:bookmarkEnd w:id="1606"/>
      <w:bookmarkEnd w:id="1607"/>
      <w:bookmarkEnd w:id="1608"/>
      <w:bookmarkEnd w:id="1609"/>
      <w:bookmarkEnd w:id="1610"/>
    </w:p>
    <w:p w14:paraId="163DB1D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9.1.3 主要提交件</w:t>
      </w:r>
    </w:p>
    <w:p w14:paraId="6402E3D1">
      <w:pPr>
        <w:snapToGrid w:val="0"/>
        <w:spacing w:line="300" w:lineRule="auto"/>
        <w:ind w:firstLine="420" w:firstLineChars="200"/>
        <w:rPr>
          <w:rFonts w:ascii="宋体" w:hAnsi="宋体" w:eastAsia="宋体"/>
          <w:szCs w:val="21"/>
        </w:rPr>
      </w:pPr>
      <w:bookmarkStart w:id="1611" w:name="_Toc453707225"/>
      <w:bookmarkStart w:id="1612" w:name="_Toc455650352"/>
      <w:bookmarkStart w:id="1613" w:name="_Toc453706743"/>
      <w:bookmarkStart w:id="1614" w:name="_Toc455648420"/>
      <w:bookmarkStart w:id="1615" w:name="_Toc455651338"/>
      <w:bookmarkStart w:id="1616" w:name="_Toc455652357"/>
      <w:bookmarkStart w:id="1617" w:name="_Toc455494973"/>
      <w:r>
        <w:rPr>
          <w:rFonts w:hint="eastAsia" w:ascii="宋体" w:hAnsi="宋体" w:eastAsia="宋体"/>
          <w:szCs w:val="21"/>
        </w:rPr>
        <w:t>地基及基础工程开工前，承包人应根据本合同施工图纸已确定的地基及基础工程布置方案，分别编制包括下列内容的施工措施计划，提交监理人批准。</w:t>
      </w:r>
      <w:bookmarkEnd w:id="1611"/>
      <w:bookmarkEnd w:id="1612"/>
      <w:bookmarkEnd w:id="1613"/>
      <w:bookmarkEnd w:id="1614"/>
      <w:bookmarkEnd w:id="1615"/>
      <w:bookmarkEnd w:id="1616"/>
      <w:bookmarkEnd w:id="1617"/>
    </w:p>
    <w:p w14:paraId="0B3B69E1">
      <w:pPr>
        <w:snapToGrid w:val="0"/>
        <w:spacing w:line="300" w:lineRule="auto"/>
        <w:ind w:firstLine="420" w:firstLineChars="200"/>
        <w:rPr>
          <w:rFonts w:ascii="宋体" w:hAnsi="宋体" w:eastAsia="宋体"/>
          <w:szCs w:val="21"/>
        </w:rPr>
      </w:pPr>
      <w:bookmarkStart w:id="1618" w:name="_Toc455650353"/>
      <w:bookmarkStart w:id="1619" w:name="_Toc455648421"/>
      <w:bookmarkStart w:id="1620" w:name="_Toc453707226"/>
      <w:bookmarkStart w:id="1621" w:name="_Toc455494974"/>
      <w:bookmarkStart w:id="1622" w:name="_Toc453706744"/>
      <w:bookmarkStart w:id="1623" w:name="_Toc455652358"/>
      <w:bookmarkStart w:id="1624" w:name="_Toc455651339"/>
      <w:r>
        <w:rPr>
          <w:rFonts w:hint="eastAsia" w:ascii="宋体" w:hAnsi="宋体" w:eastAsia="宋体"/>
          <w:szCs w:val="21"/>
        </w:rPr>
        <w:t>(1)振冲地基：</w:t>
      </w:r>
      <w:bookmarkEnd w:id="1618"/>
      <w:bookmarkEnd w:id="1619"/>
      <w:bookmarkEnd w:id="1620"/>
      <w:bookmarkEnd w:id="1621"/>
      <w:bookmarkEnd w:id="1622"/>
      <w:bookmarkEnd w:id="1623"/>
      <w:bookmarkEnd w:id="1624"/>
    </w:p>
    <w:p w14:paraId="120F8529">
      <w:pPr>
        <w:snapToGrid w:val="0"/>
        <w:spacing w:line="300" w:lineRule="auto"/>
        <w:ind w:firstLine="420" w:firstLineChars="200"/>
        <w:rPr>
          <w:rFonts w:ascii="宋体" w:hAnsi="宋体" w:eastAsia="宋体"/>
          <w:szCs w:val="21"/>
        </w:rPr>
      </w:pPr>
      <w:bookmarkStart w:id="1625" w:name="_Toc455648422"/>
      <w:bookmarkStart w:id="1626" w:name="_Toc455494975"/>
      <w:bookmarkStart w:id="1627" w:name="_Toc455652359"/>
      <w:bookmarkStart w:id="1628" w:name="_Toc453706745"/>
      <w:bookmarkStart w:id="1629" w:name="_Toc455651340"/>
      <w:bookmarkStart w:id="1630" w:name="_Toc453707227"/>
      <w:bookmarkStart w:id="1631" w:name="_Toc455650354"/>
      <w:r>
        <w:rPr>
          <w:rFonts w:hint="eastAsia" w:ascii="宋体" w:hAnsi="宋体" w:eastAsia="宋体"/>
          <w:szCs w:val="21"/>
        </w:rPr>
        <w:t>1)振冲桩位及施工场地布置图；</w:t>
      </w:r>
      <w:bookmarkEnd w:id="1625"/>
      <w:bookmarkEnd w:id="1626"/>
      <w:bookmarkEnd w:id="1627"/>
      <w:bookmarkEnd w:id="1628"/>
      <w:bookmarkEnd w:id="1629"/>
      <w:bookmarkEnd w:id="1630"/>
      <w:bookmarkEnd w:id="1631"/>
    </w:p>
    <w:p w14:paraId="3904EE67">
      <w:pPr>
        <w:snapToGrid w:val="0"/>
        <w:spacing w:line="300" w:lineRule="auto"/>
        <w:ind w:firstLine="420" w:firstLineChars="200"/>
        <w:rPr>
          <w:rFonts w:ascii="宋体" w:hAnsi="宋体" w:eastAsia="宋体"/>
          <w:szCs w:val="21"/>
        </w:rPr>
      </w:pPr>
      <w:bookmarkStart w:id="1632" w:name="_Toc455650355"/>
      <w:bookmarkStart w:id="1633" w:name="_Toc455652360"/>
      <w:bookmarkStart w:id="1634" w:name="_Toc455651341"/>
      <w:bookmarkStart w:id="1635" w:name="_Toc453706746"/>
      <w:bookmarkStart w:id="1636" w:name="_Toc455494976"/>
      <w:bookmarkStart w:id="1637" w:name="_Toc455648423"/>
      <w:bookmarkStart w:id="1638" w:name="_Toc453707228"/>
      <w:r>
        <w:rPr>
          <w:rFonts w:hint="eastAsia" w:ascii="宋体" w:hAnsi="宋体" w:eastAsia="宋体"/>
          <w:szCs w:val="21"/>
        </w:rPr>
        <w:t>2)充填材料级配试验和试桩措施；</w:t>
      </w:r>
      <w:bookmarkEnd w:id="1632"/>
      <w:bookmarkEnd w:id="1633"/>
      <w:bookmarkEnd w:id="1634"/>
      <w:bookmarkEnd w:id="1635"/>
      <w:bookmarkEnd w:id="1636"/>
      <w:bookmarkEnd w:id="1637"/>
      <w:bookmarkEnd w:id="1638"/>
    </w:p>
    <w:p w14:paraId="7E9B831B">
      <w:pPr>
        <w:snapToGrid w:val="0"/>
        <w:spacing w:line="300" w:lineRule="auto"/>
        <w:ind w:firstLine="420" w:firstLineChars="200"/>
        <w:rPr>
          <w:rFonts w:ascii="宋体" w:hAnsi="宋体" w:eastAsia="宋体"/>
          <w:szCs w:val="21"/>
        </w:rPr>
      </w:pPr>
      <w:bookmarkStart w:id="1639" w:name="_Toc455651342"/>
      <w:bookmarkStart w:id="1640" w:name="_Toc455494977"/>
      <w:bookmarkStart w:id="1641" w:name="_Toc455648424"/>
      <w:bookmarkStart w:id="1642" w:name="_Toc455652361"/>
      <w:bookmarkStart w:id="1643" w:name="_Toc455650356"/>
      <w:bookmarkStart w:id="1644" w:name="_Toc453707229"/>
      <w:bookmarkStart w:id="1645" w:name="_Toc453706747"/>
      <w:r>
        <w:rPr>
          <w:rFonts w:hint="eastAsia" w:ascii="宋体" w:hAnsi="宋体" w:eastAsia="宋体"/>
          <w:szCs w:val="21"/>
        </w:rPr>
        <w:t>3)主要机械设备选择；</w:t>
      </w:r>
      <w:bookmarkEnd w:id="1639"/>
      <w:bookmarkEnd w:id="1640"/>
      <w:bookmarkEnd w:id="1641"/>
      <w:bookmarkEnd w:id="1642"/>
      <w:bookmarkEnd w:id="1643"/>
      <w:bookmarkEnd w:id="1644"/>
      <w:bookmarkEnd w:id="1645"/>
    </w:p>
    <w:p w14:paraId="3D778901">
      <w:pPr>
        <w:snapToGrid w:val="0"/>
        <w:spacing w:line="300" w:lineRule="auto"/>
        <w:ind w:firstLine="420" w:firstLineChars="200"/>
        <w:rPr>
          <w:rFonts w:ascii="宋体" w:hAnsi="宋体" w:eastAsia="宋体"/>
          <w:szCs w:val="21"/>
        </w:rPr>
      </w:pPr>
      <w:bookmarkStart w:id="1646" w:name="_Toc453706748"/>
      <w:bookmarkStart w:id="1647" w:name="_Toc453707230"/>
      <w:bookmarkStart w:id="1648" w:name="_Toc455652362"/>
      <w:bookmarkStart w:id="1649" w:name="_Toc455494978"/>
      <w:bookmarkStart w:id="1650" w:name="_Toc455651343"/>
      <w:bookmarkStart w:id="1651" w:name="_Toc455650357"/>
      <w:bookmarkStart w:id="1652" w:name="_Toc455648425"/>
      <w:r>
        <w:rPr>
          <w:rFonts w:hint="eastAsia" w:ascii="宋体" w:hAnsi="宋体" w:eastAsia="宋体"/>
          <w:szCs w:val="21"/>
        </w:rPr>
        <w:t>4)振冲施工工艺及制桩参数；</w:t>
      </w:r>
      <w:bookmarkEnd w:id="1646"/>
      <w:bookmarkEnd w:id="1647"/>
      <w:bookmarkEnd w:id="1648"/>
      <w:bookmarkEnd w:id="1649"/>
      <w:bookmarkEnd w:id="1650"/>
      <w:bookmarkEnd w:id="1651"/>
      <w:bookmarkEnd w:id="1652"/>
    </w:p>
    <w:p w14:paraId="504999BE">
      <w:pPr>
        <w:snapToGrid w:val="0"/>
        <w:spacing w:line="300" w:lineRule="auto"/>
        <w:ind w:firstLine="420" w:firstLineChars="200"/>
        <w:rPr>
          <w:rFonts w:ascii="宋体" w:hAnsi="宋体" w:eastAsia="宋体"/>
          <w:szCs w:val="21"/>
        </w:rPr>
      </w:pPr>
      <w:bookmarkStart w:id="1653" w:name="_Toc455652363"/>
      <w:bookmarkStart w:id="1654" w:name="_Toc453706749"/>
      <w:bookmarkStart w:id="1655" w:name="_Toc455494979"/>
      <w:bookmarkStart w:id="1656" w:name="_Toc455650358"/>
      <w:bookmarkStart w:id="1657" w:name="_Toc455648426"/>
      <w:bookmarkStart w:id="1658" w:name="_Toc453707231"/>
      <w:bookmarkStart w:id="1659" w:name="_Toc455651344"/>
      <w:r>
        <w:rPr>
          <w:rFonts w:hint="eastAsia" w:ascii="宋体" w:hAnsi="宋体" w:eastAsia="宋体"/>
          <w:szCs w:val="21"/>
        </w:rPr>
        <w:t>5)质量检验，以及安全和环境保护措施；</w:t>
      </w:r>
      <w:bookmarkEnd w:id="1653"/>
      <w:bookmarkEnd w:id="1654"/>
      <w:bookmarkEnd w:id="1655"/>
      <w:bookmarkEnd w:id="1656"/>
      <w:bookmarkEnd w:id="1657"/>
      <w:bookmarkEnd w:id="1658"/>
      <w:bookmarkEnd w:id="1659"/>
    </w:p>
    <w:p w14:paraId="6DBA87FA">
      <w:pPr>
        <w:snapToGrid w:val="0"/>
        <w:spacing w:line="300" w:lineRule="auto"/>
        <w:ind w:firstLine="420" w:firstLineChars="200"/>
        <w:rPr>
          <w:rFonts w:ascii="宋体" w:hAnsi="宋体" w:eastAsia="宋体"/>
          <w:szCs w:val="21"/>
        </w:rPr>
      </w:pPr>
      <w:bookmarkStart w:id="1660" w:name="_Toc455651345"/>
      <w:bookmarkStart w:id="1661" w:name="_Toc455652364"/>
      <w:bookmarkStart w:id="1662" w:name="_Toc453706750"/>
      <w:bookmarkStart w:id="1663" w:name="_Toc453707232"/>
      <w:bookmarkStart w:id="1664" w:name="_Toc455494980"/>
      <w:bookmarkStart w:id="1665" w:name="_Toc455650359"/>
      <w:bookmarkStart w:id="1666" w:name="_Toc455648427"/>
      <w:r>
        <w:rPr>
          <w:rFonts w:hint="eastAsia" w:ascii="宋体" w:hAnsi="宋体" w:eastAsia="宋体"/>
          <w:szCs w:val="21"/>
        </w:rPr>
        <w:t>6)施工进度计划。</w:t>
      </w:r>
      <w:bookmarkEnd w:id="1660"/>
      <w:bookmarkEnd w:id="1661"/>
      <w:bookmarkEnd w:id="1662"/>
      <w:bookmarkEnd w:id="1663"/>
      <w:bookmarkEnd w:id="1664"/>
      <w:bookmarkEnd w:id="1665"/>
      <w:bookmarkEnd w:id="1666"/>
    </w:p>
    <w:p w14:paraId="2D3999AB">
      <w:pPr>
        <w:snapToGrid w:val="0"/>
        <w:spacing w:line="300" w:lineRule="auto"/>
        <w:ind w:firstLine="420" w:firstLineChars="200"/>
        <w:rPr>
          <w:rFonts w:ascii="宋体" w:hAnsi="宋体" w:eastAsia="宋体"/>
          <w:szCs w:val="21"/>
        </w:rPr>
      </w:pPr>
      <w:bookmarkStart w:id="1667" w:name="_Toc453706751"/>
      <w:bookmarkStart w:id="1668" w:name="_Toc455652365"/>
      <w:bookmarkStart w:id="1669" w:name="_Toc455648428"/>
      <w:bookmarkStart w:id="1670" w:name="_Toc455494981"/>
      <w:bookmarkStart w:id="1671" w:name="_Toc455650360"/>
      <w:bookmarkStart w:id="1672" w:name="_Toc455651346"/>
      <w:bookmarkStart w:id="1673" w:name="_Toc453707233"/>
      <w:r>
        <w:rPr>
          <w:rFonts w:hint="eastAsia" w:ascii="宋体" w:hAnsi="宋体" w:eastAsia="宋体"/>
          <w:szCs w:val="21"/>
        </w:rPr>
        <w:t>(2)混凝土灌注桩基础：</w:t>
      </w:r>
      <w:bookmarkEnd w:id="1667"/>
      <w:bookmarkEnd w:id="1668"/>
      <w:bookmarkEnd w:id="1669"/>
      <w:bookmarkEnd w:id="1670"/>
      <w:bookmarkEnd w:id="1671"/>
      <w:bookmarkEnd w:id="1672"/>
      <w:bookmarkEnd w:id="1673"/>
    </w:p>
    <w:p w14:paraId="21780C46">
      <w:pPr>
        <w:snapToGrid w:val="0"/>
        <w:spacing w:line="300" w:lineRule="auto"/>
        <w:ind w:firstLine="420" w:firstLineChars="200"/>
        <w:rPr>
          <w:rFonts w:ascii="宋体" w:hAnsi="宋体" w:eastAsia="宋体"/>
          <w:szCs w:val="21"/>
        </w:rPr>
      </w:pPr>
      <w:bookmarkStart w:id="1674" w:name="_Toc455652366"/>
      <w:bookmarkStart w:id="1675" w:name="_Toc455651347"/>
      <w:bookmarkStart w:id="1676" w:name="_Toc455494982"/>
      <w:bookmarkStart w:id="1677" w:name="_Toc453706752"/>
      <w:bookmarkStart w:id="1678" w:name="_Toc455650361"/>
      <w:bookmarkStart w:id="1679" w:name="_Toc453707234"/>
      <w:bookmarkStart w:id="1680" w:name="_Toc455648429"/>
      <w:r>
        <w:rPr>
          <w:rFonts w:hint="eastAsia" w:ascii="宋体" w:hAnsi="宋体" w:eastAsia="宋体"/>
          <w:szCs w:val="21"/>
        </w:rPr>
        <w:t>1)灌注桩基础施工场地布置图；</w:t>
      </w:r>
      <w:bookmarkEnd w:id="1674"/>
      <w:bookmarkEnd w:id="1675"/>
      <w:bookmarkEnd w:id="1676"/>
      <w:bookmarkEnd w:id="1677"/>
      <w:bookmarkEnd w:id="1678"/>
      <w:bookmarkEnd w:id="1679"/>
      <w:bookmarkEnd w:id="1680"/>
    </w:p>
    <w:p w14:paraId="1D345A3E">
      <w:pPr>
        <w:snapToGrid w:val="0"/>
        <w:spacing w:line="300" w:lineRule="auto"/>
        <w:ind w:firstLine="420" w:firstLineChars="200"/>
        <w:rPr>
          <w:rFonts w:ascii="宋体" w:hAnsi="宋体" w:eastAsia="宋体"/>
          <w:szCs w:val="21"/>
        </w:rPr>
      </w:pPr>
      <w:bookmarkStart w:id="1681" w:name="_Toc455648430"/>
      <w:bookmarkStart w:id="1682" w:name="_Toc453707235"/>
      <w:bookmarkStart w:id="1683" w:name="_Toc455494983"/>
      <w:bookmarkStart w:id="1684" w:name="_Toc455652367"/>
      <w:bookmarkStart w:id="1685" w:name="_Toc455650362"/>
      <w:bookmarkStart w:id="1686" w:name="_Toc453706753"/>
      <w:bookmarkStart w:id="1687" w:name="_Toc455651348"/>
      <w:r>
        <w:rPr>
          <w:rFonts w:hint="eastAsia" w:ascii="宋体" w:hAnsi="宋体" w:eastAsia="宋体"/>
          <w:szCs w:val="21"/>
        </w:rPr>
        <w:t>2)成桩机械及其配套设备的选择；</w:t>
      </w:r>
      <w:bookmarkEnd w:id="1681"/>
      <w:bookmarkEnd w:id="1682"/>
      <w:bookmarkEnd w:id="1683"/>
      <w:bookmarkEnd w:id="1684"/>
      <w:bookmarkEnd w:id="1685"/>
      <w:bookmarkEnd w:id="1686"/>
      <w:bookmarkEnd w:id="1687"/>
    </w:p>
    <w:p w14:paraId="3A8A817E">
      <w:pPr>
        <w:snapToGrid w:val="0"/>
        <w:spacing w:line="300" w:lineRule="auto"/>
        <w:ind w:firstLine="420" w:firstLineChars="200"/>
        <w:rPr>
          <w:rFonts w:ascii="宋体" w:hAnsi="宋体" w:eastAsia="宋体"/>
          <w:szCs w:val="21"/>
        </w:rPr>
      </w:pPr>
      <w:bookmarkStart w:id="1688" w:name="_Toc455652368"/>
      <w:bookmarkStart w:id="1689" w:name="_Toc453707236"/>
      <w:bookmarkStart w:id="1690" w:name="_Toc453706754"/>
      <w:bookmarkStart w:id="1691" w:name="_Toc455651349"/>
      <w:bookmarkStart w:id="1692" w:name="_Toc455650363"/>
      <w:bookmarkStart w:id="1693" w:name="_Toc455494984"/>
      <w:bookmarkStart w:id="1694" w:name="_Toc455648431"/>
      <w:r>
        <w:rPr>
          <w:rFonts w:hint="eastAsia" w:ascii="宋体" w:hAnsi="宋体" w:eastAsia="宋体"/>
          <w:szCs w:val="21"/>
        </w:rPr>
        <w:t>3)制桩材料和备件的配置；</w:t>
      </w:r>
      <w:bookmarkEnd w:id="1688"/>
      <w:bookmarkEnd w:id="1689"/>
      <w:bookmarkEnd w:id="1690"/>
      <w:bookmarkEnd w:id="1691"/>
      <w:bookmarkEnd w:id="1692"/>
      <w:bookmarkEnd w:id="1693"/>
      <w:bookmarkEnd w:id="1694"/>
    </w:p>
    <w:p w14:paraId="120510DB">
      <w:pPr>
        <w:snapToGrid w:val="0"/>
        <w:spacing w:line="300" w:lineRule="auto"/>
        <w:ind w:firstLine="420" w:firstLineChars="200"/>
        <w:rPr>
          <w:rFonts w:ascii="宋体" w:hAnsi="宋体" w:eastAsia="宋体"/>
          <w:szCs w:val="21"/>
        </w:rPr>
      </w:pPr>
      <w:bookmarkStart w:id="1695" w:name="_Toc455652369"/>
      <w:bookmarkStart w:id="1696" w:name="_Toc455494985"/>
      <w:bookmarkStart w:id="1697" w:name="_Toc453707237"/>
      <w:bookmarkStart w:id="1698" w:name="_Toc453706755"/>
      <w:bookmarkStart w:id="1699" w:name="_Toc455650364"/>
      <w:bookmarkStart w:id="1700" w:name="_Toc455648432"/>
      <w:bookmarkStart w:id="1701" w:name="_Toc455651350"/>
      <w:r>
        <w:rPr>
          <w:rFonts w:hint="eastAsia" w:ascii="宋体" w:hAnsi="宋体" w:eastAsia="宋体"/>
          <w:szCs w:val="21"/>
        </w:rPr>
        <w:t>4)桩基施工方案及工艺；</w:t>
      </w:r>
      <w:bookmarkEnd w:id="1695"/>
      <w:bookmarkEnd w:id="1696"/>
      <w:bookmarkEnd w:id="1697"/>
      <w:bookmarkEnd w:id="1698"/>
      <w:bookmarkEnd w:id="1699"/>
      <w:bookmarkEnd w:id="1700"/>
      <w:bookmarkEnd w:id="1701"/>
    </w:p>
    <w:p w14:paraId="2C645706">
      <w:pPr>
        <w:snapToGrid w:val="0"/>
        <w:spacing w:line="300" w:lineRule="auto"/>
        <w:ind w:firstLine="420" w:firstLineChars="200"/>
        <w:rPr>
          <w:rFonts w:ascii="宋体" w:hAnsi="宋体" w:eastAsia="宋体"/>
          <w:szCs w:val="21"/>
        </w:rPr>
      </w:pPr>
      <w:bookmarkStart w:id="1702" w:name="_Toc453707238"/>
      <w:bookmarkStart w:id="1703" w:name="_Toc455651351"/>
      <w:bookmarkStart w:id="1704" w:name="_Toc455650365"/>
      <w:bookmarkStart w:id="1705" w:name="_Toc453706756"/>
      <w:bookmarkStart w:id="1706" w:name="_Toc455648433"/>
      <w:bookmarkStart w:id="1707" w:name="_Toc455494986"/>
      <w:bookmarkStart w:id="1708" w:name="_Toc455652370"/>
      <w:r>
        <w:rPr>
          <w:rFonts w:hint="eastAsia" w:ascii="宋体" w:hAnsi="宋体" w:eastAsia="宋体"/>
          <w:szCs w:val="21"/>
        </w:rPr>
        <w:t>5)成孔、成桩试验和措施；</w:t>
      </w:r>
      <w:bookmarkEnd w:id="1702"/>
      <w:bookmarkEnd w:id="1703"/>
      <w:bookmarkEnd w:id="1704"/>
      <w:bookmarkEnd w:id="1705"/>
      <w:bookmarkEnd w:id="1706"/>
      <w:bookmarkEnd w:id="1707"/>
      <w:bookmarkEnd w:id="1708"/>
    </w:p>
    <w:p w14:paraId="0AD32F36">
      <w:pPr>
        <w:snapToGrid w:val="0"/>
        <w:spacing w:line="300" w:lineRule="auto"/>
        <w:ind w:firstLine="420" w:firstLineChars="200"/>
        <w:rPr>
          <w:rFonts w:ascii="宋体" w:hAnsi="宋体" w:eastAsia="宋体"/>
          <w:szCs w:val="21"/>
        </w:rPr>
      </w:pPr>
      <w:bookmarkStart w:id="1709" w:name="_Toc455494987"/>
      <w:bookmarkStart w:id="1710" w:name="_Toc455650366"/>
      <w:bookmarkStart w:id="1711" w:name="_Toc455651352"/>
      <w:bookmarkStart w:id="1712" w:name="_Toc455648434"/>
      <w:bookmarkStart w:id="1713" w:name="_Toc455652371"/>
      <w:bookmarkStart w:id="1714" w:name="_Toc453706757"/>
      <w:bookmarkStart w:id="1715" w:name="_Toc453707239"/>
      <w:r>
        <w:rPr>
          <w:rFonts w:hint="eastAsia" w:ascii="宋体" w:hAnsi="宋体" w:eastAsia="宋体"/>
          <w:szCs w:val="21"/>
        </w:rPr>
        <w:t>6)质量检验，以及安全和环境保护措施；</w:t>
      </w:r>
      <w:bookmarkEnd w:id="1709"/>
      <w:bookmarkEnd w:id="1710"/>
      <w:bookmarkEnd w:id="1711"/>
      <w:bookmarkEnd w:id="1712"/>
      <w:bookmarkEnd w:id="1713"/>
      <w:bookmarkEnd w:id="1714"/>
      <w:bookmarkEnd w:id="1715"/>
    </w:p>
    <w:p w14:paraId="6554A39D">
      <w:pPr>
        <w:snapToGrid w:val="0"/>
        <w:spacing w:line="300" w:lineRule="auto"/>
        <w:ind w:firstLine="420" w:firstLineChars="200"/>
        <w:rPr>
          <w:rFonts w:ascii="宋体" w:hAnsi="宋体" w:eastAsia="宋体"/>
          <w:szCs w:val="21"/>
        </w:rPr>
      </w:pPr>
      <w:bookmarkStart w:id="1716" w:name="_Toc455494988"/>
      <w:bookmarkStart w:id="1717" w:name="_Toc455648435"/>
      <w:bookmarkStart w:id="1718" w:name="_Toc453707240"/>
      <w:bookmarkStart w:id="1719" w:name="_Toc453706758"/>
      <w:bookmarkStart w:id="1720" w:name="_Toc455650367"/>
      <w:bookmarkStart w:id="1721" w:name="_Toc455652372"/>
      <w:bookmarkStart w:id="1722" w:name="_Toc455651353"/>
      <w:r>
        <w:rPr>
          <w:rFonts w:hint="eastAsia" w:ascii="宋体" w:hAnsi="宋体" w:eastAsia="宋体"/>
          <w:szCs w:val="21"/>
        </w:rPr>
        <w:t>7)施工进度计划。</w:t>
      </w:r>
      <w:bookmarkEnd w:id="1716"/>
      <w:bookmarkEnd w:id="1717"/>
      <w:bookmarkEnd w:id="1718"/>
      <w:bookmarkEnd w:id="1719"/>
      <w:bookmarkEnd w:id="1720"/>
      <w:bookmarkEnd w:id="1721"/>
      <w:bookmarkEnd w:id="1722"/>
    </w:p>
    <w:p w14:paraId="0A788C84">
      <w:pPr>
        <w:snapToGrid w:val="0"/>
        <w:spacing w:line="300" w:lineRule="auto"/>
        <w:ind w:firstLine="420" w:firstLineChars="200"/>
        <w:rPr>
          <w:rFonts w:ascii="宋体" w:hAnsi="宋体" w:eastAsia="宋体"/>
          <w:szCs w:val="21"/>
        </w:rPr>
      </w:pPr>
      <w:bookmarkStart w:id="1723" w:name="_Toc455650368"/>
      <w:bookmarkStart w:id="1724" w:name="_Toc455648436"/>
      <w:bookmarkStart w:id="1725" w:name="_Toc455652373"/>
      <w:bookmarkStart w:id="1726" w:name="_Toc455651354"/>
      <w:bookmarkStart w:id="1727" w:name="_Toc453707241"/>
      <w:bookmarkStart w:id="1728" w:name="_Toc455494989"/>
      <w:bookmarkStart w:id="1729" w:name="_Toc453706759"/>
      <w:r>
        <w:rPr>
          <w:rFonts w:hint="eastAsia" w:ascii="宋体" w:hAnsi="宋体" w:eastAsia="宋体"/>
          <w:szCs w:val="21"/>
        </w:rPr>
        <w:t>(3)沉井：</w:t>
      </w:r>
      <w:bookmarkEnd w:id="1723"/>
      <w:bookmarkEnd w:id="1724"/>
      <w:bookmarkEnd w:id="1725"/>
      <w:bookmarkEnd w:id="1726"/>
      <w:bookmarkEnd w:id="1727"/>
      <w:bookmarkEnd w:id="1728"/>
      <w:bookmarkEnd w:id="1729"/>
    </w:p>
    <w:p w14:paraId="5E5E0E6D">
      <w:pPr>
        <w:snapToGrid w:val="0"/>
        <w:spacing w:line="300" w:lineRule="auto"/>
        <w:ind w:firstLine="420" w:firstLineChars="200"/>
        <w:rPr>
          <w:rFonts w:ascii="宋体" w:hAnsi="宋体" w:eastAsia="宋体"/>
          <w:szCs w:val="21"/>
        </w:rPr>
      </w:pPr>
      <w:bookmarkStart w:id="1730" w:name="_Toc455494990"/>
      <w:bookmarkStart w:id="1731" w:name="_Toc455650369"/>
      <w:bookmarkStart w:id="1732" w:name="_Toc455652374"/>
      <w:bookmarkStart w:id="1733" w:name="_Toc455651355"/>
      <w:bookmarkStart w:id="1734" w:name="_Toc455648437"/>
      <w:bookmarkStart w:id="1735" w:name="_Toc453706760"/>
      <w:bookmarkStart w:id="1736" w:name="_Toc453707242"/>
      <w:r>
        <w:rPr>
          <w:rFonts w:hint="eastAsia" w:ascii="宋体" w:hAnsi="宋体" w:eastAsia="宋体"/>
          <w:szCs w:val="21"/>
        </w:rPr>
        <w:t>1)沉井制作和井位施工布置图；</w:t>
      </w:r>
      <w:bookmarkEnd w:id="1730"/>
      <w:bookmarkEnd w:id="1731"/>
      <w:bookmarkEnd w:id="1732"/>
      <w:bookmarkEnd w:id="1733"/>
      <w:bookmarkEnd w:id="1734"/>
      <w:bookmarkEnd w:id="1735"/>
      <w:bookmarkEnd w:id="1736"/>
    </w:p>
    <w:p w14:paraId="1C8524DD">
      <w:pPr>
        <w:snapToGrid w:val="0"/>
        <w:spacing w:line="300" w:lineRule="auto"/>
        <w:ind w:firstLine="420" w:firstLineChars="200"/>
        <w:rPr>
          <w:rFonts w:ascii="宋体" w:hAnsi="宋体" w:eastAsia="宋体"/>
          <w:szCs w:val="21"/>
        </w:rPr>
      </w:pPr>
      <w:bookmarkStart w:id="1737" w:name="_Toc455648438"/>
      <w:bookmarkStart w:id="1738" w:name="_Toc455652375"/>
      <w:bookmarkStart w:id="1739" w:name="_Toc453706761"/>
      <w:bookmarkStart w:id="1740" w:name="_Toc455650370"/>
      <w:bookmarkStart w:id="1741" w:name="_Toc455494991"/>
      <w:bookmarkStart w:id="1742" w:name="_Toc453707243"/>
      <w:bookmarkStart w:id="1743" w:name="_Toc455651356"/>
      <w:r>
        <w:rPr>
          <w:rFonts w:hint="eastAsia" w:ascii="宋体" w:hAnsi="宋体" w:eastAsia="宋体"/>
          <w:szCs w:val="21"/>
        </w:rPr>
        <w:t>2)沉井的浮运、定位和下沉措施；</w:t>
      </w:r>
      <w:bookmarkEnd w:id="1737"/>
      <w:bookmarkEnd w:id="1738"/>
      <w:bookmarkEnd w:id="1739"/>
      <w:bookmarkEnd w:id="1740"/>
      <w:bookmarkEnd w:id="1741"/>
      <w:bookmarkEnd w:id="1742"/>
      <w:bookmarkEnd w:id="1743"/>
    </w:p>
    <w:p w14:paraId="1959FB26">
      <w:pPr>
        <w:snapToGrid w:val="0"/>
        <w:spacing w:line="300" w:lineRule="auto"/>
        <w:ind w:firstLine="420" w:firstLineChars="200"/>
        <w:rPr>
          <w:rFonts w:ascii="宋体" w:hAnsi="宋体" w:eastAsia="宋体"/>
          <w:szCs w:val="21"/>
        </w:rPr>
      </w:pPr>
      <w:bookmarkStart w:id="1744" w:name="_Toc453707244"/>
      <w:bookmarkStart w:id="1745" w:name="_Toc455651357"/>
      <w:bookmarkStart w:id="1746" w:name="_Toc455494992"/>
      <w:bookmarkStart w:id="1747" w:name="_Toc455648439"/>
      <w:bookmarkStart w:id="1748" w:name="_Toc455652376"/>
      <w:bookmarkStart w:id="1749" w:name="_Toc455650371"/>
      <w:bookmarkStart w:id="1750" w:name="_Toc453706762"/>
      <w:r>
        <w:rPr>
          <w:rFonts w:hint="eastAsia" w:ascii="宋体" w:hAnsi="宋体" w:eastAsia="宋体"/>
          <w:szCs w:val="21"/>
        </w:rPr>
        <w:t>3)沉井基底处理和封底措施；</w:t>
      </w:r>
      <w:bookmarkEnd w:id="1744"/>
      <w:bookmarkEnd w:id="1745"/>
      <w:bookmarkEnd w:id="1746"/>
      <w:bookmarkEnd w:id="1747"/>
      <w:bookmarkEnd w:id="1748"/>
      <w:bookmarkEnd w:id="1749"/>
      <w:bookmarkEnd w:id="1750"/>
    </w:p>
    <w:p w14:paraId="50A44975">
      <w:pPr>
        <w:snapToGrid w:val="0"/>
        <w:spacing w:line="300" w:lineRule="auto"/>
        <w:ind w:firstLine="420" w:firstLineChars="200"/>
        <w:rPr>
          <w:rFonts w:ascii="宋体" w:hAnsi="宋体" w:eastAsia="宋体"/>
          <w:szCs w:val="21"/>
        </w:rPr>
      </w:pPr>
      <w:bookmarkStart w:id="1751" w:name="_Toc453706763"/>
      <w:bookmarkStart w:id="1752" w:name="_Toc455650372"/>
      <w:bookmarkStart w:id="1753" w:name="_Toc455651358"/>
      <w:bookmarkStart w:id="1754" w:name="_Toc453707245"/>
      <w:bookmarkStart w:id="1755" w:name="_Toc455494993"/>
      <w:bookmarkStart w:id="1756" w:name="_Toc455648440"/>
      <w:bookmarkStart w:id="1757" w:name="_Toc455652377"/>
      <w:r>
        <w:rPr>
          <w:rFonts w:hint="eastAsia" w:ascii="宋体" w:hAnsi="宋体" w:eastAsia="宋体"/>
          <w:szCs w:val="21"/>
        </w:rPr>
        <w:t>4)质量检验，以及安全和环境保护措施；</w:t>
      </w:r>
      <w:bookmarkEnd w:id="1751"/>
      <w:bookmarkEnd w:id="1752"/>
      <w:bookmarkEnd w:id="1753"/>
      <w:bookmarkEnd w:id="1754"/>
      <w:bookmarkEnd w:id="1755"/>
      <w:bookmarkEnd w:id="1756"/>
      <w:bookmarkEnd w:id="1757"/>
    </w:p>
    <w:p w14:paraId="76C60C19">
      <w:pPr>
        <w:snapToGrid w:val="0"/>
        <w:spacing w:line="300" w:lineRule="auto"/>
        <w:ind w:firstLine="420" w:firstLineChars="200"/>
        <w:rPr>
          <w:rFonts w:ascii="宋体" w:hAnsi="宋体" w:eastAsia="宋体"/>
          <w:szCs w:val="21"/>
        </w:rPr>
      </w:pPr>
      <w:bookmarkStart w:id="1758" w:name="_Toc455650373"/>
      <w:bookmarkStart w:id="1759" w:name="_Toc455648441"/>
      <w:bookmarkStart w:id="1760" w:name="_Toc455494994"/>
      <w:bookmarkStart w:id="1761" w:name="_Toc455652378"/>
      <w:bookmarkStart w:id="1762" w:name="_Toc453706764"/>
      <w:bookmarkStart w:id="1763" w:name="_Toc453707246"/>
      <w:bookmarkStart w:id="1764" w:name="_Toc455651359"/>
      <w:r>
        <w:rPr>
          <w:rFonts w:hint="eastAsia" w:ascii="宋体" w:hAnsi="宋体" w:eastAsia="宋体"/>
          <w:szCs w:val="21"/>
        </w:rPr>
        <w:t>5)施工进度计划。</w:t>
      </w:r>
      <w:bookmarkEnd w:id="1758"/>
      <w:bookmarkEnd w:id="1759"/>
      <w:bookmarkEnd w:id="1760"/>
      <w:bookmarkEnd w:id="1761"/>
      <w:bookmarkEnd w:id="1762"/>
      <w:bookmarkEnd w:id="1763"/>
      <w:bookmarkEnd w:id="1764"/>
    </w:p>
    <w:p w14:paraId="7D8301D7">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9.1.4 引用标准</w:t>
      </w:r>
    </w:p>
    <w:p w14:paraId="4414723D">
      <w:pPr>
        <w:snapToGrid w:val="0"/>
        <w:spacing w:line="300" w:lineRule="auto"/>
        <w:ind w:firstLine="420" w:firstLineChars="200"/>
        <w:rPr>
          <w:rFonts w:ascii="宋体" w:hAnsi="宋体" w:eastAsia="宋体"/>
          <w:szCs w:val="21"/>
        </w:rPr>
      </w:pPr>
      <w:bookmarkStart w:id="1765" w:name="_Toc455650374"/>
      <w:bookmarkStart w:id="1766" w:name="_Toc455651360"/>
      <w:bookmarkStart w:id="1767" w:name="_Toc455652379"/>
      <w:bookmarkStart w:id="1768" w:name="_Toc455494995"/>
      <w:bookmarkStart w:id="1769" w:name="_Toc455648442"/>
      <w:bookmarkStart w:id="1770" w:name="_Toc453707247"/>
      <w:bookmarkStart w:id="1771" w:name="_Toc453706765"/>
      <w:r>
        <w:rPr>
          <w:rFonts w:hint="eastAsia" w:ascii="宋体" w:hAnsi="宋体" w:eastAsia="宋体"/>
          <w:szCs w:val="21"/>
        </w:rPr>
        <w:t>(1)《建筑地基基础工程施工质量验收规范》(GB50202-2018)；</w:t>
      </w:r>
      <w:bookmarkEnd w:id="1765"/>
      <w:bookmarkEnd w:id="1766"/>
      <w:bookmarkEnd w:id="1767"/>
      <w:bookmarkEnd w:id="1768"/>
      <w:bookmarkEnd w:id="1769"/>
      <w:bookmarkEnd w:id="1770"/>
      <w:bookmarkEnd w:id="1771"/>
    </w:p>
    <w:p w14:paraId="14BAE3DA">
      <w:pPr>
        <w:snapToGrid w:val="0"/>
        <w:spacing w:line="300" w:lineRule="auto"/>
        <w:ind w:firstLine="420" w:firstLineChars="200"/>
        <w:rPr>
          <w:rFonts w:ascii="宋体" w:hAnsi="宋体" w:eastAsia="宋体"/>
          <w:szCs w:val="21"/>
        </w:rPr>
      </w:pPr>
      <w:bookmarkStart w:id="1772" w:name="_Toc455652380"/>
      <w:bookmarkStart w:id="1773" w:name="_Toc455494996"/>
      <w:bookmarkStart w:id="1774" w:name="_Toc455651361"/>
      <w:bookmarkStart w:id="1775" w:name="_Toc455650375"/>
      <w:bookmarkStart w:id="1776" w:name="_Toc453707248"/>
      <w:bookmarkStart w:id="1777" w:name="_Toc453706766"/>
      <w:bookmarkStart w:id="1778" w:name="_Toc455648443"/>
      <w:r>
        <w:rPr>
          <w:rFonts w:hint="eastAsia" w:ascii="宋体" w:hAnsi="宋体" w:eastAsia="宋体"/>
          <w:szCs w:val="21"/>
        </w:rPr>
        <w:t>(2)《混凝土结构工程施工质量验收规范》(GB50204-2015)；</w:t>
      </w:r>
      <w:bookmarkEnd w:id="1772"/>
      <w:bookmarkEnd w:id="1773"/>
      <w:bookmarkEnd w:id="1774"/>
      <w:bookmarkEnd w:id="1775"/>
      <w:bookmarkEnd w:id="1776"/>
      <w:bookmarkEnd w:id="1777"/>
      <w:bookmarkEnd w:id="1778"/>
    </w:p>
    <w:p w14:paraId="470FC69A">
      <w:pPr>
        <w:snapToGrid w:val="0"/>
        <w:spacing w:line="300" w:lineRule="auto"/>
        <w:ind w:firstLine="420" w:firstLineChars="200"/>
        <w:rPr>
          <w:rFonts w:ascii="宋体" w:hAnsi="宋体" w:eastAsia="宋体"/>
          <w:szCs w:val="21"/>
        </w:rPr>
      </w:pPr>
      <w:bookmarkStart w:id="1779" w:name="_Toc453706767"/>
      <w:bookmarkStart w:id="1780" w:name="_Toc455652381"/>
      <w:bookmarkStart w:id="1781" w:name="_Toc455494997"/>
      <w:bookmarkStart w:id="1782" w:name="_Toc455651362"/>
      <w:bookmarkStart w:id="1783" w:name="_Toc455648444"/>
      <w:bookmarkStart w:id="1784" w:name="_Toc453707249"/>
      <w:bookmarkStart w:id="1785" w:name="_Toc455650376"/>
      <w:r>
        <w:rPr>
          <w:rFonts w:hint="eastAsia" w:ascii="宋体" w:hAnsi="宋体" w:eastAsia="宋体"/>
          <w:szCs w:val="21"/>
        </w:rPr>
        <w:t>(3)《地下防水工程质量验收规范》(GB50208-2011)；</w:t>
      </w:r>
      <w:bookmarkEnd w:id="1779"/>
      <w:bookmarkEnd w:id="1780"/>
      <w:bookmarkEnd w:id="1781"/>
      <w:bookmarkEnd w:id="1782"/>
      <w:bookmarkEnd w:id="1783"/>
      <w:bookmarkEnd w:id="1784"/>
      <w:bookmarkEnd w:id="1785"/>
    </w:p>
    <w:p w14:paraId="1983FDBB">
      <w:pPr>
        <w:snapToGrid w:val="0"/>
        <w:spacing w:line="300" w:lineRule="auto"/>
        <w:ind w:firstLine="420" w:firstLineChars="200"/>
        <w:rPr>
          <w:rFonts w:ascii="宋体" w:hAnsi="宋体" w:eastAsia="宋体"/>
          <w:szCs w:val="21"/>
        </w:rPr>
      </w:pPr>
      <w:bookmarkStart w:id="1786" w:name="_Toc453706768"/>
      <w:bookmarkStart w:id="1787" w:name="_Toc455650377"/>
      <w:bookmarkStart w:id="1788" w:name="_Toc455651363"/>
      <w:bookmarkStart w:id="1789" w:name="_Toc455494998"/>
      <w:bookmarkStart w:id="1790" w:name="_Toc453707250"/>
      <w:bookmarkStart w:id="1791" w:name="_Toc455652382"/>
      <w:bookmarkStart w:id="1792" w:name="_Toc455648445"/>
      <w:r>
        <w:rPr>
          <w:rFonts w:hint="eastAsia" w:ascii="宋体" w:hAnsi="宋体" w:eastAsia="宋体"/>
          <w:szCs w:val="21"/>
        </w:rPr>
        <w:t>(4)《水利水电工程混凝土防渗墙施工技术规范》(SL174-2014)；</w:t>
      </w:r>
      <w:bookmarkEnd w:id="1786"/>
      <w:bookmarkEnd w:id="1787"/>
      <w:bookmarkEnd w:id="1788"/>
      <w:bookmarkEnd w:id="1789"/>
      <w:bookmarkEnd w:id="1790"/>
      <w:bookmarkEnd w:id="1791"/>
      <w:bookmarkEnd w:id="1792"/>
    </w:p>
    <w:p w14:paraId="36730A6E">
      <w:pPr>
        <w:snapToGrid w:val="0"/>
        <w:spacing w:line="300" w:lineRule="auto"/>
        <w:ind w:firstLine="420" w:firstLineChars="200"/>
        <w:rPr>
          <w:rFonts w:ascii="宋体" w:hAnsi="宋体" w:eastAsia="宋体"/>
          <w:szCs w:val="21"/>
        </w:rPr>
      </w:pPr>
      <w:bookmarkStart w:id="1793" w:name="_Toc453707251"/>
      <w:bookmarkStart w:id="1794" w:name="_Toc455652383"/>
      <w:bookmarkStart w:id="1795" w:name="_Toc453706769"/>
      <w:bookmarkStart w:id="1796" w:name="_Toc455650378"/>
      <w:bookmarkStart w:id="1797" w:name="_Toc455651364"/>
      <w:bookmarkStart w:id="1798" w:name="_Toc455494999"/>
      <w:bookmarkStart w:id="1799" w:name="_Toc455648446"/>
      <w:r>
        <w:rPr>
          <w:rFonts w:hint="eastAsia" w:ascii="宋体" w:hAnsi="宋体" w:eastAsia="宋体"/>
          <w:szCs w:val="21"/>
        </w:rPr>
        <w:t>(5)《建筑桩基技术规范》(JGJ94-2018)；</w:t>
      </w:r>
      <w:bookmarkEnd w:id="1793"/>
      <w:bookmarkEnd w:id="1794"/>
      <w:bookmarkEnd w:id="1795"/>
      <w:bookmarkEnd w:id="1796"/>
      <w:bookmarkEnd w:id="1797"/>
      <w:bookmarkEnd w:id="1798"/>
      <w:bookmarkEnd w:id="1799"/>
    </w:p>
    <w:p w14:paraId="6AFF9B28">
      <w:pPr>
        <w:snapToGrid w:val="0"/>
        <w:spacing w:line="300" w:lineRule="auto"/>
        <w:ind w:firstLine="420" w:firstLineChars="200"/>
        <w:rPr>
          <w:rFonts w:ascii="宋体" w:hAnsi="宋体" w:eastAsia="宋体"/>
          <w:szCs w:val="21"/>
        </w:rPr>
      </w:pPr>
      <w:bookmarkStart w:id="1800" w:name="_Toc453707252"/>
      <w:bookmarkStart w:id="1801" w:name="_Toc455495000"/>
      <w:bookmarkStart w:id="1802" w:name="_Toc455648447"/>
      <w:bookmarkStart w:id="1803" w:name="_Toc455650379"/>
      <w:bookmarkStart w:id="1804" w:name="_Toc455652384"/>
      <w:bookmarkStart w:id="1805" w:name="_Toc453706770"/>
      <w:bookmarkStart w:id="1806" w:name="_Toc455651365"/>
      <w:r>
        <w:rPr>
          <w:rFonts w:hint="eastAsia" w:ascii="宋体" w:hAnsi="宋体" w:eastAsia="宋体"/>
          <w:szCs w:val="21"/>
        </w:rPr>
        <w:t>(6)《建筑基桩检测技术规范》(JGJ106-2014)、(J256-2014)；</w:t>
      </w:r>
      <w:bookmarkEnd w:id="1800"/>
      <w:bookmarkEnd w:id="1801"/>
      <w:bookmarkEnd w:id="1802"/>
      <w:bookmarkEnd w:id="1803"/>
      <w:bookmarkEnd w:id="1804"/>
      <w:bookmarkEnd w:id="1805"/>
      <w:bookmarkEnd w:id="1806"/>
    </w:p>
    <w:p w14:paraId="46178F83">
      <w:pPr>
        <w:snapToGrid w:val="0"/>
        <w:spacing w:line="300" w:lineRule="auto"/>
        <w:ind w:firstLine="420" w:firstLineChars="200"/>
        <w:rPr>
          <w:rFonts w:ascii="宋体" w:hAnsi="宋体" w:eastAsia="宋体"/>
          <w:szCs w:val="21"/>
        </w:rPr>
      </w:pPr>
      <w:bookmarkStart w:id="1807" w:name="_Toc455495001"/>
      <w:bookmarkStart w:id="1808" w:name="_Toc453707253"/>
      <w:bookmarkStart w:id="1809" w:name="_Toc453706771"/>
      <w:bookmarkStart w:id="1810" w:name="_Toc455650380"/>
      <w:bookmarkStart w:id="1811" w:name="_Toc455648448"/>
      <w:bookmarkStart w:id="1812" w:name="_Toc455651366"/>
      <w:bookmarkStart w:id="1813" w:name="_Toc455652385"/>
      <w:r>
        <w:rPr>
          <w:rFonts w:hint="eastAsia" w:ascii="宋体" w:hAnsi="宋体" w:eastAsia="宋体"/>
          <w:szCs w:val="21"/>
        </w:rPr>
        <w:t>(7)《水电水利工程振冲法地基处理技术规范》(DL/T5214-2016)；</w:t>
      </w:r>
      <w:bookmarkEnd w:id="1807"/>
      <w:bookmarkEnd w:id="1808"/>
      <w:bookmarkEnd w:id="1809"/>
      <w:bookmarkEnd w:id="1810"/>
      <w:bookmarkEnd w:id="1811"/>
      <w:bookmarkEnd w:id="1812"/>
      <w:bookmarkEnd w:id="1813"/>
    </w:p>
    <w:p w14:paraId="79B80B8C">
      <w:pPr>
        <w:snapToGrid w:val="0"/>
        <w:spacing w:line="300" w:lineRule="auto"/>
        <w:ind w:firstLine="420" w:firstLineChars="200"/>
        <w:rPr>
          <w:rFonts w:ascii="宋体" w:hAnsi="宋体" w:eastAsia="宋体"/>
          <w:szCs w:val="21"/>
        </w:rPr>
      </w:pPr>
      <w:bookmarkStart w:id="1814" w:name="_Toc453707254"/>
      <w:bookmarkStart w:id="1815" w:name="_Toc455652386"/>
      <w:bookmarkStart w:id="1816" w:name="_Toc455495002"/>
      <w:bookmarkStart w:id="1817" w:name="_Toc453706772"/>
      <w:bookmarkStart w:id="1818" w:name="_Toc455651367"/>
      <w:bookmarkStart w:id="1819" w:name="_Toc455648449"/>
      <w:bookmarkStart w:id="1820" w:name="_Toc455650381"/>
      <w:r>
        <w:rPr>
          <w:rFonts w:hint="eastAsia" w:ascii="宋体" w:hAnsi="宋体" w:eastAsia="宋体"/>
          <w:szCs w:val="21"/>
        </w:rPr>
        <w:t>(8)《水工混凝土钢筋施工规范》(DL/T5169-2013)。</w:t>
      </w:r>
      <w:bookmarkEnd w:id="1814"/>
      <w:bookmarkEnd w:id="1815"/>
      <w:bookmarkEnd w:id="1816"/>
      <w:bookmarkEnd w:id="1817"/>
      <w:bookmarkEnd w:id="1818"/>
      <w:bookmarkEnd w:id="1819"/>
      <w:bookmarkEnd w:id="1820"/>
    </w:p>
    <w:p w14:paraId="5B55D995">
      <w:pPr>
        <w:adjustRightInd w:val="0"/>
        <w:snapToGrid w:val="0"/>
        <w:spacing w:before="134" w:beforeLines="25" w:line="300" w:lineRule="auto"/>
        <w:outlineLvl w:val="1"/>
        <w:rPr>
          <w:rFonts w:ascii="宋体" w:hAnsi="宋体" w:eastAsia="宋体"/>
          <w:b/>
          <w:bCs/>
          <w:sz w:val="24"/>
          <w:szCs w:val="24"/>
        </w:rPr>
      </w:pPr>
      <w:bookmarkStart w:id="1821" w:name="第12章02"/>
      <w:bookmarkEnd w:id="1821"/>
      <w:bookmarkStart w:id="1822" w:name="_Toc453707255"/>
      <w:bookmarkStart w:id="1823" w:name="_Toc453706773"/>
      <w:bookmarkStart w:id="1824" w:name="_Toc455652387"/>
      <w:bookmarkStart w:id="1825" w:name="_Toc455651368"/>
      <w:bookmarkStart w:id="1826" w:name="_Toc455648450"/>
      <w:bookmarkStart w:id="1827" w:name="_Toc455650382"/>
      <w:bookmarkStart w:id="1828" w:name="_Toc455495003"/>
      <w:r>
        <w:rPr>
          <w:rFonts w:hint="eastAsia" w:ascii="宋体" w:hAnsi="宋体" w:eastAsia="宋体"/>
          <w:b/>
          <w:bCs/>
          <w:sz w:val="24"/>
          <w:szCs w:val="24"/>
        </w:rPr>
        <w:t>9.2 振冲地基</w:t>
      </w:r>
      <w:bookmarkEnd w:id="1822"/>
      <w:bookmarkEnd w:id="1823"/>
      <w:bookmarkEnd w:id="1824"/>
      <w:bookmarkEnd w:id="1825"/>
      <w:bookmarkEnd w:id="1826"/>
      <w:bookmarkEnd w:id="1827"/>
      <w:bookmarkEnd w:id="1828"/>
    </w:p>
    <w:p w14:paraId="07089FF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9.2.1 一般要求</w:t>
      </w:r>
    </w:p>
    <w:p w14:paraId="51F678E7">
      <w:pPr>
        <w:snapToGrid w:val="0"/>
        <w:spacing w:line="300" w:lineRule="auto"/>
        <w:ind w:firstLine="420" w:firstLineChars="200"/>
        <w:rPr>
          <w:rFonts w:ascii="宋体" w:hAnsi="宋体" w:eastAsia="宋体"/>
          <w:szCs w:val="21"/>
        </w:rPr>
      </w:pPr>
      <w:bookmarkStart w:id="1829" w:name="_Toc455650383"/>
      <w:bookmarkStart w:id="1830" w:name="_Toc453706774"/>
      <w:bookmarkStart w:id="1831" w:name="_Toc455652388"/>
      <w:bookmarkStart w:id="1832" w:name="_Toc453707256"/>
      <w:bookmarkStart w:id="1833" w:name="_Toc455495004"/>
      <w:bookmarkStart w:id="1834" w:name="_Toc455651369"/>
      <w:bookmarkStart w:id="1835" w:name="_Toc455648451"/>
      <w:r>
        <w:rPr>
          <w:rFonts w:hint="eastAsia" w:ascii="宋体" w:hAnsi="宋体" w:eastAsia="宋体"/>
          <w:szCs w:val="21"/>
        </w:rPr>
        <w:t>（1）振冲地基的加固处理应遵守DL/T5214-2005第3.0.3条的有关规定。</w:t>
      </w:r>
      <w:bookmarkEnd w:id="1829"/>
      <w:bookmarkEnd w:id="1830"/>
      <w:bookmarkEnd w:id="1831"/>
      <w:bookmarkEnd w:id="1832"/>
      <w:bookmarkEnd w:id="1833"/>
      <w:bookmarkEnd w:id="1834"/>
      <w:bookmarkEnd w:id="1835"/>
    </w:p>
    <w:p w14:paraId="13B3E2FA">
      <w:pPr>
        <w:snapToGrid w:val="0"/>
        <w:spacing w:line="300" w:lineRule="auto"/>
        <w:ind w:firstLine="420" w:firstLineChars="200"/>
        <w:rPr>
          <w:rFonts w:ascii="宋体" w:hAnsi="宋体" w:eastAsia="宋体"/>
          <w:szCs w:val="21"/>
        </w:rPr>
      </w:pPr>
      <w:bookmarkStart w:id="1836" w:name="_Toc453706775"/>
      <w:bookmarkStart w:id="1837" w:name="_Toc455648452"/>
      <w:bookmarkStart w:id="1838" w:name="_Toc453707257"/>
      <w:bookmarkStart w:id="1839" w:name="_Toc455650384"/>
      <w:bookmarkStart w:id="1840" w:name="_Toc455652389"/>
      <w:bookmarkStart w:id="1841" w:name="_Toc455651370"/>
      <w:bookmarkStart w:id="1842" w:name="_Toc455495005"/>
      <w:r>
        <w:rPr>
          <w:rFonts w:hint="eastAsia" w:ascii="宋体" w:hAnsi="宋体" w:eastAsia="宋体"/>
          <w:szCs w:val="21"/>
        </w:rPr>
        <w:t>（2）大型和复杂的地基工程施工前，承包人应选择有代表性地段进行振冲工艺试验，以验证振冲加固的效果。</w:t>
      </w:r>
      <w:bookmarkEnd w:id="1836"/>
      <w:bookmarkEnd w:id="1837"/>
      <w:bookmarkEnd w:id="1838"/>
      <w:bookmarkEnd w:id="1839"/>
      <w:bookmarkEnd w:id="1840"/>
      <w:bookmarkEnd w:id="1841"/>
      <w:bookmarkEnd w:id="1842"/>
    </w:p>
    <w:p w14:paraId="4AEF1F9D">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9.2.2材料</w:t>
      </w:r>
    </w:p>
    <w:p w14:paraId="6BDCE564">
      <w:pPr>
        <w:snapToGrid w:val="0"/>
        <w:spacing w:line="300" w:lineRule="auto"/>
        <w:ind w:firstLine="420" w:firstLineChars="200"/>
        <w:rPr>
          <w:rFonts w:ascii="宋体" w:hAnsi="宋体" w:eastAsia="宋体"/>
          <w:szCs w:val="21"/>
        </w:rPr>
      </w:pPr>
      <w:bookmarkStart w:id="1843" w:name="_Toc455648453"/>
      <w:bookmarkStart w:id="1844" w:name="_Toc455652390"/>
      <w:bookmarkStart w:id="1845" w:name="_Toc455651371"/>
      <w:bookmarkStart w:id="1846" w:name="_Toc455650385"/>
      <w:bookmarkStart w:id="1847" w:name="_Toc453707258"/>
      <w:bookmarkStart w:id="1848" w:name="_Toc453706776"/>
      <w:bookmarkStart w:id="1849" w:name="_Toc455495006"/>
      <w:r>
        <w:rPr>
          <w:rFonts w:hint="eastAsia" w:ascii="宋体" w:hAnsi="宋体" w:eastAsia="宋体"/>
          <w:szCs w:val="21"/>
        </w:rPr>
        <w:t>（1）振冲置换法桩体的填料应采用含泥量不大的碎石、卵石、角砾等硬质材料，禁止使用已风化及易腐蚀、软化的石料。</w:t>
      </w:r>
      <w:bookmarkEnd w:id="1843"/>
      <w:bookmarkEnd w:id="1844"/>
      <w:bookmarkEnd w:id="1845"/>
      <w:bookmarkEnd w:id="1846"/>
      <w:bookmarkEnd w:id="1847"/>
      <w:bookmarkEnd w:id="1848"/>
      <w:bookmarkEnd w:id="1849"/>
    </w:p>
    <w:p w14:paraId="2B0C7547">
      <w:pPr>
        <w:snapToGrid w:val="0"/>
        <w:spacing w:line="300" w:lineRule="auto"/>
        <w:ind w:firstLine="420" w:firstLineChars="200"/>
        <w:rPr>
          <w:rFonts w:ascii="宋体" w:hAnsi="宋体" w:eastAsia="宋体"/>
          <w:szCs w:val="21"/>
        </w:rPr>
      </w:pPr>
      <w:bookmarkStart w:id="1850" w:name="_Toc455652391"/>
      <w:bookmarkStart w:id="1851" w:name="_Toc455648454"/>
      <w:bookmarkStart w:id="1852" w:name="_Toc455495007"/>
      <w:bookmarkStart w:id="1853" w:name="_Toc455651372"/>
      <w:bookmarkStart w:id="1854" w:name="_Toc453706777"/>
      <w:bookmarkStart w:id="1855" w:name="_Toc453707259"/>
      <w:bookmarkStart w:id="1856" w:name="_Toc455650386"/>
      <w:r>
        <w:rPr>
          <w:rFonts w:hint="eastAsia" w:ascii="宋体" w:hAnsi="宋体" w:eastAsia="宋体"/>
          <w:szCs w:val="21"/>
        </w:rPr>
        <w:t>（2）振冲密实法每一振冲点所需的填料量，应根据地基土要求的密实程度和振冲点间距，通过现场试验确定，填料应采用碎石、卵石、角砾、粗、中；砂等性能稳定的硬质材料。</w:t>
      </w:r>
      <w:bookmarkEnd w:id="1850"/>
      <w:bookmarkEnd w:id="1851"/>
      <w:bookmarkEnd w:id="1852"/>
      <w:bookmarkEnd w:id="1853"/>
      <w:bookmarkEnd w:id="1854"/>
      <w:bookmarkEnd w:id="1855"/>
      <w:bookmarkEnd w:id="1856"/>
    </w:p>
    <w:p w14:paraId="2FAC6D44">
      <w:pPr>
        <w:snapToGrid w:val="0"/>
        <w:spacing w:line="300" w:lineRule="auto"/>
        <w:ind w:firstLine="420" w:firstLineChars="200"/>
        <w:rPr>
          <w:rFonts w:ascii="宋体" w:hAnsi="宋体" w:eastAsia="宋体"/>
          <w:szCs w:val="21"/>
        </w:rPr>
      </w:pPr>
      <w:bookmarkStart w:id="1857" w:name="_Toc453707260"/>
      <w:bookmarkStart w:id="1858" w:name="_Toc455495008"/>
      <w:bookmarkStart w:id="1859" w:name="_Toc455651373"/>
      <w:bookmarkStart w:id="1860" w:name="_Toc455652392"/>
      <w:bookmarkStart w:id="1861" w:name="_Toc455650387"/>
      <w:bookmarkStart w:id="1862" w:name="_Toc453706778"/>
      <w:bookmarkStart w:id="1863" w:name="_Toc455648455"/>
      <w:r>
        <w:rPr>
          <w:rFonts w:hint="eastAsia" w:ascii="宋体" w:hAnsi="宋体" w:eastAsia="宋体"/>
          <w:szCs w:val="21"/>
        </w:rPr>
        <w:t>（3）填料级配应经现场试验确定，禁止使用单级配填料，试验成果应提交监理人。</w:t>
      </w:r>
      <w:bookmarkEnd w:id="1857"/>
      <w:bookmarkEnd w:id="1858"/>
      <w:bookmarkEnd w:id="1859"/>
      <w:bookmarkEnd w:id="1860"/>
      <w:bookmarkEnd w:id="1861"/>
      <w:bookmarkEnd w:id="1862"/>
      <w:bookmarkEnd w:id="1863"/>
    </w:p>
    <w:p w14:paraId="3DFD794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9.2.3 振冲机具设备</w:t>
      </w:r>
    </w:p>
    <w:p w14:paraId="4738A059">
      <w:pPr>
        <w:snapToGrid w:val="0"/>
        <w:spacing w:line="300" w:lineRule="auto"/>
        <w:ind w:firstLine="420" w:firstLineChars="200"/>
        <w:rPr>
          <w:rFonts w:ascii="宋体" w:hAnsi="宋体" w:eastAsia="宋体"/>
          <w:szCs w:val="21"/>
        </w:rPr>
      </w:pPr>
      <w:bookmarkStart w:id="1864" w:name="_Toc453707261"/>
      <w:bookmarkStart w:id="1865" w:name="_Toc455652393"/>
      <w:bookmarkStart w:id="1866" w:name="_Toc455651374"/>
      <w:bookmarkStart w:id="1867" w:name="_Toc455495009"/>
      <w:bookmarkStart w:id="1868" w:name="_Toc453706779"/>
      <w:bookmarkStart w:id="1869" w:name="_Toc455648456"/>
      <w:bookmarkStart w:id="1870" w:name="_Toc455650388"/>
      <w:r>
        <w:rPr>
          <w:rFonts w:hint="eastAsia" w:ascii="宋体" w:hAnsi="宋体" w:eastAsia="宋体"/>
          <w:szCs w:val="21"/>
        </w:rPr>
        <w:t>振冲机具设备的选择应符合DL/T5214-2005第6.2节的有关规定。</w:t>
      </w:r>
      <w:bookmarkEnd w:id="1864"/>
      <w:bookmarkEnd w:id="1865"/>
      <w:bookmarkEnd w:id="1866"/>
      <w:bookmarkEnd w:id="1867"/>
      <w:bookmarkEnd w:id="1868"/>
      <w:bookmarkEnd w:id="1869"/>
      <w:bookmarkEnd w:id="1870"/>
    </w:p>
    <w:p w14:paraId="64F2B605">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9.2.4 造孔和清孔</w:t>
      </w:r>
    </w:p>
    <w:p w14:paraId="1CFF9981">
      <w:pPr>
        <w:snapToGrid w:val="0"/>
        <w:spacing w:line="300" w:lineRule="auto"/>
        <w:ind w:firstLine="420" w:firstLineChars="200"/>
        <w:rPr>
          <w:rFonts w:ascii="宋体" w:hAnsi="宋体" w:eastAsia="宋体"/>
          <w:szCs w:val="21"/>
        </w:rPr>
      </w:pPr>
      <w:bookmarkStart w:id="1871" w:name="_Toc455650389"/>
      <w:bookmarkStart w:id="1872" w:name="_Toc455651375"/>
      <w:bookmarkStart w:id="1873" w:name="_Toc455648457"/>
      <w:bookmarkStart w:id="1874" w:name="_Toc453707262"/>
      <w:bookmarkStart w:id="1875" w:name="_Toc455652394"/>
      <w:bookmarkStart w:id="1876" w:name="_Toc455495010"/>
      <w:bookmarkStart w:id="1877" w:name="_Toc453706780"/>
      <w:r>
        <w:rPr>
          <w:rFonts w:hint="eastAsia" w:ascii="宋体" w:hAnsi="宋体" w:eastAsia="宋体"/>
          <w:szCs w:val="21"/>
        </w:rPr>
        <w:t>振冲桩的桩位应按施工图纸要求测定，造孔和清孔应遵守DL/T5214-2005第6.3.2条的规定。</w:t>
      </w:r>
      <w:bookmarkEnd w:id="1871"/>
      <w:bookmarkEnd w:id="1872"/>
      <w:bookmarkEnd w:id="1873"/>
      <w:bookmarkEnd w:id="1874"/>
      <w:bookmarkEnd w:id="1875"/>
      <w:bookmarkEnd w:id="1876"/>
      <w:bookmarkEnd w:id="1877"/>
    </w:p>
    <w:p w14:paraId="3CB3808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9.2.5 填料和加密</w:t>
      </w:r>
    </w:p>
    <w:p w14:paraId="653428BE">
      <w:pPr>
        <w:snapToGrid w:val="0"/>
        <w:spacing w:line="300" w:lineRule="auto"/>
        <w:ind w:firstLine="420" w:firstLineChars="200"/>
        <w:rPr>
          <w:rFonts w:ascii="宋体" w:hAnsi="宋体" w:eastAsia="宋体"/>
          <w:szCs w:val="21"/>
        </w:rPr>
      </w:pPr>
      <w:bookmarkStart w:id="1878" w:name="_Toc455652395"/>
      <w:bookmarkStart w:id="1879" w:name="_Toc455495011"/>
      <w:bookmarkStart w:id="1880" w:name="_Toc455650390"/>
      <w:bookmarkStart w:id="1881" w:name="_Toc455651376"/>
      <w:bookmarkStart w:id="1882" w:name="_Toc453706781"/>
      <w:bookmarkStart w:id="1883" w:name="_Toc455648458"/>
      <w:bookmarkStart w:id="1884" w:name="_Toc453707263"/>
      <w:r>
        <w:rPr>
          <w:rFonts w:hint="eastAsia" w:ascii="宋体" w:hAnsi="宋体" w:eastAsia="宋体"/>
          <w:szCs w:val="21"/>
        </w:rPr>
        <w:t>填料和加密控制标准应遵守DL/T5214-2005第6.3.4条和第6.3.5条的有关规定。</w:t>
      </w:r>
      <w:bookmarkEnd w:id="1878"/>
      <w:bookmarkEnd w:id="1879"/>
      <w:bookmarkEnd w:id="1880"/>
      <w:bookmarkEnd w:id="1881"/>
      <w:bookmarkEnd w:id="1882"/>
      <w:bookmarkEnd w:id="1883"/>
      <w:bookmarkEnd w:id="1884"/>
    </w:p>
    <w:p w14:paraId="2426CC7A">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9.2.6 质量检查和验收</w:t>
      </w:r>
    </w:p>
    <w:p w14:paraId="10EA773E">
      <w:pPr>
        <w:snapToGrid w:val="0"/>
        <w:spacing w:line="300" w:lineRule="auto"/>
        <w:ind w:firstLine="420" w:firstLineChars="200"/>
        <w:rPr>
          <w:rFonts w:ascii="宋体" w:hAnsi="宋体" w:eastAsia="宋体"/>
          <w:szCs w:val="21"/>
        </w:rPr>
      </w:pPr>
      <w:bookmarkStart w:id="1885" w:name="_Toc455652396"/>
      <w:bookmarkStart w:id="1886" w:name="_Toc453707264"/>
      <w:bookmarkStart w:id="1887" w:name="_Toc455650391"/>
      <w:bookmarkStart w:id="1888" w:name="_Toc455648459"/>
      <w:bookmarkStart w:id="1889" w:name="_Toc455495012"/>
      <w:bookmarkStart w:id="1890" w:name="_Toc453706782"/>
      <w:bookmarkStart w:id="1891" w:name="_Toc455651377"/>
      <w:r>
        <w:rPr>
          <w:rFonts w:hint="eastAsia" w:ascii="宋体" w:hAnsi="宋体" w:eastAsia="宋体"/>
          <w:szCs w:val="21"/>
        </w:rPr>
        <w:t>振冲地基施工的质量检验标准应遵守GB50202-2018第4.9节的有关规定。</w:t>
      </w:r>
      <w:bookmarkEnd w:id="1885"/>
      <w:bookmarkEnd w:id="1886"/>
      <w:bookmarkEnd w:id="1887"/>
      <w:bookmarkEnd w:id="1888"/>
      <w:bookmarkEnd w:id="1889"/>
      <w:bookmarkEnd w:id="1890"/>
      <w:bookmarkEnd w:id="1891"/>
    </w:p>
    <w:p w14:paraId="592E0B61">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9.2.7 完工验收</w:t>
      </w:r>
    </w:p>
    <w:p w14:paraId="0077A24C">
      <w:pPr>
        <w:snapToGrid w:val="0"/>
        <w:spacing w:line="300" w:lineRule="auto"/>
        <w:ind w:firstLine="420" w:firstLineChars="200"/>
        <w:rPr>
          <w:rFonts w:ascii="宋体" w:hAnsi="宋体" w:eastAsia="宋体"/>
          <w:szCs w:val="21"/>
        </w:rPr>
      </w:pPr>
      <w:bookmarkStart w:id="1892" w:name="_Toc455652397"/>
      <w:bookmarkStart w:id="1893" w:name="_Toc453706783"/>
      <w:bookmarkStart w:id="1894" w:name="_Toc455495013"/>
      <w:bookmarkStart w:id="1895" w:name="_Toc455650392"/>
      <w:bookmarkStart w:id="1896" w:name="_Toc455651378"/>
      <w:bookmarkStart w:id="1897" w:name="_Toc453707265"/>
      <w:bookmarkStart w:id="1898" w:name="_Toc455648460"/>
      <w:r>
        <w:rPr>
          <w:rFonts w:hint="eastAsia" w:ascii="宋体" w:hAnsi="宋体" w:eastAsia="宋体"/>
          <w:szCs w:val="21"/>
        </w:rPr>
        <w:t>振冲桩基础工程完工后，承包人应向监理人申请完工验收，并提交以下完工验收资料：</w:t>
      </w:r>
      <w:bookmarkEnd w:id="1892"/>
      <w:bookmarkEnd w:id="1893"/>
      <w:bookmarkEnd w:id="1894"/>
      <w:bookmarkEnd w:id="1895"/>
      <w:bookmarkEnd w:id="1896"/>
      <w:bookmarkEnd w:id="1897"/>
      <w:bookmarkEnd w:id="1898"/>
    </w:p>
    <w:p w14:paraId="48493673">
      <w:pPr>
        <w:snapToGrid w:val="0"/>
        <w:spacing w:line="300" w:lineRule="auto"/>
        <w:ind w:firstLine="420" w:firstLineChars="200"/>
        <w:rPr>
          <w:rFonts w:ascii="宋体" w:hAnsi="宋体" w:eastAsia="宋体"/>
          <w:szCs w:val="21"/>
        </w:rPr>
      </w:pPr>
      <w:bookmarkStart w:id="1899" w:name="_Toc455650393"/>
      <w:bookmarkStart w:id="1900" w:name="_Toc455651379"/>
      <w:bookmarkStart w:id="1901" w:name="_Toc453706784"/>
      <w:bookmarkStart w:id="1902" w:name="_Toc455648461"/>
      <w:bookmarkStart w:id="1903" w:name="_Toc453707266"/>
      <w:bookmarkStart w:id="1904" w:name="_Toc455652398"/>
      <w:bookmarkStart w:id="1905" w:name="_Toc455495014"/>
      <w:r>
        <w:rPr>
          <w:rFonts w:hint="eastAsia" w:ascii="宋体" w:hAnsi="宋体" w:eastAsia="宋体"/>
          <w:szCs w:val="21"/>
        </w:rPr>
        <w:t>(1)振冲桩基竣工图和说明书；</w:t>
      </w:r>
      <w:bookmarkEnd w:id="1899"/>
      <w:bookmarkEnd w:id="1900"/>
      <w:bookmarkEnd w:id="1901"/>
      <w:bookmarkEnd w:id="1902"/>
      <w:bookmarkEnd w:id="1903"/>
      <w:bookmarkEnd w:id="1904"/>
      <w:bookmarkEnd w:id="1905"/>
    </w:p>
    <w:p w14:paraId="4B316DA0">
      <w:pPr>
        <w:snapToGrid w:val="0"/>
        <w:spacing w:line="300" w:lineRule="auto"/>
        <w:ind w:firstLine="420" w:firstLineChars="200"/>
        <w:rPr>
          <w:rFonts w:ascii="宋体" w:hAnsi="宋体" w:eastAsia="宋体"/>
          <w:szCs w:val="21"/>
        </w:rPr>
      </w:pPr>
      <w:bookmarkStart w:id="1906" w:name="_Toc455652399"/>
      <w:bookmarkStart w:id="1907" w:name="_Toc453707267"/>
      <w:bookmarkStart w:id="1908" w:name="_Toc455648462"/>
      <w:bookmarkStart w:id="1909" w:name="_Toc455650394"/>
      <w:bookmarkStart w:id="1910" w:name="_Toc455495015"/>
      <w:bookmarkStart w:id="1911" w:name="_Toc455651380"/>
      <w:bookmarkStart w:id="1912" w:name="_Toc453706785"/>
      <w:r>
        <w:rPr>
          <w:rFonts w:hint="eastAsia" w:ascii="宋体" w:hAnsi="宋体" w:eastAsia="宋体"/>
          <w:szCs w:val="21"/>
        </w:rPr>
        <w:t>(2)振冲桩基工程材料试验成果报告；</w:t>
      </w:r>
      <w:bookmarkEnd w:id="1906"/>
      <w:bookmarkEnd w:id="1907"/>
      <w:bookmarkEnd w:id="1908"/>
      <w:bookmarkEnd w:id="1909"/>
      <w:bookmarkEnd w:id="1910"/>
      <w:bookmarkEnd w:id="1911"/>
      <w:bookmarkEnd w:id="1912"/>
    </w:p>
    <w:p w14:paraId="5C9F669A">
      <w:pPr>
        <w:snapToGrid w:val="0"/>
        <w:spacing w:line="300" w:lineRule="auto"/>
        <w:ind w:firstLine="420" w:firstLineChars="200"/>
        <w:rPr>
          <w:rFonts w:ascii="宋体" w:hAnsi="宋体" w:eastAsia="宋体"/>
          <w:szCs w:val="21"/>
        </w:rPr>
      </w:pPr>
      <w:bookmarkStart w:id="1913" w:name="_Toc455648463"/>
      <w:bookmarkStart w:id="1914" w:name="_Toc453707268"/>
      <w:bookmarkStart w:id="1915" w:name="_Toc455650395"/>
      <w:bookmarkStart w:id="1916" w:name="_Toc453706786"/>
      <w:bookmarkStart w:id="1917" w:name="_Toc455652400"/>
      <w:bookmarkStart w:id="1918" w:name="_Toc455495016"/>
      <w:bookmarkStart w:id="1919" w:name="_Toc455651381"/>
      <w:r>
        <w:rPr>
          <w:rFonts w:hint="eastAsia" w:ascii="宋体" w:hAnsi="宋体" w:eastAsia="宋体"/>
          <w:szCs w:val="21"/>
        </w:rPr>
        <w:t>(3)振冲桩基工程试桩、桩基承载试验报告和沉井定位测量试验记录；</w:t>
      </w:r>
      <w:bookmarkEnd w:id="1913"/>
      <w:bookmarkEnd w:id="1914"/>
      <w:bookmarkEnd w:id="1915"/>
      <w:bookmarkEnd w:id="1916"/>
      <w:bookmarkEnd w:id="1917"/>
      <w:bookmarkEnd w:id="1918"/>
      <w:bookmarkEnd w:id="1919"/>
    </w:p>
    <w:p w14:paraId="4A2239C5">
      <w:pPr>
        <w:snapToGrid w:val="0"/>
        <w:spacing w:line="300" w:lineRule="auto"/>
        <w:ind w:firstLine="420" w:firstLineChars="200"/>
        <w:rPr>
          <w:rFonts w:ascii="宋体" w:hAnsi="宋体" w:eastAsia="宋体"/>
          <w:szCs w:val="21"/>
        </w:rPr>
      </w:pPr>
      <w:bookmarkStart w:id="1920" w:name="_Toc455651382"/>
      <w:bookmarkStart w:id="1921" w:name="_Toc455650396"/>
      <w:bookmarkStart w:id="1922" w:name="_Toc453707269"/>
      <w:bookmarkStart w:id="1923" w:name="_Toc455652401"/>
      <w:bookmarkStart w:id="1924" w:name="_Toc455648464"/>
      <w:bookmarkStart w:id="1925" w:name="_Toc455495017"/>
      <w:bookmarkStart w:id="1926" w:name="_Toc453706787"/>
      <w:r>
        <w:rPr>
          <w:rFonts w:hint="eastAsia" w:ascii="宋体" w:hAnsi="宋体" w:eastAsia="宋体"/>
          <w:szCs w:val="21"/>
        </w:rPr>
        <w:t>(4)各桩基质量检查记录和质量事故处理报告；</w:t>
      </w:r>
      <w:bookmarkEnd w:id="1920"/>
      <w:bookmarkEnd w:id="1921"/>
      <w:bookmarkEnd w:id="1922"/>
      <w:bookmarkEnd w:id="1923"/>
      <w:bookmarkEnd w:id="1924"/>
      <w:bookmarkEnd w:id="1925"/>
      <w:bookmarkEnd w:id="1926"/>
    </w:p>
    <w:p w14:paraId="292CA5AC">
      <w:pPr>
        <w:snapToGrid w:val="0"/>
        <w:spacing w:line="300" w:lineRule="auto"/>
        <w:ind w:firstLine="420" w:firstLineChars="200"/>
        <w:rPr>
          <w:rFonts w:ascii="宋体" w:hAnsi="宋体" w:eastAsia="宋体"/>
          <w:szCs w:val="21"/>
        </w:rPr>
      </w:pPr>
      <w:bookmarkStart w:id="1927" w:name="_Toc455652402"/>
      <w:bookmarkStart w:id="1928" w:name="_Toc455651383"/>
      <w:bookmarkStart w:id="1929" w:name="_Toc455495018"/>
      <w:bookmarkStart w:id="1930" w:name="_Toc453706788"/>
      <w:bookmarkStart w:id="1931" w:name="_Toc455650397"/>
      <w:bookmarkStart w:id="1932" w:name="_Toc455648465"/>
      <w:bookmarkStart w:id="1933" w:name="_Toc453707270"/>
      <w:r>
        <w:rPr>
          <w:rFonts w:hint="eastAsia" w:ascii="宋体" w:hAnsi="宋体" w:eastAsia="宋体"/>
          <w:szCs w:val="21"/>
        </w:rPr>
        <w:t>(5)监理人要求提交的其它完工资料。</w:t>
      </w:r>
      <w:bookmarkEnd w:id="1927"/>
      <w:bookmarkEnd w:id="1928"/>
      <w:bookmarkEnd w:id="1929"/>
      <w:bookmarkEnd w:id="1930"/>
      <w:bookmarkEnd w:id="1931"/>
      <w:bookmarkEnd w:id="1932"/>
      <w:bookmarkEnd w:id="1933"/>
    </w:p>
    <w:p w14:paraId="58342C8A">
      <w:pPr>
        <w:adjustRightInd w:val="0"/>
        <w:snapToGrid w:val="0"/>
        <w:spacing w:before="134" w:beforeLines="25" w:line="300" w:lineRule="auto"/>
        <w:outlineLvl w:val="1"/>
        <w:rPr>
          <w:rFonts w:ascii="宋体" w:hAnsi="宋体" w:eastAsia="宋体"/>
          <w:b/>
          <w:bCs/>
          <w:sz w:val="24"/>
          <w:szCs w:val="24"/>
        </w:rPr>
      </w:pPr>
      <w:bookmarkStart w:id="1934" w:name="第12章03"/>
      <w:bookmarkEnd w:id="1934"/>
      <w:bookmarkStart w:id="1935" w:name="_Toc453707271"/>
      <w:bookmarkStart w:id="1936" w:name="_Toc455650398"/>
      <w:bookmarkStart w:id="1937" w:name="_Toc455495019"/>
      <w:bookmarkStart w:id="1938" w:name="_Toc455648466"/>
      <w:bookmarkStart w:id="1939" w:name="_Toc455651384"/>
      <w:bookmarkStart w:id="1940" w:name="_Toc455652403"/>
      <w:bookmarkStart w:id="1941" w:name="_Toc453706789"/>
      <w:r>
        <w:rPr>
          <w:rFonts w:hint="eastAsia" w:ascii="宋体" w:hAnsi="宋体" w:eastAsia="宋体"/>
          <w:b/>
          <w:bCs/>
          <w:sz w:val="24"/>
          <w:szCs w:val="24"/>
        </w:rPr>
        <w:t>9.3 混凝土灌注桩基础</w:t>
      </w:r>
      <w:bookmarkEnd w:id="1935"/>
      <w:bookmarkEnd w:id="1936"/>
      <w:bookmarkEnd w:id="1937"/>
      <w:bookmarkEnd w:id="1938"/>
      <w:bookmarkEnd w:id="1939"/>
      <w:bookmarkEnd w:id="1940"/>
      <w:bookmarkEnd w:id="1941"/>
    </w:p>
    <w:p w14:paraId="2813F4D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9.3.1 一般要求</w:t>
      </w:r>
    </w:p>
    <w:p w14:paraId="4C31FC63">
      <w:pPr>
        <w:snapToGrid w:val="0"/>
        <w:spacing w:line="300" w:lineRule="auto"/>
        <w:ind w:firstLine="420" w:firstLineChars="200"/>
        <w:rPr>
          <w:rFonts w:ascii="宋体" w:hAnsi="宋体" w:eastAsia="宋体"/>
          <w:szCs w:val="21"/>
        </w:rPr>
      </w:pPr>
      <w:bookmarkStart w:id="1942" w:name="_Toc455652404"/>
      <w:bookmarkStart w:id="1943" w:name="_Toc455648467"/>
      <w:bookmarkStart w:id="1944" w:name="_Toc453706790"/>
      <w:bookmarkStart w:id="1945" w:name="_Toc455651385"/>
      <w:bookmarkStart w:id="1946" w:name="_Toc455495020"/>
      <w:bookmarkStart w:id="1947" w:name="_Toc453707272"/>
      <w:bookmarkStart w:id="1948" w:name="_Toc455650399"/>
      <w:r>
        <w:rPr>
          <w:rFonts w:hint="eastAsia" w:ascii="宋体" w:hAnsi="宋体" w:eastAsia="宋体"/>
          <w:szCs w:val="21"/>
        </w:rPr>
        <w:t>(1)本工程的混凝土灌注桩分为泥浆护壁钻孔灌注桩和沉管灌注桩。其适用范围为泥浆护壁正、反循环钻孔灌注桩、锤击沉管灌注桩和振动沉管灌注桩基础等的施工作业。</w:t>
      </w:r>
      <w:bookmarkEnd w:id="1942"/>
      <w:bookmarkEnd w:id="1943"/>
      <w:bookmarkEnd w:id="1944"/>
      <w:bookmarkEnd w:id="1945"/>
      <w:bookmarkEnd w:id="1946"/>
      <w:bookmarkEnd w:id="1947"/>
      <w:bookmarkEnd w:id="1948"/>
    </w:p>
    <w:p w14:paraId="0AD404DF">
      <w:pPr>
        <w:snapToGrid w:val="0"/>
        <w:spacing w:line="300" w:lineRule="auto"/>
        <w:ind w:firstLine="420" w:firstLineChars="200"/>
        <w:rPr>
          <w:rFonts w:ascii="宋体" w:hAnsi="宋体" w:eastAsia="宋体"/>
          <w:szCs w:val="21"/>
        </w:rPr>
      </w:pPr>
      <w:bookmarkStart w:id="1949" w:name="_Toc455495021"/>
      <w:bookmarkStart w:id="1950" w:name="_Toc455650400"/>
      <w:bookmarkStart w:id="1951" w:name="_Toc453707273"/>
      <w:bookmarkStart w:id="1952" w:name="_Toc455651386"/>
      <w:bookmarkStart w:id="1953" w:name="_Toc455652405"/>
      <w:bookmarkStart w:id="1954" w:name="_Toc453706791"/>
      <w:bookmarkStart w:id="1955" w:name="_Toc455648468"/>
      <w:r>
        <w:rPr>
          <w:rFonts w:hint="eastAsia" w:ascii="宋体" w:hAnsi="宋体" w:eastAsia="宋体"/>
          <w:szCs w:val="21"/>
        </w:rPr>
        <w:t>(2)承包人应根据施工图纸规定的桩位、桩型、桩径、桩长，复勘场地地质条件和持力层埋藏深度，选择成孔和成桩施工机具设备(包括打桩、锤击和压桩等的压力机械)。</w:t>
      </w:r>
      <w:bookmarkEnd w:id="1949"/>
      <w:bookmarkEnd w:id="1950"/>
      <w:bookmarkEnd w:id="1951"/>
      <w:bookmarkEnd w:id="1952"/>
      <w:bookmarkEnd w:id="1953"/>
      <w:bookmarkEnd w:id="1954"/>
      <w:bookmarkEnd w:id="1955"/>
    </w:p>
    <w:p w14:paraId="168F9C58">
      <w:pPr>
        <w:snapToGrid w:val="0"/>
        <w:spacing w:line="300" w:lineRule="auto"/>
        <w:ind w:firstLine="420" w:firstLineChars="200"/>
        <w:rPr>
          <w:rFonts w:ascii="宋体" w:hAnsi="宋体" w:eastAsia="宋体"/>
          <w:szCs w:val="21"/>
        </w:rPr>
      </w:pPr>
      <w:bookmarkStart w:id="1956" w:name="_Toc455651387"/>
      <w:bookmarkStart w:id="1957" w:name="_Toc453706792"/>
      <w:bookmarkStart w:id="1958" w:name="_Toc455648469"/>
      <w:bookmarkStart w:id="1959" w:name="_Toc455650401"/>
      <w:bookmarkStart w:id="1960" w:name="_Toc455495022"/>
      <w:bookmarkStart w:id="1961" w:name="_Toc453707274"/>
      <w:bookmarkStart w:id="1962" w:name="_Toc455652406"/>
      <w:r>
        <w:rPr>
          <w:rFonts w:hint="eastAsia" w:ascii="宋体" w:hAnsi="宋体" w:eastAsia="宋体"/>
          <w:szCs w:val="21"/>
        </w:rPr>
        <w:t>(3)成孔和成桩设备安装就位应平整和稳固，确保施工中不发生倾斜、移动；在桩架或桩管上应设置用于施工中观测深度和斜度的装置。</w:t>
      </w:r>
      <w:bookmarkEnd w:id="1956"/>
      <w:bookmarkEnd w:id="1957"/>
      <w:bookmarkEnd w:id="1958"/>
      <w:bookmarkEnd w:id="1959"/>
      <w:bookmarkEnd w:id="1960"/>
      <w:bookmarkEnd w:id="1961"/>
      <w:bookmarkEnd w:id="1962"/>
    </w:p>
    <w:p w14:paraId="1412489D">
      <w:pPr>
        <w:snapToGrid w:val="0"/>
        <w:spacing w:line="300" w:lineRule="auto"/>
        <w:ind w:firstLine="420" w:firstLineChars="200"/>
        <w:rPr>
          <w:rFonts w:ascii="宋体" w:hAnsi="宋体" w:eastAsia="宋体"/>
          <w:szCs w:val="21"/>
        </w:rPr>
      </w:pPr>
      <w:bookmarkStart w:id="1963" w:name="_Toc455652407"/>
      <w:bookmarkStart w:id="1964" w:name="_Toc455650402"/>
      <w:bookmarkStart w:id="1965" w:name="_Toc455651388"/>
      <w:bookmarkStart w:id="1966" w:name="_Toc453706793"/>
      <w:bookmarkStart w:id="1967" w:name="_Toc455495023"/>
      <w:bookmarkStart w:id="1968" w:name="_Toc455648470"/>
      <w:bookmarkStart w:id="1969" w:name="_Toc453707275"/>
      <w:r>
        <w:rPr>
          <w:rFonts w:hint="eastAsia" w:ascii="宋体" w:hAnsi="宋体" w:eastAsia="宋体"/>
          <w:szCs w:val="21"/>
        </w:rPr>
        <w:t>(4)桩基工程施工前，应按施工图纸的规定和监理人的指示，进行成孔或成桩试验，以检验施工参数和工艺，并应将试验成果提交监理人。</w:t>
      </w:r>
      <w:bookmarkEnd w:id="1963"/>
      <w:bookmarkEnd w:id="1964"/>
      <w:bookmarkEnd w:id="1965"/>
      <w:bookmarkEnd w:id="1966"/>
      <w:bookmarkEnd w:id="1967"/>
      <w:bookmarkEnd w:id="1968"/>
      <w:bookmarkEnd w:id="1969"/>
    </w:p>
    <w:p w14:paraId="334C2A3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9.3.2 混凝土灌注桩施工</w:t>
      </w:r>
    </w:p>
    <w:p w14:paraId="6C42FE1F">
      <w:pPr>
        <w:snapToGrid w:val="0"/>
        <w:spacing w:line="300" w:lineRule="auto"/>
        <w:ind w:firstLine="420" w:firstLineChars="200"/>
        <w:rPr>
          <w:rFonts w:ascii="宋体" w:hAnsi="宋体" w:eastAsia="宋体"/>
          <w:szCs w:val="21"/>
        </w:rPr>
      </w:pPr>
      <w:bookmarkStart w:id="1970" w:name="_Toc455652408"/>
      <w:bookmarkStart w:id="1971" w:name="_Toc453707276"/>
      <w:bookmarkStart w:id="1972" w:name="_Toc455650403"/>
      <w:bookmarkStart w:id="1973" w:name="_Toc455651389"/>
      <w:bookmarkStart w:id="1974" w:name="_Toc453706794"/>
      <w:bookmarkStart w:id="1975" w:name="_Toc455648471"/>
      <w:bookmarkStart w:id="1976" w:name="_Toc455495024"/>
      <w:r>
        <w:rPr>
          <w:rFonts w:hint="eastAsia" w:ascii="宋体" w:hAnsi="宋体" w:eastAsia="宋体"/>
          <w:szCs w:val="21"/>
        </w:rPr>
        <w:t>(1)材料：</w:t>
      </w:r>
      <w:bookmarkEnd w:id="1970"/>
      <w:bookmarkEnd w:id="1971"/>
      <w:bookmarkEnd w:id="1972"/>
      <w:bookmarkEnd w:id="1973"/>
      <w:bookmarkEnd w:id="1974"/>
      <w:bookmarkEnd w:id="1975"/>
      <w:bookmarkEnd w:id="1976"/>
    </w:p>
    <w:p w14:paraId="4392A351">
      <w:pPr>
        <w:snapToGrid w:val="0"/>
        <w:spacing w:line="300" w:lineRule="auto"/>
        <w:ind w:firstLine="420" w:firstLineChars="200"/>
        <w:rPr>
          <w:rFonts w:ascii="宋体" w:hAnsi="宋体" w:eastAsia="宋体"/>
          <w:szCs w:val="21"/>
        </w:rPr>
      </w:pPr>
      <w:bookmarkStart w:id="1977" w:name="_Toc453706795"/>
      <w:bookmarkStart w:id="1978" w:name="_Toc453707277"/>
      <w:bookmarkStart w:id="1979" w:name="_Toc455650404"/>
      <w:bookmarkStart w:id="1980" w:name="_Toc455652409"/>
      <w:bookmarkStart w:id="1981" w:name="_Toc455648472"/>
      <w:bookmarkStart w:id="1982" w:name="_Toc455651390"/>
      <w:bookmarkStart w:id="1983" w:name="_Toc455495025"/>
      <w:r>
        <w:rPr>
          <w:rFonts w:hint="eastAsia" w:ascii="宋体" w:hAnsi="宋体" w:eastAsia="宋体"/>
          <w:szCs w:val="21"/>
        </w:rPr>
        <w:t>1)泥浆材料使用的膨润土和粘土质量应遵守JGJ94-2008第6.2节的规定。</w:t>
      </w:r>
      <w:bookmarkEnd w:id="1977"/>
      <w:bookmarkEnd w:id="1978"/>
      <w:bookmarkEnd w:id="1979"/>
      <w:bookmarkEnd w:id="1980"/>
      <w:bookmarkEnd w:id="1981"/>
      <w:bookmarkEnd w:id="1982"/>
      <w:bookmarkEnd w:id="1983"/>
    </w:p>
    <w:p w14:paraId="46EF8AD7">
      <w:pPr>
        <w:snapToGrid w:val="0"/>
        <w:spacing w:line="300" w:lineRule="auto"/>
        <w:ind w:firstLine="420" w:firstLineChars="200"/>
        <w:rPr>
          <w:rFonts w:ascii="宋体" w:hAnsi="宋体" w:eastAsia="宋体"/>
          <w:szCs w:val="21"/>
        </w:rPr>
      </w:pPr>
      <w:bookmarkStart w:id="1984" w:name="_Toc455495026"/>
      <w:bookmarkStart w:id="1985" w:name="_Toc455652410"/>
      <w:bookmarkStart w:id="1986" w:name="_Toc455651391"/>
      <w:bookmarkStart w:id="1987" w:name="_Toc455648473"/>
      <w:bookmarkStart w:id="1988" w:name="_Toc453707278"/>
      <w:bookmarkStart w:id="1989" w:name="_Toc455650405"/>
      <w:bookmarkStart w:id="1990" w:name="_Toc453706796"/>
      <w:r>
        <w:rPr>
          <w:rFonts w:hint="eastAsia" w:ascii="宋体" w:hAnsi="宋体" w:eastAsia="宋体"/>
          <w:szCs w:val="21"/>
        </w:rPr>
        <w:t>2)混凝土使用的水泥、骨料和外加剂应遵守JGJ94-2008第6.3节的有关规定。</w:t>
      </w:r>
      <w:bookmarkEnd w:id="1984"/>
      <w:bookmarkEnd w:id="1985"/>
      <w:bookmarkEnd w:id="1986"/>
      <w:bookmarkEnd w:id="1987"/>
      <w:bookmarkEnd w:id="1988"/>
      <w:bookmarkEnd w:id="1989"/>
      <w:bookmarkEnd w:id="1990"/>
    </w:p>
    <w:p w14:paraId="6B0143C6">
      <w:pPr>
        <w:snapToGrid w:val="0"/>
        <w:spacing w:line="300" w:lineRule="auto"/>
        <w:ind w:firstLine="420" w:firstLineChars="200"/>
        <w:rPr>
          <w:rFonts w:ascii="宋体" w:hAnsi="宋体" w:eastAsia="宋体"/>
          <w:szCs w:val="21"/>
        </w:rPr>
      </w:pPr>
      <w:bookmarkStart w:id="1991" w:name="_Toc453707279"/>
      <w:bookmarkStart w:id="1992" w:name="_Toc455652411"/>
      <w:bookmarkStart w:id="1993" w:name="_Toc455495027"/>
      <w:bookmarkStart w:id="1994" w:name="_Toc455650406"/>
      <w:bookmarkStart w:id="1995" w:name="_Toc453706797"/>
      <w:bookmarkStart w:id="1996" w:name="_Toc455651392"/>
      <w:bookmarkStart w:id="1997" w:name="_Toc455648474"/>
      <w:r>
        <w:rPr>
          <w:rFonts w:hint="eastAsia" w:ascii="宋体" w:hAnsi="宋体" w:eastAsia="宋体"/>
          <w:szCs w:val="21"/>
        </w:rPr>
        <w:t>3)灌注桩钢筋笼使用的钢筋材料质量应遵守JGJ94-2008第6.2.5条的规定。</w:t>
      </w:r>
      <w:bookmarkEnd w:id="1991"/>
      <w:bookmarkEnd w:id="1992"/>
      <w:bookmarkEnd w:id="1993"/>
      <w:bookmarkEnd w:id="1994"/>
      <w:bookmarkEnd w:id="1995"/>
      <w:bookmarkEnd w:id="1996"/>
      <w:bookmarkEnd w:id="1997"/>
    </w:p>
    <w:p w14:paraId="3956E25E">
      <w:pPr>
        <w:snapToGrid w:val="0"/>
        <w:spacing w:line="300" w:lineRule="auto"/>
        <w:ind w:firstLine="420" w:firstLineChars="200"/>
        <w:rPr>
          <w:rFonts w:ascii="宋体" w:hAnsi="宋体" w:eastAsia="宋体"/>
          <w:szCs w:val="21"/>
        </w:rPr>
      </w:pPr>
      <w:bookmarkStart w:id="1998" w:name="_Toc455495028"/>
      <w:bookmarkStart w:id="1999" w:name="_Toc455652412"/>
      <w:bookmarkStart w:id="2000" w:name="_Toc453707280"/>
      <w:bookmarkStart w:id="2001" w:name="_Toc455650407"/>
      <w:bookmarkStart w:id="2002" w:name="_Toc453706798"/>
      <w:bookmarkStart w:id="2003" w:name="_Toc455648475"/>
      <w:bookmarkStart w:id="2004" w:name="_Toc455651393"/>
      <w:r>
        <w:rPr>
          <w:rFonts w:hint="eastAsia" w:ascii="宋体" w:hAnsi="宋体" w:eastAsia="宋体"/>
          <w:szCs w:val="21"/>
        </w:rPr>
        <w:t>4)沉管灌注桩桩头应选用钢筋混凝土预制桩头；其混凝土强度等级应不低于C30，钢号应选用Ⅰ级钢。在硬土层中施工，尚应采用环形钢板加强。</w:t>
      </w:r>
      <w:bookmarkEnd w:id="1998"/>
      <w:bookmarkEnd w:id="1999"/>
      <w:bookmarkEnd w:id="2000"/>
      <w:bookmarkEnd w:id="2001"/>
      <w:bookmarkEnd w:id="2002"/>
      <w:bookmarkEnd w:id="2003"/>
      <w:bookmarkEnd w:id="2004"/>
    </w:p>
    <w:p w14:paraId="48CEB041">
      <w:pPr>
        <w:snapToGrid w:val="0"/>
        <w:spacing w:line="300" w:lineRule="auto"/>
        <w:ind w:firstLine="420" w:firstLineChars="200"/>
        <w:rPr>
          <w:rFonts w:ascii="宋体" w:hAnsi="宋体" w:eastAsia="宋体"/>
          <w:szCs w:val="21"/>
        </w:rPr>
      </w:pPr>
      <w:bookmarkStart w:id="2005" w:name="_Toc455651394"/>
      <w:bookmarkStart w:id="2006" w:name="_Toc453707281"/>
      <w:bookmarkStart w:id="2007" w:name="_Toc455648476"/>
      <w:bookmarkStart w:id="2008" w:name="_Toc453706799"/>
      <w:bookmarkStart w:id="2009" w:name="_Toc455495029"/>
      <w:bookmarkStart w:id="2010" w:name="_Toc455652413"/>
      <w:bookmarkStart w:id="2011" w:name="_Toc455650408"/>
      <w:r>
        <w:rPr>
          <w:rFonts w:hint="eastAsia" w:ascii="宋体" w:hAnsi="宋体" w:eastAsia="宋体"/>
          <w:szCs w:val="21"/>
        </w:rPr>
        <w:t>(2)泥浆制备</w:t>
      </w:r>
      <w:bookmarkEnd w:id="2005"/>
      <w:bookmarkEnd w:id="2006"/>
      <w:bookmarkEnd w:id="2007"/>
      <w:bookmarkEnd w:id="2008"/>
      <w:bookmarkEnd w:id="2009"/>
      <w:bookmarkEnd w:id="2010"/>
      <w:bookmarkEnd w:id="2011"/>
    </w:p>
    <w:p w14:paraId="74AAEEFE">
      <w:pPr>
        <w:snapToGrid w:val="0"/>
        <w:spacing w:line="300" w:lineRule="auto"/>
        <w:ind w:firstLine="420" w:firstLineChars="200"/>
        <w:rPr>
          <w:rFonts w:ascii="宋体" w:hAnsi="宋体" w:eastAsia="宋体"/>
          <w:szCs w:val="21"/>
        </w:rPr>
      </w:pPr>
      <w:bookmarkStart w:id="2012" w:name="_Toc455652414"/>
      <w:bookmarkStart w:id="2013" w:name="_Toc455648477"/>
      <w:bookmarkStart w:id="2014" w:name="_Toc455651395"/>
      <w:bookmarkStart w:id="2015" w:name="_Toc455495030"/>
      <w:bookmarkStart w:id="2016" w:name="_Toc455650409"/>
      <w:bookmarkStart w:id="2017" w:name="_Toc453707282"/>
      <w:bookmarkStart w:id="2018" w:name="_Toc453706800"/>
      <w:r>
        <w:rPr>
          <w:rFonts w:hint="eastAsia" w:ascii="宋体" w:hAnsi="宋体" w:eastAsia="宋体"/>
          <w:szCs w:val="21"/>
        </w:rPr>
        <w:t>护壁泥浆选用膨润土或高塑性粘土制备的泥浆性能指标应遵守JGJ94-2008第6.3.1和6.3.2条的规定。</w:t>
      </w:r>
      <w:bookmarkEnd w:id="2012"/>
      <w:bookmarkEnd w:id="2013"/>
      <w:bookmarkEnd w:id="2014"/>
      <w:bookmarkEnd w:id="2015"/>
      <w:bookmarkEnd w:id="2016"/>
      <w:bookmarkEnd w:id="2017"/>
      <w:bookmarkEnd w:id="2018"/>
    </w:p>
    <w:p w14:paraId="73FBBDD3">
      <w:pPr>
        <w:snapToGrid w:val="0"/>
        <w:spacing w:line="300" w:lineRule="auto"/>
        <w:ind w:firstLine="420" w:firstLineChars="200"/>
        <w:rPr>
          <w:rFonts w:ascii="宋体" w:hAnsi="宋体" w:eastAsia="宋体"/>
          <w:szCs w:val="21"/>
        </w:rPr>
      </w:pPr>
      <w:bookmarkStart w:id="2019" w:name="_Toc453707283"/>
      <w:bookmarkStart w:id="2020" w:name="_Toc453706801"/>
      <w:bookmarkStart w:id="2021" w:name="_Toc455648478"/>
      <w:bookmarkStart w:id="2022" w:name="_Toc455495031"/>
      <w:bookmarkStart w:id="2023" w:name="_Toc455650410"/>
      <w:bookmarkStart w:id="2024" w:name="_Toc455652415"/>
      <w:bookmarkStart w:id="2025" w:name="_Toc455651396"/>
      <w:r>
        <w:rPr>
          <w:rFonts w:hint="eastAsia" w:ascii="宋体" w:hAnsi="宋体" w:eastAsia="宋体"/>
          <w:szCs w:val="21"/>
        </w:rPr>
        <w:t>(3)钻孔与沉管施工：</w:t>
      </w:r>
      <w:bookmarkEnd w:id="2019"/>
      <w:bookmarkEnd w:id="2020"/>
      <w:bookmarkEnd w:id="2021"/>
      <w:bookmarkEnd w:id="2022"/>
      <w:bookmarkEnd w:id="2023"/>
      <w:bookmarkEnd w:id="2024"/>
      <w:bookmarkEnd w:id="2025"/>
    </w:p>
    <w:p w14:paraId="4B0C666C">
      <w:pPr>
        <w:snapToGrid w:val="0"/>
        <w:spacing w:line="300" w:lineRule="auto"/>
        <w:ind w:firstLine="420" w:firstLineChars="200"/>
        <w:rPr>
          <w:rFonts w:ascii="宋体" w:hAnsi="宋体" w:eastAsia="宋体"/>
          <w:szCs w:val="21"/>
        </w:rPr>
      </w:pPr>
      <w:bookmarkStart w:id="2026" w:name="_Toc455650411"/>
      <w:bookmarkStart w:id="2027" w:name="_Toc455495032"/>
      <w:bookmarkStart w:id="2028" w:name="_Toc455651397"/>
      <w:bookmarkStart w:id="2029" w:name="_Toc453706802"/>
      <w:bookmarkStart w:id="2030" w:name="_Toc455652416"/>
      <w:bookmarkStart w:id="2031" w:name="_Toc455648479"/>
      <w:bookmarkStart w:id="2032" w:name="_Toc453707284"/>
      <w:r>
        <w:rPr>
          <w:rFonts w:hint="eastAsia" w:ascii="宋体" w:hAnsi="宋体" w:eastAsia="宋体"/>
          <w:szCs w:val="21"/>
        </w:rPr>
        <w:t>1)泥浆护壁正、反循环钻孔灌注桩钻进成孔施工应遵守JGJ94-2008第6.3.4~6.3.8条的有关规定；</w:t>
      </w:r>
      <w:bookmarkEnd w:id="2026"/>
      <w:bookmarkEnd w:id="2027"/>
      <w:bookmarkEnd w:id="2028"/>
      <w:bookmarkEnd w:id="2029"/>
      <w:bookmarkEnd w:id="2030"/>
      <w:bookmarkEnd w:id="2031"/>
      <w:bookmarkEnd w:id="2032"/>
    </w:p>
    <w:p w14:paraId="00337ED9">
      <w:pPr>
        <w:snapToGrid w:val="0"/>
        <w:spacing w:line="300" w:lineRule="auto"/>
        <w:ind w:firstLine="420" w:firstLineChars="200"/>
        <w:rPr>
          <w:rFonts w:ascii="宋体" w:hAnsi="宋体" w:eastAsia="宋体"/>
          <w:szCs w:val="21"/>
        </w:rPr>
      </w:pPr>
      <w:bookmarkStart w:id="2033" w:name="_Toc455648480"/>
      <w:bookmarkStart w:id="2034" w:name="_Toc455652417"/>
      <w:bookmarkStart w:id="2035" w:name="_Toc455650412"/>
      <w:bookmarkStart w:id="2036" w:name="_Toc453707285"/>
      <w:bookmarkStart w:id="2037" w:name="_Toc455651398"/>
      <w:bookmarkStart w:id="2038" w:name="_Toc455495033"/>
      <w:bookmarkStart w:id="2039" w:name="_Toc453706803"/>
      <w:r>
        <w:rPr>
          <w:rFonts w:hint="eastAsia" w:ascii="宋体" w:hAnsi="宋体" w:eastAsia="宋体"/>
          <w:szCs w:val="21"/>
        </w:rPr>
        <w:t>2)锤击沉管灌注桩沉管施工应遵守JGJ94-2008第6.5节有关规定；</w:t>
      </w:r>
      <w:bookmarkEnd w:id="2033"/>
      <w:bookmarkEnd w:id="2034"/>
      <w:bookmarkEnd w:id="2035"/>
      <w:bookmarkEnd w:id="2036"/>
      <w:bookmarkEnd w:id="2037"/>
      <w:bookmarkEnd w:id="2038"/>
      <w:bookmarkEnd w:id="2039"/>
    </w:p>
    <w:p w14:paraId="024AAF5C">
      <w:pPr>
        <w:snapToGrid w:val="0"/>
        <w:spacing w:line="300" w:lineRule="auto"/>
        <w:ind w:firstLine="420" w:firstLineChars="200"/>
        <w:rPr>
          <w:rFonts w:ascii="宋体" w:hAnsi="宋体" w:eastAsia="宋体"/>
          <w:szCs w:val="21"/>
        </w:rPr>
      </w:pPr>
      <w:bookmarkStart w:id="2040" w:name="_Toc455650413"/>
      <w:bookmarkStart w:id="2041" w:name="_Toc455495034"/>
      <w:bookmarkStart w:id="2042" w:name="_Toc455651399"/>
      <w:bookmarkStart w:id="2043" w:name="_Toc455648481"/>
      <w:bookmarkStart w:id="2044" w:name="_Toc455652418"/>
      <w:bookmarkStart w:id="2045" w:name="_Toc453707286"/>
      <w:bookmarkStart w:id="2046" w:name="_Toc453706804"/>
      <w:r>
        <w:rPr>
          <w:rFonts w:hint="eastAsia" w:ascii="宋体" w:hAnsi="宋体" w:eastAsia="宋体"/>
          <w:szCs w:val="21"/>
        </w:rPr>
        <w:t>3)振动沉管灌注桩沉管施工应遵守JGJ94-2008第6.5.7~6.5.10条有关规定。</w:t>
      </w:r>
      <w:bookmarkEnd w:id="2040"/>
      <w:bookmarkEnd w:id="2041"/>
      <w:bookmarkEnd w:id="2042"/>
      <w:bookmarkEnd w:id="2043"/>
      <w:bookmarkEnd w:id="2044"/>
      <w:bookmarkEnd w:id="2045"/>
      <w:bookmarkEnd w:id="2046"/>
    </w:p>
    <w:p w14:paraId="15B41832">
      <w:pPr>
        <w:snapToGrid w:val="0"/>
        <w:spacing w:line="300" w:lineRule="auto"/>
        <w:ind w:firstLine="420" w:firstLineChars="200"/>
        <w:rPr>
          <w:rFonts w:ascii="宋体" w:hAnsi="宋体" w:eastAsia="宋体"/>
          <w:szCs w:val="21"/>
        </w:rPr>
      </w:pPr>
      <w:bookmarkStart w:id="2047" w:name="_Toc453707287"/>
      <w:bookmarkStart w:id="2048" w:name="_Toc453706805"/>
      <w:bookmarkStart w:id="2049" w:name="_Toc455650414"/>
      <w:bookmarkStart w:id="2050" w:name="_Toc455495035"/>
      <w:bookmarkStart w:id="2051" w:name="_Toc455652419"/>
      <w:bookmarkStart w:id="2052" w:name="_Toc455648482"/>
      <w:bookmarkStart w:id="2053" w:name="_Toc455651400"/>
      <w:r>
        <w:rPr>
          <w:rFonts w:hint="eastAsia" w:ascii="宋体" w:hAnsi="宋体" w:eastAsia="宋体"/>
          <w:szCs w:val="21"/>
        </w:rPr>
        <w:t>(4)冲击成孔与清孔</w:t>
      </w:r>
      <w:bookmarkEnd w:id="2047"/>
      <w:bookmarkEnd w:id="2048"/>
      <w:bookmarkEnd w:id="2049"/>
      <w:bookmarkEnd w:id="2050"/>
      <w:bookmarkEnd w:id="2051"/>
      <w:bookmarkEnd w:id="2052"/>
      <w:bookmarkEnd w:id="2053"/>
    </w:p>
    <w:p w14:paraId="0F912EE1">
      <w:pPr>
        <w:snapToGrid w:val="0"/>
        <w:spacing w:line="300" w:lineRule="auto"/>
        <w:ind w:firstLine="420" w:firstLineChars="200"/>
        <w:rPr>
          <w:rFonts w:ascii="宋体" w:hAnsi="宋体" w:eastAsia="宋体"/>
          <w:szCs w:val="21"/>
        </w:rPr>
      </w:pPr>
      <w:bookmarkStart w:id="2054" w:name="_Toc453707288"/>
      <w:bookmarkStart w:id="2055" w:name="_Toc455650415"/>
      <w:bookmarkStart w:id="2056" w:name="_Toc455651401"/>
      <w:bookmarkStart w:id="2057" w:name="_Toc453706806"/>
      <w:bookmarkStart w:id="2058" w:name="_Toc455495036"/>
      <w:bookmarkStart w:id="2059" w:name="_Toc455652420"/>
      <w:bookmarkStart w:id="2060" w:name="_Toc455648483"/>
      <w:r>
        <w:rPr>
          <w:rFonts w:hint="eastAsia" w:ascii="宋体" w:hAnsi="宋体" w:eastAsia="宋体"/>
          <w:szCs w:val="21"/>
        </w:rPr>
        <w:t>冲击成孔与清孔应遵守JGJ94-2008第6.3.13~6.3.17条的有关规定。</w:t>
      </w:r>
      <w:bookmarkEnd w:id="2054"/>
      <w:bookmarkEnd w:id="2055"/>
      <w:bookmarkEnd w:id="2056"/>
      <w:bookmarkEnd w:id="2057"/>
      <w:bookmarkEnd w:id="2058"/>
      <w:bookmarkEnd w:id="2059"/>
      <w:bookmarkEnd w:id="2060"/>
    </w:p>
    <w:p w14:paraId="540DF303">
      <w:pPr>
        <w:snapToGrid w:val="0"/>
        <w:spacing w:line="300" w:lineRule="auto"/>
        <w:ind w:firstLine="420" w:firstLineChars="200"/>
        <w:rPr>
          <w:rFonts w:ascii="宋体" w:hAnsi="宋体" w:eastAsia="宋体"/>
          <w:szCs w:val="21"/>
        </w:rPr>
      </w:pPr>
      <w:bookmarkStart w:id="2061" w:name="_Toc455651402"/>
      <w:bookmarkStart w:id="2062" w:name="_Toc455650416"/>
      <w:bookmarkStart w:id="2063" w:name="_Toc455495037"/>
      <w:bookmarkStart w:id="2064" w:name="_Toc453706807"/>
      <w:bookmarkStart w:id="2065" w:name="_Toc455652421"/>
      <w:bookmarkStart w:id="2066" w:name="_Toc453707289"/>
      <w:bookmarkStart w:id="2067" w:name="_Toc455648484"/>
      <w:r>
        <w:rPr>
          <w:rFonts w:hint="eastAsia" w:ascii="宋体" w:hAnsi="宋体" w:eastAsia="宋体"/>
          <w:szCs w:val="21"/>
        </w:rPr>
        <w:t>(5)钢筋笼制作与吊放：</w:t>
      </w:r>
      <w:bookmarkEnd w:id="2061"/>
      <w:bookmarkEnd w:id="2062"/>
      <w:bookmarkEnd w:id="2063"/>
      <w:bookmarkEnd w:id="2064"/>
      <w:bookmarkEnd w:id="2065"/>
      <w:bookmarkEnd w:id="2066"/>
      <w:bookmarkEnd w:id="2067"/>
    </w:p>
    <w:p w14:paraId="115AF2BF">
      <w:pPr>
        <w:snapToGrid w:val="0"/>
        <w:spacing w:line="300" w:lineRule="auto"/>
        <w:ind w:firstLine="420" w:firstLineChars="200"/>
        <w:rPr>
          <w:rFonts w:ascii="宋体" w:hAnsi="宋体" w:eastAsia="宋体"/>
          <w:szCs w:val="21"/>
        </w:rPr>
      </w:pPr>
      <w:bookmarkStart w:id="2068" w:name="_Toc455652422"/>
      <w:bookmarkStart w:id="2069" w:name="_Toc453706808"/>
      <w:bookmarkStart w:id="2070" w:name="_Toc455650417"/>
      <w:bookmarkStart w:id="2071" w:name="_Toc455648485"/>
      <w:bookmarkStart w:id="2072" w:name="_Toc455651403"/>
      <w:bookmarkStart w:id="2073" w:name="_Toc455495038"/>
      <w:bookmarkStart w:id="2074" w:name="_Toc453707290"/>
      <w:r>
        <w:rPr>
          <w:rFonts w:hint="eastAsia" w:ascii="宋体" w:hAnsi="宋体" w:eastAsia="宋体"/>
          <w:szCs w:val="21"/>
        </w:rPr>
        <w:t>1)钢筋笼的制作应遵守JGJ94-2008第6.2.5条的有关的规定。</w:t>
      </w:r>
      <w:bookmarkEnd w:id="2068"/>
      <w:bookmarkEnd w:id="2069"/>
      <w:bookmarkEnd w:id="2070"/>
      <w:bookmarkEnd w:id="2071"/>
      <w:bookmarkEnd w:id="2072"/>
      <w:bookmarkEnd w:id="2073"/>
      <w:bookmarkEnd w:id="2074"/>
    </w:p>
    <w:p w14:paraId="26E8C90E">
      <w:pPr>
        <w:snapToGrid w:val="0"/>
        <w:spacing w:line="300" w:lineRule="auto"/>
        <w:ind w:firstLine="420" w:firstLineChars="200"/>
        <w:rPr>
          <w:rFonts w:ascii="宋体" w:hAnsi="宋体" w:eastAsia="宋体"/>
          <w:szCs w:val="21"/>
        </w:rPr>
      </w:pPr>
      <w:bookmarkStart w:id="2075" w:name="_Toc453707291"/>
      <w:bookmarkStart w:id="2076" w:name="_Toc455650418"/>
      <w:bookmarkStart w:id="2077" w:name="_Toc453706809"/>
      <w:bookmarkStart w:id="2078" w:name="_Toc455652423"/>
      <w:bookmarkStart w:id="2079" w:name="_Toc455495039"/>
      <w:bookmarkStart w:id="2080" w:name="_Toc455651404"/>
      <w:bookmarkStart w:id="2081" w:name="_Toc455648486"/>
      <w:r>
        <w:rPr>
          <w:rFonts w:hint="eastAsia" w:ascii="宋体" w:hAnsi="宋体" w:eastAsia="宋体"/>
          <w:szCs w:val="21"/>
        </w:rPr>
        <w:t>2)分段制作的钢筋笼连接方式应按施工图纸的要求及遵守有关技术规范的规定。</w:t>
      </w:r>
      <w:bookmarkEnd w:id="2075"/>
      <w:bookmarkEnd w:id="2076"/>
      <w:bookmarkEnd w:id="2077"/>
      <w:bookmarkEnd w:id="2078"/>
      <w:bookmarkEnd w:id="2079"/>
      <w:bookmarkEnd w:id="2080"/>
      <w:bookmarkEnd w:id="2081"/>
    </w:p>
    <w:p w14:paraId="62238F69">
      <w:pPr>
        <w:snapToGrid w:val="0"/>
        <w:spacing w:line="300" w:lineRule="auto"/>
        <w:ind w:firstLine="420" w:firstLineChars="200"/>
        <w:rPr>
          <w:rFonts w:ascii="宋体" w:hAnsi="宋体" w:eastAsia="宋体"/>
          <w:szCs w:val="21"/>
        </w:rPr>
      </w:pPr>
      <w:bookmarkStart w:id="2082" w:name="_Toc453706810"/>
      <w:bookmarkStart w:id="2083" w:name="_Toc455495040"/>
      <w:bookmarkStart w:id="2084" w:name="_Toc455648487"/>
      <w:bookmarkStart w:id="2085" w:name="_Toc455650419"/>
      <w:bookmarkStart w:id="2086" w:name="_Toc453707292"/>
      <w:bookmarkStart w:id="2087" w:name="_Toc455652424"/>
      <w:bookmarkStart w:id="2088" w:name="_Toc455651405"/>
      <w:r>
        <w:rPr>
          <w:rFonts w:hint="eastAsia" w:ascii="宋体" w:hAnsi="宋体" w:eastAsia="宋体"/>
          <w:szCs w:val="21"/>
        </w:rPr>
        <w:t>(6)水下混凝土制备和灌注</w:t>
      </w:r>
      <w:bookmarkEnd w:id="2082"/>
      <w:bookmarkEnd w:id="2083"/>
      <w:bookmarkEnd w:id="2084"/>
      <w:bookmarkEnd w:id="2085"/>
      <w:bookmarkEnd w:id="2086"/>
      <w:bookmarkEnd w:id="2087"/>
      <w:bookmarkEnd w:id="2088"/>
    </w:p>
    <w:p w14:paraId="7216996F">
      <w:pPr>
        <w:snapToGrid w:val="0"/>
        <w:spacing w:line="300" w:lineRule="auto"/>
        <w:ind w:firstLine="420" w:firstLineChars="200"/>
        <w:rPr>
          <w:rFonts w:ascii="宋体" w:hAnsi="宋体" w:eastAsia="宋体"/>
          <w:szCs w:val="21"/>
        </w:rPr>
      </w:pPr>
      <w:bookmarkStart w:id="2089" w:name="_Toc455651406"/>
      <w:bookmarkStart w:id="2090" w:name="_Toc453707293"/>
      <w:bookmarkStart w:id="2091" w:name="_Toc455495041"/>
      <w:bookmarkStart w:id="2092" w:name="_Toc455648488"/>
      <w:bookmarkStart w:id="2093" w:name="_Toc455650420"/>
      <w:bookmarkStart w:id="2094" w:name="_Toc453706811"/>
      <w:bookmarkStart w:id="2095" w:name="_Toc455652425"/>
      <w:r>
        <w:rPr>
          <w:rFonts w:hint="eastAsia" w:ascii="宋体" w:hAnsi="宋体" w:eastAsia="宋体"/>
          <w:szCs w:val="21"/>
        </w:rPr>
        <w:t>水下混凝土制备和灌注应遵守JGJ94-2008第6.3.27~6.3.30条的有关规定。</w:t>
      </w:r>
      <w:bookmarkEnd w:id="2089"/>
      <w:bookmarkEnd w:id="2090"/>
      <w:bookmarkEnd w:id="2091"/>
      <w:bookmarkEnd w:id="2092"/>
      <w:bookmarkEnd w:id="2093"/>
      <w:bookmarkEnd w:id="2094"/>
      <w:bookmarkEnd w:id="2095"/>
    </w:p>
    <w:p w14:paraId="1A2FF7C7">
      <w:pPr>
        <w:snapToGrid w:val="0"/>
        <w:spacing w:line="300" w:lineRule="auto"/>
        <w:ind w:firstLine="420" w:firstLineChars="200"/>
        <w:rPr>
          <w:rFonts w:ascii="宋体" w:hAnsi="宋体" w:eastAsia="宋体"/>
          <w:szCs w:val="21"/>
        </w:rPr>
      </w:pPr>
      <w:bookmarkStart w:id="2096" w:name="_Toc455648489"/>
      <w:bookmarkStart w:id="2097" w:name="_Toc455652426"/>
      <w:bookmarkStart w:id="2098" w:name="_Toc453707294"/>
      <w:bookmarkStart w:id="2099" w:name="_Toc455650421"/>
      <w:bookmarkStart w:id="2100" w:name="_Toc453706812"/>
      <w:bookmarkStart w:id="2101" w:name="_Toc455495042"/>
      <w:bookmarkStart w:id="2102" w:name="_Toc455651407"/>
      <w:r>
        <w:rPr>
          <w:rFonts w:hint="eastAsia" w:ascii="宋体" w:hAnsi="宋体" w:eastAsia="宋体"/>
          <w:szCs w:val="21"/>
        </w:rPr>
        <w:t>(7)沉管起拔：</w:t>
      </w:r>
      <w:bookmarkEnd w:id="2096"/>
      <w:bookmarkEnd w:id="2097"/>
      <w:bookmarkEnd w:id="2098"/>
      <w:bookmarkEnd w:id="2099"/>
      <w:bookmarkEnd w:id="2100"/>
      <w:bookmarkEnd w:id="2101"/>
      <w:bookmarkEnd w:id="2102"/>
    </w:p>
    <w:p w14:paraId="33965D99">
      <w:pPr>
        <w:snapToGrid w:val="0"/>
        <w:spacing w:line="300" w:lineRule="auto"/>
        <w:ind w:firstLine="420" w:firstLineChars="200"/>
        <w:rPr>
          <w:rFonts w:ascii="宋体" w:hAnsi="宋体" w:eastAsia="宋体"/>
          <w:szCs w:val="21"/>
        </w:rPr>
      </w:pPr>
      <w:bookmarkStart w:id="2103" w:name="_Toc455495043"/>
      <w:bookmarkStart w:id="2104" w:name="_Toc455651408"/>
      <w:bookmarkStart w:id="2105" w:name="_Toc455650422"/>
      <w:bookmarkStart w:id="2106" w:name="_Toc453706813"/>
      <w:bookmarkStart w:id="2107" w:name="_Toc455652427"/>
      <w:bookmarkStart w:id="2108" w:name="_Toc453707295"/>
      <w:bookmarkStart w:id="2109" w:name="_Toc455648490"/>
      <w:r>
        <w:rPr>
          <w:rFonts w:hint="eastAsia" w:ascii="宋体" w:hAnsi="宋体" w:eastAsia="宋体"/>
          <w:szCs w:val="21"/>
        </w:rPr>
        <w:t>1)配有钢筋笼的沉管，在放置钢筋笼前，应先灌注部分混凝土至笼底高程，放置钢筋笼后再灌注混凝土至桩顶；</w:t>
      </w:r>
      <w:bookmarkEnd w:id="2103"/>
      <w:bookmarkEnd w:id="2104"/>
      <w:bookmarkEnd w:id="2105"/>
      <w:bookmarkEnd w:id="2106"/>
      <w:bookmarkEnd w:id="2107"/>
      <w:bookmarkEnd w:id="2108"/>
      <w:bookmarkEnd w:id="2109"/>
    </w:p>
    <w:p w14:paraId="0821FC7E">
      <w:pPr>
        <w:snapToGrid w:val="0"/>
        <w:spacing w:line="300" w:lineRule="auto"/>
        <w:ind w:firstLine="420" w:firstLineChars="200"/>
        <w:rPr>
          <w:rFonts w:ascii="宋体" w:hAnsi="宋体" w:eastAsia="宋体"/>
          <w:szCs w:val="21"/>
        </w:rPr>
      </w:pPr>
      <w:bookmarkStart w:id="2110" w:name="_Toc455652428"/>
      <w:bookmarkStart w:id="2111" w:name="_Toc455651409"/>
      <w:bookmarkStart w:id="2112" w:name="_Toc453706814"/>
      <w:bookmarkStart w:id="2113" w:name="_Toc455648491"/>
      <w:bookmarkStart w:id="2114" w:name="_Toc453707296"/>
      <w:bookmarkStart w:id="2115" w:name="_Toc455495044"/>
      <w:bookmarkStart w:id="2116" w:name="_Toc455650423"/>
      <w:r>
        <w:rPr>
          <w:rFonts w:hint="eastAsia" w:ascii="宋体" w:hAnsi="宋体" w:eastAsia="宋体"/>
          <w:szCs w:val="21"/>
        </w:rPr>
        <w:t>2)分段起拔沉管时，前一段拔管高度应能容纳下一段灌入的混凝土量；</w:t>
      </w:r>
      <w:bookmarkEnd w:id="2110"/>
      <w:bookmarkEnd w:id="2111"/>
      <w:bookmarkEnd w:id="2112"/>
      <w:bookmarkEnd w:id="2113"/>
      <w:bookmarkEnd w:id="2114"/>
      <w:bookmarkEnd w:id="2115"/>
      <w:bookmarkEnd w:id="2116"/>
    </w:p>
    <w:p w14:paraId="47480EEC">
      <w:pPr>
        <w:snapToGrid w:val="0"/>
        <w:spacing w:line="300" w:lineRule="auto"/>
        <w:ind w:firstLine="420" w:firstLineChars="200"/>
        <w:rPr>
          <w:rFonts w:ascii="宋体" w:hAnsi="宋体" w:eastAsia="宋体"/>
          <w:szCs w:val="21"/>
        </w:rPr>
      </w:pPr>
      <w:bookmarkStart w:id="2117" w:name="_Toc453706815"/>
      <w:bookmarkStart w:id="2118" w:name="_Toc455650424"/>
      <w:bookmarkStart w:id="2119" w:name="_Toc453707297"/>
      <w:bookmarkStart w:id="2120" w:name="_Toc455648492"/>
      <w:bookmarkStart w:id="2121" w:name="_Toc455651410"/>
      <w:bookmarkStart w:id="2122" w:name="_Toc455652429"/>
      <w:bookmarkStart w:id="2123" w:name="_Toc455495045"/>
      <w:r>
        <w:rPr>
          <w:rFonts w:hint="eastAsia" w:ascii="宋体" w:hAnsi="宋体" w:eastAsia="宋体"/>
          <w:szCs w:val="21"/>
        </w:rPr>
        <w:t>3)采用倒打拔管法时，在管底未拔到桩顶高程前，倒打和轻击不得中断。</w:t>
      </w:r>
      <w:bookmarkEnd w:id="2117"/>
      <w:bookmarkEnd w:id="2118"/>
      <w:bookmarkEnd w:id="2119"/>
      <w:bookmarkEnd w:id="2120"/>
      <w:bookmarkEnd w:id="2121"/>
      <w:bookmarkEnd w:id="2122"/>
      <w:bookmarkEnd w:id="2123"/>
    </w:p>
    <w:p w14:paraId="4DFB126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9.3.3 质量检查和验收</w:t>
      </w:r>
    </w:p>
    <w:p w14:paraId="45703318">
      <w:pPr>
        <w:snapToGrid w:val="0"/>
        <w:spacing w:line="300" w:lineRule="auto"/>
        <w:ind w:firstLine="420" w:firstLineChars="200"/>
        <w:rPr>
          <w:rFonts w:ascii="宋体" w:hAnsi="宋体" w:eastAsia="宋体"/>
          <w:szCs w:val="21"/>
        </w:rPr>
      </w:pPr>
      <w:bookmarkStart w:id="2124" w:name="_Toc455648493"/>
      <w:bookmarkStart w:id="2125" w:name="_Toc455650425"/>
      <w:bookmarkStart w:id="2126" w:name="_Toc453706816"/>
      <w:bookmarkStart w:id="2127" w:name="_Toc455651411"/>
      <w:bookmarkStart w:id="2128" w:name="_Toc455652430"/>
      <w:bookmarkStart w:id="2129" w:name="_Toc453707298"/>
      <w:bookmarkStart w:id="2130" w:name="_Toc455495046"/>
      <w:r>
        <w:rPr>
          <w:rFonts w:hint="eastAsia" w:ascii="宋体" w:hAnsi="宋体" w:eastAsia="宋体"/>
          <w:szCs w:val="21"/>
        </w:rPr>
        <w:t>承包人应会同监理人进行以下项目的质量检查和验收，其将检查和验收记录提交监理人。</w:t>
      </w:r>
      <w:bookmarkEnd w:id="2124"/>
      <w:bookmarkEnd w:id="2125"/>
      <w:bookmarkEnd w:id="2126"/>
      <w:bookmarkEnd w:id="2127"/>
      <w:bookmarkEnd w:id="2128"/>
      <w:bookmarkEnd w:id="2129"/>
      <w:bookmarkEnd w:id="2130"/>
    </w:p>
    <w:p w14:paraId="4DC2AFDA">
      <w:pPr>
        <w:snapToGrid w:val="0"/>
        <w:spacing w:line="300" w:lineRule="auto"/>
        <w:ind w:firstLine="420" w:firstLineChars="200"/>
        <w:rPr>
          <w:rFonts w:ascii="宋体" w:hAnsi="宋体" w:eastAsia="宋体"/>
          <w:szCs w:val="21"/>
        </w:rPr>
      </w:pPr>
      <w:bookmarkStart w:id="2131" w:name="_Toc453706817"/>
      <w:bookmarkStart w:id="2132" w:name="_Toc455650426"/>
      <w:bookmarkStart w:id="2133" w:name="_Toc455495047"/>
      <w:bookmarkStart w:id="2134" w:name="_Toc453707299"/>
      <w:bookmarkStart w:id="2135" w:name="_Toc455648494"/>
      <w:bookmarkStart w:id="2136" w:name="_Toc455652431"/>
      <w:bookmarkStart w:id="2137" w:name="_Toc455651412"/>
      <w:r>
        <w:rPr>
          <w:rFonts w:hint="eastAsia" w:ascii="宋体" w:hAnsi="宋体" w:eastAsia="宋体"/>
          <w:szCs w:val="21"/>
        </w:rPr>
        <w:t>(1)灌注桩混凝土浇筑前，应检查的内容包括：</w:t>
      </w:r>
      <w:bookmarkEnd w:id="2131"/>
      <w:bookmarkEnd w:id="2132"/>
      <w:bookmarkEnd w:id="2133"/>
      <w:bookmarkEnd w:id="2134"/>
      <w:bookmarkEnd w:id="2135"/>
      <w:bookmarkEnd w:id="2136"/>
      <w:bookmarkEnd w:id="2137"/>
    </w:p>
    <w:p w14:paraId="67F68A48">
      <w:pPr>
        <w:snapToGrid w:val="0"/>
        <w:spacing w:line="300" w:lineRule="auto"/>
        <w:ind w:firstLine="420" w:firstLineChars="200"/>
        <w:rPr>
          <w:rFonts w:ascii="宋体" w:hAnsi="宋体" w:eastAsia="宋体"/>
          <w:szCs w:val="21"/>
        </w:rPr>
      </w:pPr>
      <w:bookmarkStart w:id="2138" w:name="_Toc455650427"/>
      <w:bookmarkStart w:id="2139" w:name="_Toc453706818"/>
      <w:bookmarkStart w:id="2140" w:name="_Toc455652432"/>
      <w:bookmarkStart w:id="2141" w:name="_Toc453707300"/>
      <w:bookmarkStart w:id="2142" w:name="_Toc455651413"/>
      <w:bookmarkStart w:id="2143" w:name="_Toc455495048"/>
      <w:bookmarkStart w:id="2144" w:name="_Toc455648495"/>
      <w:r>
        <w:rPr>
          <w:rFonts w:hint="eastAsia" w:ascii="宋体" w:hAnsi="宋体" w:eastAsia="宋体"/>
          <w:szCs w:val="21"/>
        </w:rPr>
        <w:t>1)桩位现场放样成果检查；</w:t>
      </w:r>
      <w:bookmarkEnd w:id="2138"/>
      <w:bookmarkEnd w:id="2139"/>
      <w:bookmarkEnd w:id="2140"/>
      <w:bookmarkEnd w:id="2141"/>
      <w:bookmarkEnd w:id="2142"/>
      <w:bookmarkEnd w:id="2143"/>
      <w:bookmarkEnd w:id="2144"/>
    </w:p>
    <w:p w14:paraId="593387EC">
      <w:pPr>
        <w:snapToGrid w:val="0"/>
        <w:spacing w:line="300" w:lineRule="auto"/>
        <w:ind w:firstLine="420" w:firstLineChars="200"/>
        <w:rPr>
          <w:rFonts w:ascii="宋体" w:hAnsi="宋体" w:eastAsia="宋体"/>
          <w:szCs w:val="21"/>
        </w:rPr>
      </w:pPr>
      <w:bookmarkStart w:id="2145" w:name="_Toc455648496"/>
      <w:bookmarkStart w:id="2146" w:name="_Toc455495049"/>
      <w:bookmarkStart w:id="2147" w:name="_Toc455651414"/>
      <w:bookmarkStart w:id="2148" w:name="_Toc453707301"/>
      <w:bookmarkStart w:id="2149" w:name="_Toc455652433"/>
      <w:bookmarkStart w:id="2150" w:name="_Toc455650428"/>
      <w:bookmarkStart w:id="2151" w:name="_Toc453706819"/>
      <w:r>
        <w:rPr>
          <w:rFonts w:hint="eastAsia" w:ascii="宋体" w:hAnsi="宋体" w:eastAsia="宋体"/>
          <w:szCs w:val="21"/>
        </w:rPr>
        <w:t>2)终孔和清孔质量的检查；</w:t>
      </w:r>
      <w:bookmarkEnd w:id="2145"/>
      <w:bookmarkEnd w:id="2146"/>
      <w:bookmarkEnd w:id="2147"/>
      <w:bookmarkEnd w:id="2148"/>
      <w:bookmarkEnd w:id="2149"/>
      <w:bookmarkEnd w:id="2150"/>
      <w:bookmarkEnd w:id="2151"/>
    </w:p>
    <w:p w14:paraId="298B447C">
      <w:pPr>
        <w:snapToGrid w:val="0"/>
        <w:spacing w:line="300" w:lineRule="auto"/>
        <w:ind w:firstLine="420" w:firstLineChars="200"/>
        <w:rPr>
          <w:rFonts w:ascii="宋体" w:hAnsi="宋体" w:eastAsia="宋体"/>
          <w:szCs w:val="21"/>
        </w:rPr>
      </w:pPr>
      <w:bookmarkStart w:id="2152" w:name="_Toc455648497"/>
      <w:bookmarkStart w:id="2153" w:name="_Toc455650429"/>
      <w:bookmarkStart w:id="2154" w:name="_Toc455495050"/>
      <w:bookmarkStart w:id="2155" w:name="_Toc455651415"/>
      <w:bookmarkStart w:id="2156" w:name="_Toc453706820"/>
      <w:bookmarkStart w:id="2157" w:name="_Toc453707302"/>
      <w:bookmarkStart w:id="2158" w:name="_Toc455652434"/>
      <w:r>
        <w:rPr>
          <w:rFonts w:hint="eastAsia" w:ascii="宋体" w:hAnsi="宋体" w:eastAsia="宋体"/>
          <w:szCs w:val="21"/>
        </w:rPr>
        <w:t>3)钢筋笼加工尺寸和焊接质量的检查及钢筋笼吊放定位尺寸和保护层厚度的检查；</w:t>
      </w:r>
      <w:bookmarkEnd w:id="2152"/>
      <w:bookmarkEnd w:id="2153"/>
      <w:bookmarkEnd w:id="2154"/>
      <w:bookmarkEnd w:id="2155"/>
      <w:bookmarkEnd w:id="2156"/>
      <w:bookmarkEnd w:id="2157"/>
      <w:bookmarkEnd w:id="2158"/>
    </w:p>
    <w:p w14:paraId="71EE74CE">
      <w:pPr>
        <w:snapToGrid w:val="0"/>
        <w:spacing w:line="300" w:lineRule="auto"/>
        <w:ind w:firstLine="420" w:firstLineChars="200"/>
        <w:rPr>
          <w:rFonts w:ascii="宋体" w:hAnsi="宋体" w:eastAsia="宋体"/>
          <w:szCs w:val="21"/>
        </w:rPr>
      </w:pPr>
      <w:bookmarkStart w:id="2159" w:name="_Toc455651416"/>
      <w:bookmarkStart w:id="2160" w:name="_Toc455650430"/>
      <w:bookmarkStart w:id="2161" w:name="_Toc455495051"/>
      <w:bookmarkStart w:id="2162" w:name="_Toc455648498"/>
      <w:bookmarkStart w:id="2163" w:name="_Toc455652435"/>
      <w:bookmarkStart w:id="2164" w:name="_Toc453707303"/>
      <w:bookmarkStart w:id="2165" w:name="_Toc453706821"/>
      <w:r>
        <w:rPr>
          <w:rFonts w:hint="eastAsia" w:ascii="宋体" w:hAnsi="宋体" w:eastAsia="宋体"/>
          <w:szCs w:val="21"/>
        </w:rPr>
        <w:t>4)导管和预埋管埋设位置和埋设深度的检查。</w:t>
      </w:r>
      <w:bookmarkEnd w:id="2159"/>
      <w:bookmarkEnd w:id="2160"/>
      <w:bookmarkEnd w:id="2161"/>
      <w:bookmarkEnd w:id="2162"/>
      <w:bookmarkEnd w:id="2163"/>
      <w:bookmarkEnd w:id="2164"/>
      <w:bookmarkEnd w:id="2165"/>
    </w:p>
    <w:p w14:paraId="6F3541F8">
      <w:pPr>
        <w:snapToGrid w:val="0"/>
        <w:spacing w:line="300" w:lineRule="auto"/>
        <w:ind w:firstLine="420" w:firstLineChars="200"/>
        <w:rPr>
          <w:rFonts w:ascii="宋体" w:hAnsi="宋体" w:eastAsia="宋体"/>
          <w:szCs w:val="21"/>
        </w:rPr>
      </w:pPr>
      <w:bookmarkStart w:id="2166" w:name="_Toc455495052"/>
      <w:bookmarkStart w:id="2167" w:name="_Toc455652436"/>
      <w:bookmarkStart w:id="2168" w:name="_Toc455651417"/>
      <w:bookmarkStart w:id="2169" w:name="_Toc453706822"/>
      <w:bookmarkStart w:id="2170" w:name="_Toc455650431"/>
      <w:bookmarkStart w:id="2171" w:name="_Toc453707304"/>
      <w:bookmarkStart w:id="2172" w:name="_Toc455648499"/>
      <w:r>
        <w:rPr>
          <w:rFonts w:hint="eastAsia" w:ascii="宋体" w:hAnsi="宋体" w:eastAsia="宋体"/>
          <w:szCs w:val="21"/>
        </w:rPr>
        <w:t>(2)灌注桩混凝土浇筑质量的检查内容包括：</w:t>
      </w:r>
      <w:bookmarkEnd w:id="2166"/>
      <w:bookmarkEnd w:id="2167"/>
      <w:bookmarkEnd w:id="2168"/>
      <w:bookmarkEnd w:id="2169"/>
      <w:bookmarkEnd w:id="2170"/>
      <w:bookmarkEnd w:id="2171"/>
      <w:bookmarkEnd w:id="2172"/>
    </w:p>
    <w:p w14:paraId="449349D5">
      <w:pPr>
        <w:snapToGrid w:val="0"/>
        <w:spacing w:line="300" w:lineRule="auto"/>
        <w:ind w:firstLine="420" w:firstLineChars="200"/>
        <w:rPr>
          <w:rFonts w:ascii="宋体" w:hAnsi="宋体" w:eastAsia="宋体"/>
          <w:szCs w:val="21"/>
        </w:rPr>
      </w:pPr>
      <w:bookmarkStart w:id="2173" w:name="_Toc455650432"/>
      <w:bookmarkStart w:id="2174" w:name="_Toc453706823"/>
      <w:bookmarkStart w:id="2175" w:name="_Toc455652437"/>
      <w:bookmarkStart w:id="2176" w:name="_Toc455651418"/>
      <w:bookmarkStart w:id="2177" w:name="_Toc455495053"/>
      <w:bookmarkStart w:id="2178" w:name="_Toc455648500"/>
      <w:bookmarkStart w:id="2179" w:name="_Toc453707305"/>
      <w:r>
        <w:rPr>
          <w:rFonts w:hint="eastAsia" w:ascii="宋体" w:hAnsi="宋体" w:eastAsia="宋体"/>
          <w:szCs w:val="21"/>
        </w:rPr>
        <w:t>1)混凝土原材料的抽样检查；</w:t>
      </w:r>
      <w:bookmarkEnd w:id="2173"/>
      <w:bookmarkEnd w:id="2174"/>
      <w:bookmarkEnd w:id="2175"/>
      <w:bookmarkEnd w:id="2176"/>
      <w:bookmarkEnd w:id="2177"/>
      <w:bookmarkEnd w:id="2178"/>
      <w:bookmarkEnd w:id="2179"/>
    </w:p>
    <w:p w14:paraId="56D19973">
      <w:pPr>
        <w:snapToGrid w:val="0"/>
        <w:spacing w:line="300" w:lineRule="auto"/>
        <w:ind w:firstLine="420" w:firstLineChars="200"/>
        <w:rPr>
          <w:rFonts w:ascii="宋体" w:hAnsi="宋体" w:eastAsia="宋体"/>
          <w:szCs w:val="21"/>
        </w:rPr>
      </w:pPr>
      <w:bookmarkStart w:id="2180" w:name="_Toc455652438"/>
      <w:bookmarkStart w:id="2181" w:name="_Toc455495054"/>
      <w:bookmarkStart w:id="2182" w:name="_Toc453706824"/>
      <w:bookmarkStart w:id="2183" w:name="_Toc453707306"/>
      <w:bookmarkStart w:id="2184" w:name="_Toc455648501"/>
      <w:bookmarkStart w:id="2185" w:name="_Toc455651419"/>
      <w:bookmarkStart w:id="2186" w:name="_Toc455650433"/>
      <w:r>
        <w:rPr>
          <w:rFonts w:hint="eastAsia" w:ascii="宋体" w:hAnsi="宋体" w:eastAsia="宋体"/>
          <w:szCs w:val="21"/>
        </w:rPr>
        <w:t>2)混凝土现场取样试验的成果检验；</w:t>
      </w:r>
      <w:bookmarkEnd w:id="2180"/>
      <w:bookmarkEnd w:id="2181"/>
      <w:bookmarkEnd w:id="2182"/>
      <w:bookmarkEnd w:id="2183"/>
      <w:bookmarkEnd w:id="2184"/>
      <w:bookmarkEnd w:id="2185"/>
      <w:bookmarkEnd w:id="2186"/>
    </w:p>
    <w:p w14:paraId="03AD63B3">
      <w:pPr>
        <w:snapToGrid w:val="0"/>
        <w:spacing w:line="300" w:lineRule="auto"/>
        <w:ind w:firstLine="420" w:firstLineChars="200"/>
        <w:rPr>
          <w:rFonts w:ascii="宋体" w:hAnsi="宋体" w:eastAsia="宋体"/>
          <w:szCs w:val="21"/>
        </w:rPr>
      </w:pPr>
      <w:bookmarkStart w:id="2187" w:name="_Toc453707307"/>
      <w:bookmarkStart w:id="2188" w:name="_Toc453706825"/>
      <w:bookmarkStart w:id="2189" w:name="_Toc455652439"/>
      <w:bookmarkStart w:id="2190" w:name="_Toc455648502"/>
      <w:bookmarkStart w:id="2191" w:name="_Toc455651420"/>
      <w:bookmarkStart w:id="2192" w:name="_Toc455650434"/>
      <w:bookmarkStart w:id="2193" w:name="_Toc455495055"/>
      <w:r>
        <w:rPr>
          <w:rFonts w:hint="eastAsia" w:ascii="宋体" w:hAnsi="宋体" w:eastAsia="宋体"/>
          <w:szCs w:val="21"/>
        </w:rPr>
        <w:t>3)水下混凝土浇筑工艺和浇筑质量检查。</w:t>
      </w:r>
      <w:bookmarkEnd w:id="2187"/>
      <w:bookmarkEnd w:id="2188"/>
      <w:bookmarkEnd w:id="2189"/>
      <w:bookmarkEnd w:id="2190"/>
      <w:bookmarkEnd w:id="2191"/>
      <w:bookmarkEnd w:id="2192"/>
      <w:bookmarkEnd w:id="2193"/>
    </w:p>
    <w:p w14:paraId="683626E5">
      <w:pPr>
        <w:snapToGrid w:val="0"/>
        <w:spacing w:line="300" w:lineRule="auto"/>
        <w:ind w:firstLine="420" w:firstLineChars="200"/>
        <w:rPr>
          <w:rFonts w:ascii="宋体" w:hAnsi="宋体" w:eastAsia="宋体"/>
          <w:szCs w:val="21"/>
        </w:rPr>
      </w:pPr>
      <w:bookmarkStart w:id="2194" w:name="_Toc453707308"/>
      <w:bookmarkStart w:id="2195" w:name="_Toc455651421"/>
      <w:bookmarkStart w:id="2196" w:name="_Toc453706826"/>
      <w:bookmarkStart w:id="2197" w:name="_Toc455648503"/>
      <w:bookmarkStart w:id="2198" w:name="_Toc455652440"/>
      <w:bookmarkStart w:id="2199" w:name="_Toc455495056"/>
      <w:bookmarkStart w:id="2200" w:name="_Toc455650435"/>
      <w:r>
        <w:rPr>
          <w:rFonts w:hint="eastAsia" w:ascii="宋体" w:hAnsi="宋体" w:eastAsia="宋体"/>
          <w:szCs w:val="21"/>
        </w:rPr>
        <w:t>(3)灌注桩成桩质量检查内容包括：</w:t>
      </w:r>
      <w:bookmarkEnd w:id="2194"/>
      <w:bookmarkEnd w:id="2195"/>
      <w:bookmarkEnd w:id="2196"/>
      <w:bookmarkEnd w:id="2197"/>
      <w:bookmarkEnd w:id="2198"/>
      <w:bookmarkEnd w:id="2199"/>
      <w:bookmarkEnd w:id="2200"/>
    </w:p>
    <w:p w14:paraId="4395E72D">
      <w:pPr>
        <w:snapToGrid w:val="0"/>
        <w:spacing w:line="300" w:lineRule="auto"/>
        <w:ind w:firstLine="420" w:firstLineChars="200"/>
        <w:rPr>
          <w:rFonts w:ascii="宋体" w:hAnsi="宋体" w:eastAsia="宋体"/>
          <w:szCs w:val="21"/>
        </w:rPr>
      </w:pPr>
      <w:bookmarkStart w:id="2201" w:name="_Toc455495057"/>
      <w:bookmarkStart w:id="2202" w:name="_Toc453706827"/>
      <w:bookmarkStart w:id="2203" w:name="_Toc455650436"/>
      <w:bookmarkStart w:id="2204" w:name="_Toc455652441"/>
      <w:bookmarkStart w:id="2205" w:name="_Toc455651422"/>
      <w:bookmarkStart w:id="2206" w:name="_Toc455648504"/>
      <w:bookmarkStart w:id="2207" w:name="_Toc453707309"/>
      <w:r>
        <w:rPr>
          <w:rFonts w:hint="eastAsia" w:ascii="宋体" w:hAnsi="宋体" w:eastAsia="宋体"/>
          <w:szCs w:val="21"/>
        </w:rPr>
        <w:t>1)灌注桩桩位的检查；</w:t>
      </w:r>
      <w:bookmarkEnd w:id="2201"/>
      <w:bookmarkEnd w:id="2202"/>
      <w:bookmarkEnd w:id="2203"/>
      <w:bookmarkEnd w:id="2204"/>
      <w:bookmarkEnd w:id="2205"/>
      <w:bookmarkEnd w:id="2206"/>
      <w:bookmarkEnd w:id="2207"/>
    </w:p>
    <w:p w14:paraId="34A1E3EC">
      <w:pPr>
        <w:snapToGrid w:val="0"/>
        <w:spacing w:line="300" w:lineRule="auto"/>
        <w:ind w:firstLine="420" w:firstLineChars="200"/>
        <w:rPr>
          <w:rFonts w:ascii="宋体" w:hAnsi="宋体" w:eastAsia="宋体"/>
          <w:szCs w:val="21"/>
        </w:rPr>
      </w:pPr>
      <w:bookmarkStart w:id="2208" w:name="_Toc455650437"/>
      <w:bookmarkStart w:id="2209" w:name="_Toc455648505"/>
      <w:bookmarkStart w:id="2210" w:name="_Toc453706828"/>
      <w:bookmarkStart w:id="2211" w:name="_Toc455652442"/>
      <w:bookmarkStart w:id="2212" w:name="_Toc455651423"/>
      <w:bookmarkStart w:id="2213" w:name="_Toc453707310"/>
      <w:bookmarkStart w:id="2214" w:name="_Toc455495058"/>
      <w:r>
        <w:rPr>
          <w:rFonts w:hint="eastAsia" w:ascii="宋体" w:hAnsi="宋体" w:eastAsia="宋体"/>
          <w:szCs w:val="21"/>
        </w:rPr>
        <w:t>2)灌注桩的有效桩径的检查；</w:t>
      </w:r>
      <w:bookmarkEnd w:id="2208"/>
      <w:bookmarkEnd w:id="2209"/>
      <w:bookmarkEnd w:id="2210"/>
      <w:bookmarkEnd w:id="2211"/>
      <w:bookmarkEnd w:id="2212"/>
      <w:bookmarkEnd w:id="2213"/>
      <w:bookmarkEnd w:id="2214"/>
    </w:p>
    <w:p w14:paraId="5D22455F">
      <w:pPr>
        <w:snapToGrid w:val="0"/>
        <w:spacing w:line="300" w:lineRule="auto"/>
        <w:ind w:firstLine="420" w:firstLineChars="200"/>
        <w:rPr>
          <w:rFonts w:ascii="宋体" w:hAnsi="宋体" w:eastAsia="宋体"/>
          <w:szCs w:val="21"/>
        </w:rPr>
      </w:pPr>
      <w:bookmarkStart w:id="2215" w:name="_Toc455651424"/>
      <w:bookmarkStart w:id="2216" w:name="_Toc453706829"/>
      <w:bookmarkStart w:id="2217" w:name="_Toc455495059"/>
      <w:bookmarkStart w:id="2218" w:name="_Toc455648506"/>
      <w:bookmarkStart w:id="2219" w:name="_Toc453707311"/>
      <w:bookmarkStart w:id="2220" w:name="_Toc455652443"/>
      <w:bookmarkStart w:id="2221" w:name="_Toc455650438"/>
      <w:r>
        <w:rPr>
          <w:rFonts w:hint="eastAsia" w:ascii="宋体" w:hAnsi="宋体" w:eastAsia="宋体"/>
          <w:szCs w:val="21"/>
        </w:rPr>
        <w:t>3)灌注桩的顶底高程和有效长度的检查；</w:t>
      </w:r>
      <w:bookmarkEnd w:id="2215"/>
      <w:bookmarkEnd w:id="2216"/>
      <w:bookmarkEnd w:id="2217"/>
      <w:bookmarkEnd w:id="2218"/>
      <w:bookmarkEnd w:id="2219"/>
      <w:bookmarkEnd w:id="2220"/>
      <w:bookmarkEnd w:id="2221"/>
    </w:p>
    <w:p w14:paraId="6E4BBFDF">
      <w:pPr>
        <w:snapToGrid w:val="0"/>
        <w:spacing w:line="300" w:lineRule="auto"/>
        <w:ind w:firstLine="420" w:firstLineChars="200"/>
        <w:rPr>
          <w:rFonts w:ascii="宋体" w:hAnsi="宋体" w:eastAsia="宋体"/>
          <w:szCs w:val="21"/>
        </w:rPr>
      </w:pPr>
      <w:bookmarkStart w:id="2222" w:name="_Toc455652444"/>
      <w:bookmarkStart w:id="2223" w:name="_Toc455648507"/>
      <w:bookmarkStart w:id="2224" w:name="_Toc455650439"/>
      <w:bookmarkStart w:id="2225" w:name="_Toc455495060"/>
      <w:bookmarkStart w:id="2226" w:name="_Toc455651425"/>
      <w:bookmarkStart w:id="2227" w:name="_Toc453706830"/>
      <w:bookmarkStart w:id="2228" w:name="_Toc453707312"/>
      <w:r>
        <w:rPr>
          <w:rFonts w:hint="eastAsia" w:ascii="宋体" w:hAnsi="宋体" w:eastAsia="宋体"/>
          <w:szCs w:val="21"/>
        </w:rPr>
        <w:t>4)灌注桩的贯入度标准检验；</w:t>
      </w:r>
      <w:bookmarkEnd w:id="2222"/>
      <w:bookmarkEnd w:id="2223"/>
      <w:bookmarkEnd w:id="2224"/>
      <w:bookmarkEnd w:id="2225"/>
      <w:bookmarkEnd w:id="2226"/>
      <w:bookmarkEnd w:id="2227"/>
      <w:bookmarkEnd w:id="2228"/>
    </w:p>
    <w:p w14:paraId="5F5B24C1">
      <w:pPr>
        <w:snapToGrid w:val="0"/>
        <w:spacing w:line="300" w:lineRule="auto"/>
        <w:ind w:firstLine="420" w:firstLineChars="200"/>
        <w:rPr>
          <w:rFonts w:ascii="宋体" w:hAnsi="宋体" w:eastAsia="宋体"/>
          <w:szCs w:val="21"/>
        </w:rPr>
      </w:pPr>
      <w:bookmarkStart w:id="2229" w:name="_Toc453706831"/>
      <w:bookmarkStart w:id="2230" w:name="_Toc455495061"/>
      <w:bookmarkStart w:id="2231" w:name="_Toc455652445"/>
      <w:bookmarkStart w:id="2232" w:name="_Toc455648508"/>
      <w:bookmarkStart w:id="2233" w:name="_Toc455650440"/>
      <w:bookmarkStart w:id="2234" w:name="_Toc453707313"/>
      <w:bookmarkStart w:id="2235" w:name="_Toc455651426"/>
      <w:r>
        <w:rPr>
          <w:rFonts w:hint="eastAsia" w:ascii="宋体" w:hAnsi="宋体" w:eastAsia="宋体"/>
          <w:szCs w:val="21"/>
        </w:rPr>
        <w:t>5)灌注桩承载力检验成果的质量检查。</w:t>
      </w:r>
      <w:bookmarkEnd w:id="2229"/>
      <w:bookmarkEnd w:id="2230"/>
      <w:bookmarkEnd w:id="2231"/>
      <w:bookmarkEnd w:id="2232"/>
      <w:bookmarkEnd w:id="2233"/>
      <w:bookmarkEnd w:id="2234"/>
      <w:bookmarkEnd w:id="2235"/>
    </w:p>
    <w:p w14:paraId="715095F0">
      <w:pPr>
        <w:snapToGrid w:val="0"/>
        <w:spacing w:line="300" w:lineRule="auto"/>
        <w:ind w:firstLine="420" w:firstLineChars="200"/>
        <w:rPr>
          <w:rFonts w:ascii="宋体" w:hAnsi="宋体" w:eastAsia="宋体"/>
          <w:szCs w:val="21"/>
        </w:rPr>
      </w:pPr>
      <w:bookmarkStart w:id="2236" w:name="_Toc453707314"/>
      <w:bookmarkStart w:id="2237" w:name="_Toc455495062"/>
      <w:bookmarkStart w:id="2238" w:name="_Toc455650441"/>
      <w:bookmarkStart w:id="2239" w:name="_Toc455648509"/>
      <w:bookmarkStart w:id="2240" w:name="_Toc453706832"/>
      <w:bookmarkStart w:id="2241" w:name="_Toc455651427"/>
      <w:bookmarkStart w:id="2242" w:name="_Toc455652446"/>
      <w:r>
        <w:rPr>
          <w:rFonts w:hint="eastAsia" w:ascii="宋体" w:hAnsi="宋体" w:eastAsia="宋体"/>
          <w:szCs w:val="21"/>
        </w:rPr>
        <w:t>(4)灌注桩的成桩检验</w:t>
      </w:r>
      <w:bookmarkEnd w:id="2236"/>
      <w:bookmarkEnd w:id="2237"/>
      <w:bookmarkEnd w:id="2238"/>
      <w:bookmarkEnd w:id="2239"/>
      <w:bookmarkEnd w:id="2240"/>
      <w:bookmarkEnd w:id="2241"/>
      <w:bookmarkEnd w:id="2242"/>
    </w:p>
    <w:p w14:paraId="5DF93109">
      <w:pPr>
        <w:snapToGrid w:val="0"/>
        <w:spacing w:line="300" w:lineRule="auto"/>
        <w:ind w:firstLine="420" w:firstLineChars="200"/>
        <w:rPr>
          <w:rFonts w:ascii="宋体" w:hAnsi="宋体" w:eastAsia="宋体"/>
          <w:szCs w:val="21"/>
        </w:rPr>
      </w:pPr>
      <w:bookmarkStart w:id="2243" w:name="_Toc455652447"/>
      <w:bookmarkStart w:id="2244" w:name="_Toc453706833"/>
      <w:bookmarkStart w:id="2245" w:name="_Toc455495063"/>
      <w:bookmarkStart w:id="2246" w:name="_Toc455650442"/>
      <w:bookmarkStart w:id="2247" w:name="_Toc453707315"/>
      <w:bookmarkStart w:id="2248" w:name="_Toc455648510"/>
      <w:bookmarkStart w:id="2249" w:name="_Toc455651428"/>
      <w:r>
        <w:rPr>
          <w:rFonts w:hint="eastAsia" w:ascii="宋体" w:hAnsi="宋体" w:eastAsia="宋体"/>
          <w:szCs w:val="21"/>
        </w:rPr>
        <w:t>混凝土灌注桩的质量检验标准应符合GB50202表5.6.4-1和表5.6.4-2的规定。</w:t>
      </w:r>
      <w:bookmarkEnd w:id="2243"/>
      <w:bookmarkEnd w:id="2244"/>
      <w:bookmarkEnd w:id="2245"/>
      <w:bookmarkEnd w:id="2246"/>
      <w:bookmarkEnd w:id="2247"/>
      <w:bookmarkEnd w:id="2248"/>
      <w:bookmarkEnd w:id="2249"/>
    </w:p>
    <w:p w14:paraId="41017ABF">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9.3.4 灌注桩工程的完工验收</w:t>
      </w:r>
    </w:p>
    <w:p w14:paraId="33E79E78">
      <w:pPr>
        <w:snapToGrid w:val="0"/>
        <w:spacing w:line="300" w:lineRule="auto"/>
        <w:ind w:firstLine="420" w:firstLineChars="200"/>
        <w:rPr>
          <w:rFonts w:ascii="宋体" w:hAnsi="宋体" w:eastAsia="宋体"/>
          <w:szCs w:val="21"/>
        </w:rPr>
      </w:pPr>
      <w:bookmarkStart w:id="2250" w:name="_Toc455651429"/>
      <w:bookmarkStart w:id="2251" w:name="_Toc455648511"/>
      <w:bookmarkStart w:id="2252" w:name="_Toc455495064"/>
      <w:bookmarkStart w:id="2253" w:name="_Toc455652448"/>
      <w:bookmarkStart w:id="2254" w:name="_Toc453706834"/>
      <w:bookmarkStart w:id="2255" w:name="_Toc453707316"/>
      <w:bookmarkStart w:id="2256" w:name="_Toc455650443"/>
      <w:r>
        <w:rPr>
          <w:rFonts w:hint="eastAsia" w:ascii="宋体" w:hAnsi="宋体" w:eastAsia="宋体"/>
          <w:szCs w:val="21"/>
        </w:rPr>
        <w:t>混凝土灌注桩工程全部完工后，承包人应向监理人申请完工验收，并提交完工验收资料：</w:t>
      </w:r>
      <w:bookmarkEnd w:id="2250"/>
      <w:bookmarkEnd w:id="2251"/>
      <w:bookmarkEnd w:id="2252"/>
      <w:bookmarkEnd w:id="2253"/>
      <w:bookmarkEnd w:id="2254"/>
      <w:bookmarkEnd w:id="2255"/>
      <w:bookmarkEnd w:id="2256"/>
    </w:p>
    <w:p w14:paraId="70C53CD5">
      <w:pPr>
        <w:snapToGrid w:val="0"/>
        <w:spacing w:line="300" w:lineRule="auto"/>
        <w:ind w:firstLine="420" w:firstLineChars="200"/>
        <w:rPr>
          <w:rFonts w:ascii="宋体" w:hAnsi="宋体" w:eastAsia="宋体"/>
          <w:szCs w:val="21"/>
        </w:rPr>
      </w:pPr>
      <w:bookmarkStart w:id="2257" w:name="_Toc453706835"/>
      <w:bookmarkStart w:id="2258" w:name="_Toc455650444"/>
      <w:bookmarkStart w:id="2259" w:name="_Toc455652449"/>
      <w:bookmarkStart w:id="2260" w:name="_Toc455495065"/>
      <w:bookmarkStart w:id="2261" w:name="_Toc453707317"/>
      <w:bookmarkStart w:id="2262" w:name="_Toc455651430"/>
      <w:bookmarkStart w:id="2263" w:name="_Toc455648512"/>
      <w:r>
        <w:rPr>
          <w:rFonts w:hint="eastAsia" w:ascii="宋体" w:hAnsi="宋体" w:eastAsia="宋体"/>
          <w:szCs w:val="21"/>
        </w:rPr>
        <w:t>(1)混凝土灌注桩基工程等竣工图和说明书；</w:t>
      </w:r>
      <w:bookmarkEnd w:id="2257"/>
      <w:bookmarkEnd w:id="2258"/>
      <w:bookmarkEnd w:id="2259"/>
      <w:bookmarkEnd w:id="2260"/>
      <w:bookmarkEnd w:id="2261"/>
      <w:bookmarkEnd w:id="2262"/>
      <w:bookmarkEnd w:id="2263"/>
    </w:p>
    <w:p w14:paraId="5C962067">
      <w:pPr>
        <w:snapToGrid w:val="0"/>
        <w:spacing w:line="300" w:lineRule="auto"/>
        <w:ind w:firstLine="420" w:firstLineChars="200"/>
        <w:rPr>
          <w:rFonts w:ascii="宋体" w:hAnsi="宋体" w:eastAsia="宋体"/>
          <w:szCs w:val="21"/>
        </w:rPr>
      </w:pPr>
      <w:bookmarkStart w:id="2264" w:name="_Toc455495066"/>
      <w:bookmarkStart w:id="2265" w:name="_Toc453707318"/>
      <w:bookmarkStart w:id="2266" w:name="_Toc455650445"/>
      <w:bookmarkStart w:id="2267" w:name="_Toc455651431"/>
      <w:bookmarkStart w:id="2268" w:name="_Toc455648513"/>
      <w:bookmarkStart w:id="2269" w:name="_Toc453706836"/>
      <w:bookmarkStart w:id="2270" w:name="_Toc455652450"/>
      <w:r>
        <w:rPr>
          <w:rFonts w:hint="eastAsia" w:ascii="宋体" w:hAnsi="宋体" w:eastAsia="宋体"/>
          <w:szCs w:val="21"/>
        </w:rPr>
        <w:t>(2)混凝土灌注桩基工程材料试验成果报告；</w:t>
      </w:r>
      <w:bookmarkEnd w:id="2264"/>
      <w:bookmarkEnd w:id="2265"/>
      <w:bookmarkEnd w:id="2266"/>
      <w:bookmarkEnd w:id="2267"/>
      <w:bookmarkEnd w:id="2268"/>
      <w:bookmarkEnd w:id="2269"/>
      <w:bookmarkEnd w:id="2270"/>
    </w:p>
    <w:p w14:paraId="1772D75D">
      <w:pPr>
        <w:snapToGrid w:val="0"/>
        <w:spacing w:line="300" w:lineRule="auto"/>
        <w:ind w:firstLine="420" w:firstLineChars="200"/>
        <w:rPr>
          <w:rFonts w:ascii="宋体" w:hAnsi="宋体" w:eastAsia="宋体"/>
          <w:szCs w:val="21"/>
        </w:rPr>
      </w:pPr>
      <w:bookmarkStart w:id="2271" w:name="_Toc455651432"/>
      <w:bookmarkStart w:id="2272" w:name="_Toc455652451"/>
      <w:bookmarkStart w:id="2273" w:name="_Toc455495067"/>
      <w:bookmarkStart w:id="2274" w:name="_Toc453706837"/>
      <w:bookmarkStart w:id="2275" w:name="_Toc455648514"/>
      <w:bookmarkStart w:id="2276" w:name="_Toc455650446"/>
      <w:bookmarkStart w:id="2277" w:name="_Toc453707319"/>
      <w:r>
        <w:rPr>
          <w:rFonts w:hint="eastAsia" w:ascii="宋体" w:hAnsi="宋体" w:eastAsia="宋体"/>
          <w:szCs w:val="21"/>
        </w:rPr>
        <w:t>(3)混凝土灌注桩基工程试桩、桩基承载试验报告和沉井定位测量试验记录；</w:t>
      </w:r>
      <w:bookmarkEnd w:id="2271"/>
      <w:bookmarkEnd w:id="2272"/>
      <w:bookmarkEnd w:id="2273"/>
      <w:bookmarkEnd w:id="2274"/>
      <w:bookmarkEnd w:id="2275"/>
      <w:bookmarkEnd w:id="2276"/>
      <w:bookmarkEnd w:id="2277"/>
    </w:p>
    <w:p w14:paraId="4571F53A">
      <w:pPr>
        <w:snapToGrid w:val="0"/>
        <w:spacing w:line="300" w:lineRule="auto"/>
        <w:ind w:firstLine="420" w:firstLineChars="200"/>
        <w:rPr>
          <w:rFonts w:ascii="宋体" w:hAnsi="宋体" w:eastAsia="宋体"/>
          <w:szCs w:val="21"/>
        </w:rPr>
      </w:pPr>
      <w:bookmarkStart w:id="2278" w:name="_Toc455648515"/>
      <w:bookmarkStart w:id="2279" w:name="_Toc455650447"/>
      <w:bookmarkStart w:id="2280" w:name="_Toc455495068"/>
      <w:bookmarkStart w:id="2281" w:name="_Toc455652452"/>
      <w:bookmarkStart w:id="2282" w:name="_Toc453707320"/>
      <w:bookmarkStart w:id="2283" w:name="_Toc455651433"/>
      <w:bookmarkStart w:id="2284" w:name="_Toc453706838"/>
      <w:r>
        <w:rPr>
          <w:rFonts w:hint="eastAsia" w:ascii="宋体" w:hAnsi="宋体" w:eastAsia="宋体"/>
          <w:szCs w:val="21"/>
        </w:rPr>
        <w:t>(4)质量检查记录和质量事故处理报告；</w:t>
      </w:r>
      <w:bookmarkEnd w:id="2278"/>
      <w:bookmarkEnd w:id="2279"/>
      <w:bookmarkEnd w:id="2280"/>
      <w:bookmarkEnd w:id="2281"/>
      <w:bookmarkEnd w:id="2282"/>
      <w:bookmarkEnd w:id="2283"/>
      <w:bookmarkEnd w:id="2284"/>
    </w:p>
    <w:p w14:paraId="044BEB34">
      <w:pPr>
        <w:snapToGrid w:val="0"/>
        <w:spacing w:line="300" w:lineRule="auto"/>
        <w:ind w:firstLine="420" w:firstLineChars="200"/>
        <w:rPr>
          <w:rFonts w:ascii="宋体" w:hAnsi="宋体" w:eastAsia="宋体"/>
          <w:szCs w:val="21"/>
        </w:rPr>
      </w:pPr>
      <w:bookmarkStart w:id="2285" w:name="_Toc455495069"/>
      <w:bookmarkStart w:id="2286" w:name="_Toc455651434"/>
      <w:bookmarkStart w:id="2287" w:name="_Toc455652453"/>
      <w:bookmarkStart w:id="2288" w:name="_Toc455650448"/>
      <w:bookmarkStart w:id="2289" w:name="_Toc455648516"/>
      <w:bookmarkStart w:id="2290" w:name="_Toc453707321"/>
      <w:bookmarkStart w:id="2291" w:name="_Toc453706839"/>
      <w:r>
        <w:rPr>
          <w:rFonts w:hint="eastAsia" w:ascii="宋体" w:hAnsi="宋体" w:eastAsia="宋体"/>
          <w:szCs w:val="21"/>
        </w:rPr>
        <w:t>(5)监理人要求提交的其它完工资料。</w:t>
      </w:r>
      <w:bookmarkEnd w:id="2285"/>
      <w:bookmarkEnd w:id="2286"/>
      <w:bookmarkEnd w:id="2287"/>
      <w:bookmarkEnd w:id="2288"/>
      <w:bookmarkEnd w:id="2289"/>
      <w:bookmarkEnd w:id="2290"/>
      <w:bookmarkEnd w:id="2291"/>
    </w:p>
    <w:p w14:paraId="01197F35">
      <w:pPr>
        <w:adjustRightInd w:val="0"/>
        <w:snapToGrid w:val="0"/>
        <w:spacing w:before="134" w:beforeLines="25" w:line="300" w:lineRule="auto"/>
        <w:outlineLvl w:val="1"/>
        <w:rPr>
          <w:rFonts w:ascii="宋体" w:hAnsi="宋体" w:eastAsia="宋体"/>
          <w:b/>
          <w:bCs/>
          <w:sz w:val="24"/>
          <w:szCs w:val="24"/>
        </w:rPr>
      </w:pPr>
      <w:bookmarkStart w:id="2292" w:name="第12章04"/>
      <w:bookmarkEnd w:id="2292"/>
      <w:bookmarkStart w:id="2293" w:name="_Toc455648517"/>
      <w:bookmarkStart w:id="2294" w:name="_Toc455651435"/>
      <w:bookmarkStart w:id="2295" w:name="_Toc455650449"/>
      <w:bookmarkStart w:id="2296" w:name="_Toc455652454"/>
      <w:bookmarkStart w:id="2297" w:name="_Toc453706840"/>
      <w:bookmarkStart w:id="2298" w:name="_Toc455495070"/>
      <w:bookmarkStart w:id="2299" w:name="_Toc453707322"/>
      <w:r>
        <w:rPr>
          <w:rFonts w:hint="eastAsia" w:ascii="宋体" w:hAnsi="宋体" w:eastAsia="宋体"/>
          <w:b/>
          <w:bCs/>
          <w:sz w:val="24"/>
          <w:szCs w:val="24"/>
        </w:rPr>
        <w:t>9.4 沉井</w:t>
      </w:r>
      <w:bookmarkEnd w:id="2293"/>
      <w:bookmarkEnd w:id="2294"/>
      <w:bookmarkEnd w:id="2295"/>
      <w:bookmarkEnd w:id="2296"/>
      <w:bookmarkEnd w:id="2297"/>
      <w:bookmarkEnd w:id="2298"/>
      <w:bookmarkEnd w:id="2299"/>
    </w:p>
    <w:p w14:paraId="0703FDC3">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9.4.1 一般要求</w:t>
      </w:r>
    </w:p>
    <w:p w14:paraId="2245630A">
      <w:pPr>
        <w:snapToGrid w:val="0"/>
        <w:spacing w:line="300" w:lineRule="auto"/>
        <w:ind w:firstLine="420" w:firstLineChars="200"/>
        <w:rPr>
          <w:rFonts w:ascii="宋体" w:hAnsi="宋体" w:eastAsia="宋体"/>
          <w:szCs w:val="21"/>
        </w:rPr>
      </w:pPr>
      <w:bookmarkStart w:id="2300" w:name="_Toc455652455"/>
      <w:bookmarkStart w:id="2301" w:name="_Toc453706841"/>
      <w:bookmarkStart w:id="2302" w:name="_Toc455650450"/>
      <w:bookmarkStart w:id="2303" w:name="_Toc455648518"/>
      <w:bookmarkStart w:id="2304" w:name="_Toc455495071"/>
      <w:bookmarkStart w:id="2305" w:name="_Toc455651436"/>
      <w:bookmarkStart w:id="2306" w:name="_Toc453707323"/>
      <w:r>
        <w:rPr>
          <w:rFonts w:hint="eastAsia" w:ascii="宋体" w:hAnsi="宋体" w:eastAsia="宋体"/>
          <w:szCs w:val="21"/>
        </w:rPr>
        <w:t>(1)本节所述的沉井结构包括钢筋混凝土沉井和钢沉井，适用于本工程施工图纸所示的永久和临时工程建筑物深基础处理的陆地沉井和浮运沉井。</w:t>
      </w:r>
      <w:bookmarkEnd w:id="2300"/>
      <w:bookmarkEnd w:id="2301"/>
      <w:bookmarkEnd w:id="2302"/>
      <w:bookmarkEnd w:id="2303"/>
      <w:bookmarkEnd w:id="2304"/>
      <w:bookmarkEnd w:id="2305"/>
      <w:bookmarkEnd w:id="2306"/>
    </w:p>
    <w:p w14:paraId="6405F942">
      <w:pPr>
        <w:snapToGrid w:val="0"/>
        <w:spacing w:line="300" w:lineRule="auto"/>
        <w:ind w:firstLine="420" w:firstLineChars="200"/>
        <w:rPr>
          <w:rFonts w:ascii="宋体" w:hAnsi="宋体" w:eastAsia="宋体"/>
          <w:szCs w:val="21"/>
        </w:rPr>
      </w:pPr>
      <w:bookmarkStart w:id="2307" w:name="_Toc455648519"/>
      <w:bookmarkStart w:id="2308" w:name="_Toc453707324"/>
      <w:bookmarkStart w:id="2309" w:name="_Toc453706842"/>
      <w:bookmarkStart w:id="2310" w:name="_Toc455650451"/>
      <w:bookmarkStart w:id="2311" w:name="_Toc455495072"/>
      <w:bookmarkStart w:id="2312" w:name="_Toc455652456"/>
      <w:bookmarkStart w:id="2313" w:name="_Toc455651437"/>
      <w:r>
        <w:rPr>
          <w:rFonts w:hint="eastAsia" w:ascii="宋体" w:hAnsi="宋体" w:eastAsia="宋体"/>
          <w:szCs w:val="21"/>
        </w:rPr>
        <w:t>(2)承包人应根据施工图纸规定的井位，负责复勘沉井基础工程地质条件及持力层特征，以确切掌握工程地质资料，沉井钻孔应遵守GB50202-2018第7.7.1条的规定。</w:t>
      </w:r>
      <w:bookmarkEnd w:id="2307"/>
      <w:bookmarkEnd w:id="2308"/>
      <w:bookmarkEnd w:id="2309"/>
      <w:bookmarkEnd w:id="2310"/>
      <w:bookmarkEnd w:id="2311"/>
      <w:bookmarkEnd w:id="2312"/>
      <w:bookmarkEnd w:id="2313"/>
    </w:p>
    <w:p w14:paraId="2D97654A">
      <w:pPr>
        <w:snapToGrid w:val="0"/>
        <w:spacing w:line="300" w:lineRule="auto"/>
        <w:ind w:firstLine="420" w:firstLineChars="200"/>
        <w:rPr>
          <w:rFonts w:ascii="宋体" w:hAnsi="宋体" w:eastAsia="宋体"/>
          <w:szCs w:val="21"/>
        </w:rPr>
      </w:pPr>
      <w:bookmarkStart w:id="2314" w:name="_Toc455652457"/>
      <w:bookmarkStart w:id="2315" w:name="_Toc453706843"/>
      <w:bookmarkStart w:id="2316" w:name="_Toc455495073"/>
      <w:bookmarkStart w:id="2317" w:name="_Toc455648520"/>
      <w:bookmarkStart w:id="2318" w:name="_Toc455650452"/>
      <w:bookmarkStart w:id="2319" w:name="_Toc455651438"/>
      <w:bookmarkStart w:id="2320" w:name="_Toc453707325"/>
      <w:r>
        <w:rPr>
          <w:rFonts w:hint="eastAsia" w:ascii="宋体" w:hAnsi="宋体" w:eastAsia="宋体"/>
          <w:szCs w:val="21"/>
        </w:rPr>
        <w:t>(3)受沉井施工影响范围内的原有建筑物，承包人应采取安全保护措施后方能进行施工。</w:t>
      </w:r>
      <w:bookmarkEnd w:id="2314"/>
      <w:bookmarkEnd w:id="2315"/>
      <w:bookmarkEnd w:id="2316"/>
      <w:bookmarkEnd w:id="2317"/>
      <w:bookmarkEnd w:id="2318"/>
      <w:bookmarkEnd w:id="2319"/>
      <w:bookmarkEnd w:id="2320"/>
    </w:p>
    <w:p w14:paraId="3215B2BB">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9.4.2 材料</w:t>
      </w:r>
    </w:p>
    <w:p w14:paraId="3FCBCE8D">
      <w:pPr>
        <w:snapToGrid w:val="0"/>
        <w:spacing w:line="300" w:lineRule="auto"/>
        <w:ind w:firstLine="420" w:firstLineChars="200"/>
        <w:rPr>
          <w:rFonts w:ascii="宋体" w:hAnsi="宋体" w:eastAsia="宋体"/>
          <w:szCs w:val="21"/>
        </w:rPr>
      </w:pPr>
      <w:bookmarkStart w:id="2321" w:name="_Toc455495074"/>
      <w:bookmarkStart w:id="2322" w:name="_Toc455650453"/>
      <w:bookmarkStart w:id="2323" w:name="_Toc453707326"/>
      <w:bookmarkStart w:id="2324" w:name="_Toc455651439"/>
      <w:bookmarkStart w:id="2325" w:name="_Toc455648521"/>
      <w:bookmarkStart w:id="2326" w:name="_Toc455652458"/>
      <w:bookmarkStart w:id="2327" w:name="_Toc453706844"/>
      <w:r>
        <w:rPr>
          <w:rFonts w:hint="eastAsia" w:ascii="宋体" w:hAnsi="宋体" w:eastAsia="宋体"/>
          <w:szCs w:val="21"/>
        </w:rPr>
        <w:t>(1)沉井施工采用的水泥、钢筋、骨料和外加剂，应符合本技术条款第8.8节的要求。</w:t>
      </w:r>
      <w:bookmarkEnd w:id="2321"/>
      <w:bookmarkEnd w:id="2322"/>
      <w:bookmarkEnd w:id="2323"/>
      <w:bookmarkEnd w:id="2324"/>
      <w:bookmarkEnd w:id="2325"/>
      <w:bookmarkEnd w:id="2326"/>
      <w:bookmarkEnd w:id="2327"/>
    </w:p>
    <w:p w14:paraId="22AE40E0">
      <w:pPr>
        <w:snapToGrid w:val="0"/>
        <w:spacing w:line="300" w:lineRule="auto"/>
        <w:ind w:firstLine="420" w:firstLineChars="200"/>
        <w:rPr>
          <w:rFonts w:ascii="宋体" w:hAnsi="宋体" w:eastAsia="宋体"/>
          <w:szCs w:val="21"/>
        </w:rPr>
      </w:pPr>
      <w:bookmarkStart w:id="2328" w:name="_Toc455650454"/>
      <w:bookmarkStart w:id="2329" w:name="_Toc455652459"/>
      <w:bookmarkStart w:id="2330" w:name="_Toc453707327"/>
      <w:bookmarkStart w:id="2331" w:name="_Toc455648522"/>
      <w:bookmarkStart w:id="2332" w:name="_Toc453706845"/>
      <w:bookmarkStart w:id="2333" w:name="_Toc455495075"/>
      <w:bookmarkStart w:id="2334" w:name="_Toc455651440"/>
      <w:r>
        <w:rPr>
          <w:rFonts w:hint="eastAsia" w:ascii="宋体" w:hAnsi="宋体" w:eastAsia="宋体"/>
          <w:szCs w:val="21"/>
        </w:rPr>
        <w:t>(2)制作钢沉井的钢材、焊接、连接件和涂层的材料应符合本技术条款第12.2节规定。</w:t>
      </w:r>
      <w:bookmarkEnd w:id="2328"/>
      <w:bookmarkEnd w:id="2329"/>
      <w:bookmarkEnd w:id="2330"/>
      <w:bookmarkEnd w:id="2331"/>
      <w:bookmarkEnd w:id="2332"/>
      <w:bookmarkEnd w:id="2333"/>
      <w:bookmarkEnd w:id="2334"/>
    </w:p>
    <w:p w14:paraId="71B145BD">
      <w:pPr>
        <w:snapToGrid w:val="0"/>
        <w:spacing w:line="300" w:lineRule="auto"/>
        <w:ind w:firstLine="420" w:firstLineChars="200"/>
        <w:rPr>
          <w:rFonts w:ascii="宋体" w:hAnsi="宋体" w:eastAsia="宋体"/>
          <w:szCs w:val="21"/>
        </w:rPr>
      </w:pPr>
      <w:bookmarkStart w:id="2335" w:name="_Toc455648523"/>
      <w:bookmarkStart w:id="2336" w:name="_Toc455650455"/>
      <w:bookmarkStart w:id="2337" w:name="_Toc453706846"/>
      <w:bookmarkStart w:id="2338" w:name="_Toc455495076"/>
      <w:bookmarkStart w:id="2339" w:name="_Toc453707328"/>
      <w:bookmarkStart w:id="2340" w:name="_Toc455651441"/>
      <w:bookmarkStart w:id="2341" w:name="_Toc455652460"/>
      <w:r>
        <w:rPr>
          <w:rFonts w:hint="eastAsia" w:ascii="宋体" w:hAnsi="宋体" w:eastAsia="宋体"/>
          <w:szCs w:val="21"/>
        </w:rPr>
        <w:t>(3)沉井封底的水下混凝土应符合下列规定：</w:t>
      </w:r>
      <w:bookmarkEnd w:id="2335"/>
      <w:bookmarkEnd w:id="2336"/>
      <w:bookmarkEnd w:id="2337"/>
      <w:bookmarkEnd w:id="2338"/>
      <w:bookmarkEnd w:id="2339"/>
      <w:bookmarkEnd w:id="2340"/>
      <w:bookmarkEnd w:id="2341"/>
    </w:p>
    <w:p w14:paraId="5CB69B07">
      <w:pPr>
        <w:snapToGrid w:val="0"/>
        <w:spacing w:line="300" w:lineRule="auto"/>
        <w:ind w:firstLine="420" w:firstLineChars="200"/>
        <w:rPr>
          <w:rFonts w:ascii="宋体" w:hAnsi="宋体" w:eastAsia="宋体"/>
          <w:szCs w:val="21"/>
        </w:rPr>
      </w:pPr>
      <w:bookmarkStart w:id="2342" w:name="_Toc453706847"/>
      <w:bookmarkStart w:id="2343" w:name="_Toc455651442"/>
      <w:bookmarkStart w:id="2344" w:name="_Toc455495077"/>
      <w:bookmarkStart w:id="2345" w:name="_Toc455650456"/>
      <w:bookmarkStart w:id="2346" w:name="_Toc455652461"/>
      <w:bookmarkStart w:id="2347" w:name="_Toc455648524"/>
      <w:bookmarkStart w:id="2348" w:name="_Toc453707329"/>
      <w:r>
        <w:rPr>
          <w:rFonts w:hint="eastAsia" w:ascii="宋体" w:hAnsi="宋体" w:eastAsia="宋体"/>
          <w:szCs w:val="21"/>
        </w:rPr>
        <w:t>1)配合比应根据试验确定，施工配合比的混凝土试配强度应比设计值高10%~15%；</w:t>
      </w:r>
      <w:bookmarkEnd w:id="2342"/>
      <w:bookmarkEnd w:id="2343"/>
      <w:bookmarkEnd w:id="2344"/>
      <w:bookmarkEnd w:id="2345"/>
      <w:bookmarkEnd w:id="2346"/>
      <w:bookmarkEnd w:id="2347"/>
      <w:bookmarkEnd w:id="2348"/>
    </w:p>
    <w:p w14:paraId="07D70FB8">
      <w:pPr>
        <w:snapToGrid w:val="0"/>
        <w:spacing w:line="300" w:lineRule="auto"/>
        <w:ind w:firstLine="420" w:firstLineChars="200"/>
        <w:rPr>
          <w:rFonts w:ascii="宋体" w:hAnsi="宋体" w:eastAsia="宋体"/>
          <w:szCs w:val="21"/>
        </w:rPr>
      </w:pPr>
      <w:bookmarkStart w:id="2349" w:name="_Toc453706848"/>
      <w:bookmarkStart w:id="2350" w:name="_Toc455495078"/>
      <w:bookmarkStart w:id="2351" w:name="_Toc455651443"/>
      <w:bookmarkStart w:id="2352" w:name="_Toc455652462"/>
      <w:bookmarkStart w:id="2353" w:name="_Toc455648525"/>
      <w:bookmarkStart w:id="2354" w:name="_Toc455650457"/>
      <w:bookmarkStart w:id="2355" w:name="_Toc453707330"/>
      <w:r>
        <w:rPr>
          <w:rFonts w:hint="eastAsia" w:ascii="宋体" w:hAnsi="宋体" w:eastAsia="宋体"/>
          <w:szCs w:val="21"/>
        </w:rPr>
        <w:t>2)水泥用量一般为350~400kg/m3；水灰比不大于0.6；可根据需要掺用外加剂；</w:t>
      </w:r>
      <w:bookmarkEnd w:id="2349"/>
      <w:bookmarkEnd w:id="2350"/>
      <w:bookmarkEnd w:id="2351"/>
      <w:bookmarkEnd w:id="2352"/>
      <w:bookmarkEnd w:id="2353"/>
      <w:bookmarkEnd w:id="2354"/>
      <w:bookmarkEnd w:id="2355"/>
    </w:p>
    <w:p w14:paraId="57D7CAC1">
      <w:pPr>
        <w:snapToGrid w:val="0"/>
        <w:spacing w:line="300" w:lineRule="auto"/>
        <w:ind w:firstLine="420" w:firstLineChars="200"/>
        <w:rPr>
          <w:rFonts w:ascii="宋体" w:hAnsi="宋体" w:eastAsia="宋体"/>
          <w:szCs w:val="21"/>
        </w:rPr>
      </w:pPr>
      <w:bookmarkStart w:id="2356" w:name="_Toc455652463"/>
      <w:bookmarkStart w:id="2357" w:name="_Toc455648526"/>
      <w:bookmarkStart w:id="2358" w:name="_Toc455650458"/>
      <w:bookmarkStart w:id="2359" w:name="_Toc453706849"/>
      <w:bookmarkStart w:id="2360" w:name="_Toc455651444"/>
      <w:bookmarkStart w:id="2361" w:name="_Toc453707331"/>
      <w:bookmarkStart w:id="2362" w:name="_Toc455495079"/>
      <w:r>
        <w:rPr>
          <w:rFonts w:hint="eastAsia" w:ascii="宋体" w:hAnsi="宋体" w:eastAsia="宋体"/>
          <w:szCs w:val="21"/>
        </w:rPr>
        <w:t>3)粗骨料选用砾、卵石或碎石，粒径为5~40mm；细骨料采用中、细砂，砂率一般为45%~50%；在规定的浇筑期间内，坍落度应为16~22cm；在灌筑初期，为使导管下端形成混凝土堆，坍落度为14~16cm；</w:t>
      </w:r>
      <w:bookmarkEnd w:id="2356"/>
      <w:bookmarkEnd w:id="2357"/>
      <w:bookmarkEnd w:id="2358"/>
      <w:bookmarkEnd w:id="2359"/>
      <w:bookmarkEnd w:id="2360"/>
      <w:bookmarkEnd w:id="2361"/>
      <w:bookmarkEnd w:id="2362"/>
    </w:p>
    <w:p w14:paraId="4DFB5410">
      <w:pPr>
        <w:snapToGrid w:val="0"/>
        <w:spacing w:line="300" w:lineRule="auto"/>
        <w:ind w:firstLine="420" w:firstLineChars="200"/>
        <w:rPr>
          <w:rFonts w:ascii="宋体" w:hAnsi="宋体" w:eastAsia="宋体"/>
          <w:szCs w:val="21"/>
        </w:rPr>
      </w:pPr>
      <w:bookmarkStart w:id="2363" w:name="_Toc455495080"/>
      <w:bookmarkStart w:id="2364" w:name="_Toc455648527"/>
      <w:bookmarkStart w:id="2365" w:name="_Toc455652464"/>
      <w:bookmarkStart w:id="2366" w:name="_Toc455651445"/>
      <w:bookmarkStart w:id="2367" w:name="_Toc453707332"/>
      <w:bookmarkStart w:id="2368" w:name="_Toc453706850"/>
      <w:bookmarkStart w:id="2369" w:name="_Toc455650459"/>
      <w:r>
        <w:rPr>
          <w:rFonts w:hint="eastAsia" w:ascii="宋体" w:hAnsi="宋体" w:eastAsia="宋体"/>
          <w:szCs w:val="21"/>
        </w:rPr>
        <w:t>4)在规定的浇筑期间内，坍落度应为16~22cm；在灌筑初期，为使导管下端形成混凝土堆，坍落度为14~16cm。</w:t>
      </w:r>
      <w:bookmarkEnd w:id="2363"/>
      <w:bookmarkEnd w:id="2364"/>
      <w:bookmarkEnd w:id="2365"/>
      <w:bookmarkEnd w:id="2366"/>
      <w:bookmarkEnd w:id="2367"/>
      <w:bookmarkEnd w:id="2368"/>
      <w:bookmarkEnd w:id="2369"/>
    </w:p>
    <w:p w14:paraId="56FC4BB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9.4.3 沉井制作</w:t>
      </w:r>
    </w:p>
    <w:p w14:paraId="7A672FE4">
      <w:pPr>
        <w:snapToGrid w:val="0"/>
        <w:spacing w:line="300" w:lineRule="auto"/>
        <w:ind w:firstLine="420" w:firstLineChars="200"/>
        <w:rPr>
          <w:rFonts w:ascii="宋体" w:hAnsi="宋体" w:eastAsia="宋体"/>
          <w:szCs w:val="21"/>
        </w:rPr>
      </w:pPr>
      <w:bookmarkStart w:id="2370" w:name="_Toc455652465"/>
      <w:bookmarkStart w:id="2371" w:name="_Toc453706851"/>
      <w:bookmarkStart w:id="2372" w:name="_Toc455650460"/>
      <w:bookmarkStart w:id="2373" w:name="_Toc455648528"/>
      <w:bookmarkStart w:id="2374" w:name="_Toc455651446"/>
      <w:bookmarkStart w:id="2375" w:name="_Toc455495081"/>
      <w:bookmarkStart w:id="2376" w:name="_Toc453707333"/>
      <w:r>
        <w:rPr>
          <w:rFonts w:hint="eastAsia" w:ascii="宋体" w:hAnsi="宋体" w:eastAsia="宋体"/>
          <w:szCs w:val="21"/>
        </w:rPr>
        <w:t>(1)陆地沉井制作应在场地清理和井位中轴线测量定位后，并经监理人签认后进行。</w:t>
      </w:r>
      <w:bookmarkEnd w:id="2370"/>
      <w:bookmarkEnd w:id="2371"/>
      <w:bookmarkEnd w:id="2372"/>
      <w:bookmarkEnd w:id="2373"/>
      <w:bookmarkEnd w:id="2374"/>
      <w:bookmarkEnd w:id="2375"/>
      <w:bookmarkEnd w:id="2376"/>
    </w:p>
    <w:p w14:paraId="0132DD0C">
      <w:pPr>
        <w:snapToGrid w:val="0"/>
        <w:spacing w:line="300" w:lineRule="auto"/>
        <w:ind w:firstLine="420" w:firstLineChars="200"/>
        <w:rPr>
          <w:rFonts w:ascii="宋体" w:hAnsi="宋体" w:eastAsia="宋体"/>
          <w:szCs w:val="21"/>
        </w:rPr>
      </w:pPr>
      <w:bookmarkStart w:id="2377" w:name="_Toc455648529"/>
      <w:bookmarkStart w:id="2378" w:name="_Toc455650461"/>
      <w:bookmarkStart w:id="2379" w:name="_Toc455652466"/>
      <w:bookmarkStart w:id="2380" w:name="_Toc453707334"/>
      <w:bookmarkStart w:id="2381" w:name="_Toc455495082"/>
      <w:bookmarkStart w:id="2382" w:name="_Toc453706852"/>
      <w:bookmarkStart w:id="2383" w:name="_Toc455651447"/>
      <w:r>
        <w:rPr>
          <w:rFonts w:hint="eastAsia" w:ascii="宋体" w:hAnsi="宋体" w:eastAsia="宋体"/>
          <w:szCs w:val="21"/>
        </w:rPr>
        <w:t>(2)陆地沉井采用分节制作一次下沉的方法时，制作高度应不超过沉井短边或直径的长度，并不超过12m。当第一节混凝土达到设计强度70%后，方可浇筑其上一节混凝土。</w:t>
      </w:r>
      <w:bookmarkEnd w:id="2377"/>
      <w:bookmarkEnd w:id="2378"/>
      <w:bookmarkEnd w:id="2379"/>
      <w:bookmarkEnd w:id="2380"/>
      <w:bookmarkEnd w:id="2381"/>
      <w:bookmarkEnd w:id="2382"/>
      <w:bookmarkEnd w:id="2383"/>
    </w:p>
    <w:p w14:paraId="2FD03758">
      <w:pPr>
        <w:snapToGrid w:val="0"/>
        <w:spacing w:line="300" w:lineRule="auto"/>
        <w:ind w:firstLine="420" w:firstLineChars="200"/>
        <w:rPr>
          <w:rFonts w:ascii="宋体" w:hAnsi="宋体" w:eastAsia="宋体"/>
          <w:szCs w:val="21"/>
        </w:rPr>
      </w:pPr>
      <w:bookmarkStart w:id="2384" w:name="_Toc455648530"/>
      <w:bookmarkStart w:id="2385" w:name="_Toc455495083"/>
      <w:bookmarkStart w:id="2386" w:name="_Toc453707335"/>
      <w:bookmarkStart w:id="2387" w:name="_Toc455651448"/>
      <w:bookmarkStart w:id="2388" w:name="_Toc455650462"/>
      <w:bookmarkStart w:id="2389" w:name="_Toc455652467"/>
      <w:bookmarkStart w:id="2390" w:name="_Toc453706853"/>
      <w:r>
        <w:rPr>
          <w:rFonts w:hint="eastAsia" w:ascii="宋体" w:hAnsi="宋体" w:eastAsia="宋体"/>
          <w:szCs w:val="21"/>
        </w:rPr>
        <w:t>(3)浮运沉井制作的每节高度应不超过7~8m，其底节高度应小于沉井短边的0.8倍，且不超过12m。</w:t>
      </w:r>
      <w:bookmarkEnd w:id="2384"/>
      <w:bookmarkEnd w:id="2385"/>
      <w:bookmarkEnd w:id="2386"/>
      <w:bookmarkEnd w:id="2387"/>
      <w:bookmarkEnd w:id="2388"/>
      <w:bookmarkEnd w:id="2389"/>
      <w:bookmarkEnd w:id="2390"/>
    </w:p>
    <w:p w14:paraId="70257307">
      <w:pPr>
        <w:snapToGrid w:val="0"/>
        <w:spacing w:line="300" w:lineRule="auto"/>
        <w:ind w:firstLine="420" w:firstLineChars="200"/>
        <w:rPr>
          <w:rFonts w:ascii="宋体" w:hAnsi="宋体" w:eastAsia="宋体"/>
          <w:szCs w:val="21"/>
        </w:rPr>
      </w:pPr>
      <w:bookmarkStart w:id="2391" w:name="_Toc455651449"/>
      <w:bookmarkStart w:id="2392" w:name="_Toc455648531"/>
      <w:bookmarkStart w:id="2393" w:name="_Toc455495084"/>
      <w:bookmarkStart w:id="2394" w:name="_Toc453706854"/>
      <w:bookmarkStart w:id="2395" w:name="_Toc455652468"/>
      <w:bookmarkStart w:id="2396" w:name="_Toc455650463"/>
      <w:bookmarkStart w:id="2397" w:name="_Toc453707336"/>
      <w:r>
        <w:rPr>
          <w:rFonts w:hint="eastAsia" w:ascii="宋体" w:hAnsi="宋体" w:eastAsia="宋体"/>
          <w:szCs w:val="21"/>
        </w:rPr>
        <w:t>(4)承包人应对各节沉井进行水密封试验和底板水压试验，试验成果应提交监理人。</w:t>
      </w:r>
      <w:bookmarkEnd w:id="2391"/>
      <w:bookmarkEnd w:id="2392"/>
      <w:bookmarkEnd w:id="2393"/>
      <w:bookmarkEnd w:id="2394"/>
      <w:bookmarkEnd w:id="2395"/>
      <w:bookmarkEnd w:id="2396"/>
      <w:bookmarkEnd w:id="2397"/>
    </w:p>
    <w:p w14:paraId="33B30FDA">
      <w:pPr>
        <w:snapToGrid w:val="0"/>
        <w:spacing w:line="300" w:lineRule="auto"/>
        <w:ind w:firstLine="420" w:firstLineChars="200"/>
        <w:rPr>
          <w:rFonts w:ascii="宋体" w:hAnsi="宋体" w:eastAsia="宋体"/>
          <w:szCs w:val="21"/>
        </w:rPr>
      </w:pPr>
      <w:bookmarkStart w:id="2398" w:name="_Toc455648532"/>
      <w:bookmarkStart w:id="2399" w:name="_Toc455650464"/>
      <w:bookmarkStart w:id="2400" w:name="_Toc453707337"/>
      <w:bookmarkStart w:id="2401" w:name="_Toc455495085"/>
      <w:bookmarkStart w:id="2402" w:name="_Toc455651450"/>
      <w:bookmarkStart w:id="2403" w:name="_Toc455652469"/>
      <w:bookmarkStart w:id="2404" w:name="_Toc453706855"/>
      <w:r>
        <w:rPr>
          <w:rFonts w:hint="eastAsia" w:ascii="宋体" w:hAnsi="宋体" w:eastAsia="宋体"/>
          <w:szCs w:val="21"/>
        </w:rPr>
        <w:t>(5)单壁或双壁的钢制浮运沉井底节，应能自浮于水面，并装有临时底板。底节外形尺寸的加宽量，不应小于沉井总高度的1/50，且不得小于45cm。</w:t>
      </w:r>
      <w:bookmarkEnd w:id="2398"/>
      <w:bookmarkEnd w:id="2399"/>
      <w:bookmarkEnd w:id="2400"/>
      <w:bookmarkEnd w:id="2401"/>
      <w:bookmarkEnd w:id="2402"/>
      <w:bookmarkEnd w:id="2403"/>
      <w:bookmarkEnd w:id="2404"/>
    </w:p>
    <w:p w14:paraId="56B63760">
      <w:pPr>
        <w:snapToGrid w:val="0"/>
        <w:spacing w:line="300" w:lineRule="auto"/>
        <w:ind w:firstLine="420" w:firstLineChars="200"/>
        <w:rPr>
          <w:rFonts w:ascii="宋体" w:hAnsi="宋体" w:eastAsia="宋体"/>
          <w:szCs w:val="21"/>
        </w:rPr>
      </w:pPr>
      <w:bookmarkStart w:id="2405" w:name="_Toc453706856"/>
      <w:bookmarkStart w:id="2406" w:name="_Toc453707338"/>
      <w:bookmarkStart w:id="2407" w:name="_Toc455651451"/>
      <w:bookmarkStart w:id="2408" w:name="_Toc455652470"/>
      <w:bookmarkStart w:id="2409" w:name="_Toc455650465"/>
      <w:bookmarkStart w:id="2410" w:name="_Toc455648533"/>
      <w:bookmarkStart w:id="2411" w:name="_Toc455495086"/>
      <w:r>
        <w:rPr>
          <w:rFonts w:hint="eastAsia" w:ascii="宋体" w:hAnsi="宋体" w:eastAsia="宋体"/>
          <w:szCs w:val="21"/>
        </w:rPr>
        <w:t>(6)钢制浮运沉井应在加工厂分件加工并编号。单元钢构件加工完毕后，应进行试拼装，并经监理人对连接和焊接质量检验合格后，再分件运至现场拼装成型。</w:t>
      </w:r>
      <w:bookmarkEnd w:id="2405"/>
      <w:bookmarkEnd w:id="2406"/>
      <w:bookmarkEnd w:id="2407"/>
      <w:bookmarkEnd w:id="2408"/>
      <w:bookmarkEnd w:id="2409"/>
      <w:bookmarkEnd w:id="2410"/>
      <w:bookmarkEnd w:id="2411"/>
    </w:p>
    <w:p w14:paraId="260B08C1">
      <w:pPr>
        <w:snapToGrid w:val="0"/>
        <w:spacing w:line="300" w:lineRule="auto"/>
        <w:ind w:firstLine="420" w:firstLineChars="200"/>
        <w:rPr>
          <w:rFonts w:ascii="宋体" w:hAnsi="宋体" w:eastAsia="宋体"/>
          <w:szCs w:val="21"/>
        </w:rPr>
      </w:pPr>
      <w:bookmarkStart w:id="2412" w:name="_Toc453706857"/>
      <w:bookmarkStart w:id="2413" w:name="_Toc455652471"/>
      <w:bookmarkStart w:id="2414" w:name="_Toc455651452"/>
      <w:bookmarkStart w:id="2415" w:name="_Toc455495087"/>
      <w:bookmarkStart w:id="2416" w:name="_Toc453707339"/>
      <w:bookmarkStart w:id="2417" w:name="_Toc455648534"/>
      <w:bookmarkStart w:id="2418" w:name="_Toc455650466"/>
      <w:r>
        <w:rPr>
          <w:rFonts w:hint="eastAsia" w:ascii="宋体" w:hAnsi="宋体" w:eastAsia="宋体"/>
          <w:szCs w:val="21"/>
        </w:rPr>
        <w:t>(7)采用带临时底板的浮运沉井制作，应对封底与底板之间接触缝部位进行凿毛处理。对有抗渗要求的陆地沉井和沉井体上的穿墙管件及固定模板的对穿螺栓孔等，均应采取抗渗漏措施，底板应易于拆除。</w:t>
      </w:r>
      <w:bookmarkEnd w:id="2412"/>
      <w:bookmarkEnd w:id="2413"/>
      <w:bookmarkEnd w:id="2414"/>
      <w:bookmarkEnd w:id="2415"/>
      <w:bookmarkEnd w:id="2416"/>
      <w:bookmarkEnd w:id="2417"/>
      <w:bookmarkEnd w:id="2418"/>
    </w:p>
    <w:p w14:paraId="355629D6">
      <w:pPr>
        <w:snapToGrid w:val="0"/>
        <w:spacing w:line="300" w:lineRule="auto"/>
        <w:ind w:firstLine="420" w:firstLineChars="200"/>
        <w:rPr>
          <w:rFonts w:ascii="宋体" w:hAnsi="宋体" w:eastAsia="宋体"/>
          <w:szCs w:val="21"/>
        </w:rPr>
      </w:pPr>
      <w:bookmarkStart w:id="2419" w:name="_Toc455650467"/>
      <w:bookmarkStart w:id="2420" w:name="_Toc453706858"/>
      <w:bookmarkStart w:id="2421" w:name="_Toc453707340"/>
      <w:bookmarkStart w:id="2422" w:name="_Toc455651453"/>
      <w:bookmarkStart w:id="2423" w:name="_Toc455495088"/>
      <w:bookmarkStart w:id="2424" w:name="_Toc455648535"/>
      <w:bookmarkStart w:id="2425" w:name="_Toc455652472"/>
      <w:r>
        <w:rPr>
          <w:rFonts w:hint="eastAsia" w:ascii="宋体" w:hAnsi="宋体" w:eastAsia="宋体"/>
          <w:szCs w:val="21"/>
        </w:rPr>
        <w:t>(8)冬季制作沉井，底节混凝土未达到规定的设计强度，其余各节未达到70%设计强度时，均应采取防冻保护措施。</w:t>
      </w:r>
      <w:bookmarkEnd w:id="2419"/>
      <w:bookmarkEnd w:id="2420"/>
      <w:bookmarkEnd w:id="2421"/>
      <w:bookmarkEnd w:id="2422"/>
      <w:bookmarkEnd w:id="2423"/>
      <w:bookmarkEnd w:id="2424"/>
      <w:bookmarkEnd w:id="2425"/>
    </w:p>
    <w:p w14:paraId="527D06C2">
      <w:pPr>
        <w:snapToGrid w:val="0"/>
        <w:spacing w:line="300" w:lineRule="auto"/>
        <w:ind w:firstLine="420" w:firstLineChars="200"/>
        <w:rPr>
          <w:rFonts w:ascii="宋体" w:hAnsi="宋体" w:eastAsia="宋体"/>
          <w:szCs w:val="21"/>
        </w:rPr>
      </w:pPr>
      <w:bookmarkStart w:id="2426" w:name="_Toc455652473"/>
      <w:bookmarkStart w:id="2427" w:name="_Toc455650468"/>
      <w:bookmarkStart w:id="2428" w:name="_Toc453707341"/>
      <w:bookmarkStart w:id="2429" w:name="_Toc455495089"/>
      <w:bookmarkStart w:id="2430" w:name="_Toc453706859"/>
      <w:bookmarkStart w:id="2431" w:name="_Toc455651454"/>
      <w:bookmarkStart w:id="2432" w:name="_Toc455648536"/>
      <w:r>
        <w:rPr>
          <w:rFonts w:hint="eastAsia" w:ascii="宋体" w:hAnsi="宋体" w:eastAsia="宋体"/>
          <w:szCs w:val="21"/>
        </w:rPr>
        <w:t>(9)各节沉井的竖向中心线应相互重合或平行，钢筋混凝土沉井制作的允许偏差应符合下列规定：</w:t>
      </w:r>
      <w:bookmarkEnd w:id="2426"/>
      <w:bookmarkEnd w:id="2427"/>
      <w:bookmarkEnd w:id="2428"/>
      <w:bookmarkEnd w:id="2429"/>
      <w:bookmarkEnd w:id="2430"/>
      <w:bookmarkEnd w:id="2431"/>
      <w:bookmarkEnd w:id="2432"/>
    </w:p>
    <w:p w14:paraId="57341B82">
      <w:pPr>
        <w:snapToGrid w:val="0"/>
        <w:spacing w:line="300" w:lineRule="auto"/>
        <w:ind w:firstLine="420" w:firstLineChars="200"/>
        <w:rPr>
          <w:rFonts w:ascii="宋体" w:hAnsi="宋体" w:eastAsia="宋体"/>
          <w:szCs w:val="21"/>
        </w:rPr>
      </w:pPr>
      <w:bookmarkStart w:id="2433" w:name="_Toc455652474"/>
      <w:bookmarkStart w:id="2434" w:name="_Toc455495090"/>
      <w:bookmarkStart w:id="2435" w:name="_Toc455650469"/>
      <w:bookmarkStart w:id="2436" w:name="_Toc455648537"/>
      <w:bookmarkStart w:id="2437" w:name="_Toc453706860"/>
      <w:bookmarkStart w:id="2438" w:name="_Toc453707342"/>
      <w:bookmarkStart w:id="2439" w:name="_Toc455651455"/>
      <w:r>
        <w:rPr>
          <w:rFonts w:hint="eastAsia" w:ascii="宋体" w:hAnsi="宋体" w:eastAsia="宋体"/>
          <w:szCs w:val="21"/>
        </w:rPr>
        <w:t>1)沉井的长度与宽度的允许偏差为±0.5%，且不大于10cm；曲线部分半径的允许偏差为±0.5%，且不大于5cm；两对角线差异为1%对角线长。</w:t>
      </w:r>
      <w:bookmarkEnd w:id="2433"/>
      <w:bookmarkEnd w:id="2434"/>
      <w:bookmarkEnd w:id="2435"/>
      <w:bookmarkEnd w:id="2436"/>
      <w:bookmarkEnd w:id="2437"/>
      <w:bookmarkEnd w:id="2438"/>
      <w:bookmarkEnd w:id="2439"/>
    </w:p>
    <w:p w14:paraId="245570D1">
      <w:pPr>
        <w:snapToGrid w:val="0"/>
        <w:spacing w:line="300" w:lineRule="auto"/>
        <w:ind w:firstLine="420" w:firstLineChars="200"/>
        <w:rPr>
          <w:rFonts w:ascii="宋体" w:hAnsi="宋体" w:eastAsia="宋体"/>
          <w:szCs w:val="21"/>
        </w:rPr>
      </w:pPr>
      <w:bookmarkStart w:id="2440" w:name="_Toc455650470"/>
      <w:bookmarkStart w:id="2441" w:name="_Toc455648538"/>
      <w:bookmarkStart w:id="2442" w:name="_Toc453706861"/>
      <w:bookmarkStart w:id="2443" w:name="_Toc455652475"/>
      <w:bookmarkStart w:id="2444" w:name="_Toc455651456"/>
      <w:bookmarkStart w:id="2445" w:name="_Toc453707343"/>
      <w:bookmarkStart w:id="2446" w:name="_Toc455495091"/>
      <w:r>
        <w:rPr>
          <w:rFonts w:hint="eastAsia" w:ascii="宋体" w:hAnsi="宋体" w:eastAsia="宋体"/>
          <w:szCs w:val="21"/>
        </w:rPr>
        <w:t>2)沉井壁厚偏差为±1.5cm。</w:t>
      </w:r>
      <w:bookmarkEnd w:id="2440"/>
      <w:bookmarkEnd w:id="2441"/>
      <w:bookmarkEnd w:id="2442"/>
      <w:bookmarkEnd w:id="2443"/>
      <w:bookmarkEnd w:id="2444"/>
      <w:bookmarkEnd w:id="2445"/>
      <w:bookmarkEnd w:id="2446"/>
    </w:p>
    <w:p w14:paraId="3D65BF29">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9.4.4 沉井运输</w:t>
      </w:r>
    </w:p>
    <w:p w14:paraId="420B8A88">
      <w:pPr>
        <w:snapToGrid w:val="0"/>
        <w:spacing w:line="300" w:lineRule="auto"/>
        <w:ind w:firstLine="420" w:firstLineChars="200"/>
        <w:rPr>
          <w:rFonts w:ascii="宋体" w:hAnsi="宋体" w:eastAsia="宋体"/>
          <w:szCs w:val="21"/>
        </w:rPr>
      </w:pPr>
      <w:bookmarkStart w:id="2447" w:name="_Toc455495092"/>
      <w:bookmarkStart w:id="2448" w:name="_Toc455651457"/>
      <w:bookmarkStart w:id="2449" w:name="_Toc455650471"/>
      <w:bookmarkStart w:id="2450" w:name="_Toc455648539"/>
      <w:bookmarkStart w:id="2451" w:name="_Toc453707344"/>
      <w:bookmarkStart w:id="2452" w:name="_Toc455652476"/>
      <w:bookmarkStart w:id="2453" w:name="_Toc453706862"/>
      <w:r>
        <w:rPr>
          <w:rFonts w:hint="eastAsia" w:ascii="宋体" w:hAnsi="宋体" w:eastAsia="宋体"/>
          <w:szCs w:val="21"/>
        </w:rPr>
        <w:t>(1)采用异地制作浮运沉井滑道下水时，其滑道场地地基允许承载力应通过现场试验选择最优的滑道坡度和牵引力，确保沉井入水和浮运的稳定。</w:t>
      </w:r>
      <w:bookmarkEnd w:id="2447"/>
      <w:bookmarkEnd w:id="2448"/>
      <w:bookmarkEnd w:id="2449"/>
      <w:bookmarkEnd w:id="2450"/>
      <w:bookmarkEnd w:id="2451"/>
      <w:bookmarkEnd w:id="2452"/>
      <w:bookmarkEnd w:id="2453"/>
    </w:p>
    <w:p w14:paraId="3F68813C">
      <w:pPr>
        <w:snapToGrid w:val="0"/>
        <w:spacing w:line="300" w:lineRule="auto"/>
        <w:ind w:firstLine="420" w:firstLineChars="200"/>
        <w:rPr>
          <w:rFonts w:ascii="宋体" w:hAnsi="宋体" w:eastAsia="宋体"/>
          <w:szCs w:val="21"/>
        </w:rPr>
      </w:pPr>
      <w:bookmarkStart w:id="2454" w:name="_Toc453706863"/>
      <w:bookmarkStart w:id="2455" w:name="_Toc455650472"/>
      <w:bookmarkStart w:id="2456" w:name="_Toc453707345"/>
      <w:bookmarkStart w:id="2457" w:name="_Toc455652477"/>
      <w:bookmarkStart w:id="2458" w:name="_Toc455651458"/>
      <w:bookmarkStart w:id="2459" w:name="_Toc455648540"/>
      <w:bookmarkStart w:id="2460" w:name="_Toc455495093"/>
      <w:r>
        <w:rPr>
          <w:rFonts w:hint="eastAsia" w:ascii="宋体" w:hAnsi="宋体" w:eastAsia="宋体"/>
          <w:szCs w:val="21"/>
        </w:rPr>
        <w:t>(2)采用浮船或支架平台制作浮运沉井时，浮船和支架平台工作面允许承载力应大于施工图纸规定允许承载力的两倍。</w:t>
      </w:r>
      <w:bookmarkEnd w:id="2454"/>
      <w:bookmarkEnd w:id="2455"/>
      <w:bookmarkEnd w:id="2456"/>
      <w:bookmarkEnd w:id="2457"/>
      <w:bookmarkEnd w:id="2458"/>
      <w:bookmarkEnd w:id="2459"/>
      <w:bookmarkEnd w:id="2460"/>
    </w:p>
    <w:p w14:paraId="398B1AA4">
      <w:pPr>
        <w:snapToGrid w:val="0"/>
        <w:spacing w:line="300" w:lineRule="auto"/>
        <w:ind w:firstLine="420" w:firstLineChars="200"/>
        <w:rPr>
          <w:rFonts w:ascii="宋体" w:hAnsi="宋体" w:eastAsia="宋体"/>
          <w:szCs w:val="21"/>
        </w:rPr>
      </w:pPr>
      <w:bookmarkStart w:id="2461" w:name="_Toc455650473"/>
      <w:bookmarkStart w:id="2462" w:name="_Toc453707346"/>
      <w:bookmarkStart w:id="2463" w:name="_Toc455648541"/>
      <w:bookmarkStart w:id="2464" w:name="_Toc455652478"/>
      <w:bookmarkStart w:id="2465" w:name="_Toc455651459"/>
      <w:bookmarkStart w:id="2466" w:name="_Toc455495094"/>
      <w:bookmarkStart w:id="2467" w:name="_Toc453706864"/>
      <w:r>
        <w:rPr>
          <w:rFonts w:hint="eastAsia" w:ascii="宋体" w:hAnsi="宋体" w:eastAsia="宋体"/>
          <w:szCs w:val="21"/>
        </w:rPr>
        <w:t>(3)浮运沉井施工的航运、拖驳、导向、锚定、排水、灌水、起吊及定位等设备，均应在开工前进行试运行，试运行记录应提交监理人。</w:t>
      </w:r>
      <w:bookmarkEnd w:id="2461"/>
      <w:bookmarkEnd w:id="2462"/>
      <w:bookmarkEnd w:id="2463"/>
      <w:bookmarkEnd w:id="2464"/>
      <w:bookmarkEnd w:id="2465"/>
      <w:bookmarkEnd w:id="2466"/>
      <w:bookmarkEnd w:id="2467"/>
    </w:p>
    <w:p w14:paraId="3CEBE811">
      <w:pPr>
        <w:snapToGrid w:val="0"/>
        <w:spacing w:line="300" w:lineRule="auto"/>
        <w:ind w:firstLine="420" w:firstLineChars="200"/>
        <w:rPr>
          <w:rFonts w:ascii="宋体" w:hAnsi="宋体" w:eastAsia="宋体"/>
          <w:szCs w:val="21"/>
        </w:rPr>
      </w:pPr>
      <w:bookmarkStart w:id="2468" w:name="_Toc455648542"/>
      <w:bookmarkStart w:id="2469" w:name="_Toc453706865"/>
      <w:bookmarkStart w:id="2470" w:name="_Toc453707347"/>
      <w:bookmarkStart w:id="2471" w:name="_Toc455650474"/>
      <w:bookmarkStart w:id="2472" w:name="_Toc455651460"/>
      <w:bookmarkStart w:id="2473" w:name="_Toc455652479"/>
      <w:bookmarkStart w:id="2474" w:name="_Toc455495095"/>
      <w:r>
        <w:rPr>
          <w:rFonts w:hint="eastAsia" w:ascii="宋体" w:hAnsi="宋体" w:eastAsia="宋体"/>
          <w:szCs w:val="21"/>
        </w:rPr>
        <w:t>(4)带临时底板的混凝土浮运沉井，应达到施工图纸规定的强度，并经监理人批准后方可下水。</w:t>
      </w:r>
      <w:bookmarkEnd w:id="2468"/>
      <w:bookmarkEnd w:id="2469"/>
      <w:bookmarkEnd w:id="2470"/>
      <w:bookmarkEnd w:id="2471"/>
      <w:bookmarkEnd w:id="2472"/>
      <w:bookmarkEnd w:id="2473"/>
      <w:bookmarkEnd w:id="2474"/>
    </w:p>
    <w:p w14:paraId="2E7AED9E">
      <w:pPr>
        <w:snapToGrid w:val="0"/>
        <w:spacing w:line="300" w:lineRule="auto"/>
        <w:ind w:firstLine="420" w:firstLineChars="200"/>
        <w:rPr>
          <w:rFonts w:ascii="宋体" w:hAnsi="宋体" w:eastAsia="宋体"/>
          <w:szCs w:val="21"/>
        </w:rPr>
      </w:pPr>
      <w:bookmarkStart w:id="2475" w:name="_Toc455650475"/>
      <w:bookmarkStart w:id="2476" w:name="_Toc455651461"/>
      <w:bookmarkStart w:id="2477" w:name="_Toc455648543"/>
      <w:bookmarkStart w:id="2478" w:name="_Toc453707348"/>
      <w:bookmarkStart w:id="2479" w:name="_Toc455495096"/>
      <w:bookmarkStart w:id="2480" w:name="_Toc453706866"/>
      <w:bookmarkStart w:id="2481" w:name="_Toc455652480"/>
      <w:r>
        <w:rPr>
          <w:rFonts w:hint="eastAsia" w:ascii="宋体" w:hAnsi="宋体" w:eastAsia="宋体"/>
          <w:szCs w:val="21"/>
        </w:rPr>
        <w:t>(5)沉井浮运前应探明工作水域的水下地形、障碍物、有效水深和水流速度，选定最优浮运路线。</w:t>
      </w:r>
      <w:bookmarkEnd w:id="2475"/>
      <w:bookmarkEnd w:id="2476"/>
      <w:bookmarkEnd w:id="2477"/>
      <w:bookmarkEnd w:id="2478"/>
      <w:bookmarkEnd w:id="2479"/>
      <w:bookmarkEnd w:id="2480"/>
      <w:bookmarkEnd w:id="2481"/>
    </w:p>
    <w:p w14:paraId="2F4DF456">
      <w:pPr>
        <w:snapToGrid w:val="0"/>
        <w:spacing w:line="300" w:lineRule="auto"/>
        <w:ind w:firstLine="420" w:firstLineChars="200"/>
        <w:rPr>
          <w:rFonts w:ascii="宋体" w:hAnsi="宋体" w:eastAsia="宋体"/>
          <w:szCs w:val="21"/>
        </w:rPr>
      </w:pPr>
      <w:bookmarkStart w:id="2482" w:name="_Toc453706867"/>
      <w:bookmarkStart w:id="2483" w:name="_Toc453707349"/>
      <w:bookmarkStart w:id="2484" w:name="_Toc455648544"/>
      <w:bookmarkStart w:id="2485" w:name="_Toc455651462"/>
      <w:bookmarkStart w:id="2486" w:name="_Toc455495097"/>
      <w:bookmarkStart w:id="2487" w:name="_Toc455652481"/>
      <w:bookmarkStart w:id="2488" w:name="_Toc455650476"/>
      <w:r>
        <w:rPr>
          <w:rFonts w:hint="eastAsia" w:ascii="宋体" w:hAnsi="宋体" w:eastAsia="宋体"/>
          <w:szCs w:val="21"/>
        </w:rPr>
        <w:t>(6)浮运沉井的墙顶应设有防水围墙，墙顶应高出水面1.0m以上。</w:t>
      </w:r>
      <w:bookmarkEnd w:id="2482"/>
      <w:bookmarkEnd w:id="2483"/>
      <w:bookmarkEnd w:id="2484"/>
      <w:bookmarkEnd w:id="2485"/>
      <w:bookmarkEnd w:id="2486"/>
      <w:bookmarkEnd w:id="2487"/>
      <w:bookmarkEnd w:id="2488"/>
    </w:p>
    <w:p w14:paraId="59B06031">
      <w:pPr>
        <w:snapToGrid w:val="0"/>
        <w:spacing w:line="300" w:lineRule="auto"/>
        <w:ind w:firstLine="420" w:firstLineChars="200"/>
        <w:rPr>
          <w:rFonts w:ascii="宋体" w:hAnsi="宋体" w:eastAsia="宋体"/>
          <w:szCs w:val="21"/>
        </w:rPr>
      </w:pPr>
      <w:bookmarkStart w:id="2489" w:name="_Toc455650477"/>
      <w:bookmarkStart w:id="2490" w:name="_Toc453707350"/>
      <w:bookmarkStart w:id="2491" w:name="_Toc453706868"/>
      <w:bookmarkStart w:id="2492" w:name="_Toc455495098"/>
      <w:bookmarkStart w:id="2493" w:name="_Toc455652482"/>
      <w:bookmarkStart w:id="2494" w:name="_Toc455651463"/>
      <w:bookmarkStart w:id="2495" w:name="_Toc455648545"/>
      <w:r>
        <w:rPr>
          <w:rFonts w:hint="eastAsia" w:ascii="宋体" w:hAnsi="宋体" w:eastAsia="宋体"/>
          <w:szCs w:val="21"/>
        </w:rPr>
        <w:t>(7)浮运沉井的临时底板应易于拆除，并配置浮运及定位所需的排水或灌水设备，以保证安全下沉。</w:t>
      </w:r>
      <w:bookmarkEnd w:id="2489"/>
      <w:bookmarkEnd w:id="2490"/>
      <w:bookmarkEnd w:id="2491"/>
      <w:bookmarkEnd w:id="2492"/>
      <w:bookmarkEnd w:id="2493"/>
      <w:bookmarkEnd w:id="2494"/>
      <w:bookmarkEnd w:id="2495"/>
    </w:p>
    <w:p w14:paraId="318E5A9D">
      <w:pPr>
        <w:snapToGrid w:val="0"/>
        <w:spacing w:line="300" w:lineRule="auto"/>
        <w:ind w:firstLine="420" w:firstLineChars="200"/>
        <w:rPr>
          <w:rFonts w:ascii="宋体" w:hAnsi="宋体" w:eastAsia="宋体"/>
          <w:szCs w:val="21"/>
        </w:rPr>
      </w:pPr>
      <w:bookmarkStart w:id="2496" w:name="_Toc455651464"/>
      <w:bookmarkStart w:id="2497" w:name="_Toc455650478"/>
      <w:bookmarkStart w:id="2498" w:name="_Toc453706869"/>
      <w:bookmarkStart w:id="2499" w:name="_Toc455648546"/>
      <w:bookmarkStart w:id="2500" w:name="_Toc455652483"/>
      <w:bookmarkStart w:id="2501" w:name="_Toc455495099"/>
      <w:bookmarkStart w:id="2502" w:name="_Toc453707351"/>
      <w:r>
        <w:rPr>
          <w:rFonts w:hint="eastAsia" w:ascii="宋体" w:hAnsi="宋体" w:eastAsia="宋体"/>
          <w:szCs w:val="21"/>
        </w:rPr>
        <w:t>(8)浮运沉井应在白天无风或小风时进行，在深水区或流速大于1.5m/s时，沉井两侧应配置导向船。</w:t>
      </w:r>
      <w:bookmarkEnd w:id="2496"/>
      <w:bookmarkEnd w:id="2497"/>
      <w:bookmarkEnd w:id="2498"/>
      <w:bookmarkEnd w:id="2499"/>
      <w:bookmarkEnd w:id="2500"/>
      <w:bookmarkEnd w:id="2501"/>
      <w:bookmarkEnd w:id="2502"/>
    </w:p>
    <w:p w14:paraId="63FD2DBF">
      <w:pPr>
        <w:snapToGrid w:val="0"/>
        <w:spacing w:line="300" w:lineRule="auto"/>
        <w:ind w:firstLine="420" w:firstLineChars="200"/>
        <w:rPr>
          <w:rFonts w:ascii="宋体" w:hAnsi="宋体" w:eastAsia="宋体"/>
          <w:szCs w:val="21"/>
        </w:rPr>
      </w:pPr>
      <w:bookmarkStart w:id="2503" w:name="_Toc455652484"/>
      <w:bookmarkStart w:id="2504" w:name="_Toc453707352"/>
      <w:bookmarkStart w:id="2505" w:name="_Toc453706870"/>
      <w:bookmarkStart w:id="2506" w:name="_Toc455651465"/>
      <w:bookmarkStart w:id="2507" w:name="_Toc455648547"/>
      <w:bookmarkStart w:id="2508" w:name="_Toc455495100"/>
      <w:bookmarkStart w:id="2509" w:name="_Toc455650479"/>
      <w:r>
        <w:rPr>
          <w:rFonts w:hint="eastAsia" w:ascii="宋体" w:hAnsi="宋体" w:eastAsia="宋体"/>
          <w:szCs w:val="21"/>
        </w:rPr>
        <w:t>(9)沉井浮运应采用多方向的缆绳牵引和锚锭措施以控制浮运和定位的稳定。</w:t>
      </w:r>
      <w:bookmarkEnd w:id="2503"/>
      <w:bookmarkEnd w:id="2504"/>
      <w:bookmarkEnd w:id="2505"/>
      <w:bookmarkEnd w:id="2506"/>
      <w:bookmarkEnd w:id="2507"/>
      <w:bookmarkEnd w:id="2508"/>
      <w:bookmarkEnd w:id="2509"/>
    </w:p>
    <w:p w14:paraId="7876CFE4">
      <w:pPr>
        <w:snapToGrid w:val="0"/>
        <w:spacing w:line="300" w:lineRule="auto"/>
        <w:ind w:firstLine="420" w:firstLineChars="200"/>
        <w:rPr>
          <w:rFonts w:ascii="宋体" w:hAnsi="宋体" w:eastAsia="宋体"/>
          <w:szCs w:val="21"/>
        </w:rPr>
      </w:pPr>
      <w:bookmarkStart w:id="2510" w:name="_Toc455495101"/>
      <w:bookmarkStart w:id="2511" w:name="_Toc455651466"/>
      <w:bookmarkStart w:id="2512" w:name="_Toc455650480"/>
      <w:bookmarkStart w:id="2513" w:name="_Toc453707353"/>
      <w:bookmarkStart w:id="2514" w:name="_Toc455652485"/>
      <w:bookmarkStart w:id="2515" w:name="_Toc453706871"/>
      <w:bookmarkStart w:id="2516" w:name="_Toc455648548"/>
      <w:r>
        <w:rPr>
          <w:rFonts w:hint="eastAsia" w:ascii="宋体" w:hAnsi="宋体" w:eastAsia="宋体"/>
          <w:szCs w:val="21"/>
        </w:rPr>
        <w:t>(10)钢制沉井运输时，应按施工图纸的规定设置临时支撑以防变形。</w:t>
      </w:r>
      <w:bookmarkEnd w:id="2510"/>
      <w:bookmarkEnd w:id="2511"/>
      <w:bookmarkEnd w:id="2512"/>
      <w:bookmarkEnd w:id="2513"/>
      <w:bookmarkEnd w:id="2514"/>
      <w:bookmarkEnd w:id="2515"/>
      <w:bookmarkEnd w:id="2516"/>
    </w:p>
    <w:p w14:paraId="46A884A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9.4.5 沉井的沉放</w:t>
      </w:r>
    </w:p>
    <w:p w14:paraId="374094E0">
      <w:pPr>
        <w:snapToGrid w:val="0"/>
        <w:spacing w:line="300" w:lineRule="auto"/>
        <w:ind w:firstLine="420" w:firstLineChars="200"/>
        <w:rPr>
          <w:rFonts w:ascii="宋体" w:hAnsi="宋体" w:eastAsia="宋体"/>
          <w:szCs w:val="21"/>
        </w:rPr>
      </w:pPr>
      <w:bookmarkStart w:id="2517" w:name="_Toc453707354"/>
      <w:bookmarkStart w:id="2518" w:name="_Toc453706872"/>
      <w:bookmarkStart w:id="2519" w:name="_Toc455648549"/>
      <w:bookmarkStart w:id="2520" w:name="_Toc455495102"/>
      <w:bookmarkStart w:id="2521" w:name="_Toc455652486"/>
      <w:bookmarkStart w:id="2522" w:name="_Toc455651467"/>
      <w:bookmarkStart w:id="2523" w:name="_Toc455650481"/>
      <w:r>
        <w:rPr>
          <w:rFonts w:hint="eastAsia" w:ascii="宋体" w:hAnsi="宋体" w:eastAsia="宋体"/>
          <w:szCs w:val="21"/>
        </w:rPr>
        <w:t>(1)承包人应根据地基土的物理力学特性，进行分阶段沉井下沉系数的验算。</w:t>
      </w:r>
      <w:bookmarkEnd w:id="2517"/>
      <w:bookmarkEnd w:id="2518"/>
      <w:bookmarkEnd w:id="2519"/>
      <w:bookmarkEnd w:id="2520"/>
      <w:bookmarkEnd w:id="2521"/>
      <w:bookmarkEnd w:id="2522"/>
      <w:bookmarkEnd w:id="2523"/>
    </w:p>
    <w:p w14:paraId="36E33EA5">
      <w:pPr>
        <w:snapToGrid w:val="0"/>
        <w:spacing w:line="300" w:lineRule="auto"/>
        <w:ind w:firstLine="420" w:firstLineChars="200"/>
        <w:rPr>
          <w:rFonts w:ascii="宋体" w:hAnsi="宋体" w:eastAsia="宋体"/>
          <w:szCs w:val="21"/>
        </w:rPr>
      </w:pPr>
      <w:bookmarkStart w:id="2524" w:name="_Toc455651468"/>
      <w:bookmarkStart w:id="2525" w:name="_Toc455650482"/>
      <w:bookmarkStart w:id="2526" w:name="_Toc455652487"/>
      <w:bookmarkStart w:id="2527" w:name="_Toc453706873"/>
      <w:bookmarkStart w:id="2528" w:name="_Toc453707355"/>
      <w:bookmarkStart w:id="2529" w:name="_Toc455648550"/>
      <w:bookmarkStart w:id="2530" w:name="_Toc455495103"/>
      <w:r>
        <w:rPr>
          <w:rFonts w:hint="eastAsia" w:ascii="宋体" w:hAnsi="宋体" w:eastAsia="宋体"/>
          <w:szCs w:val="21"/>
        </w:rPr>
        <w:t>(2)承包人应根据沉井类型(陆地沉井或浮运沉井)、工程规模及挖土方法，选用挖土机械设备(含吸泥机、抓斗等)，其机械性能应经现场试运行，其试运行成果应提交监理人。</w:t>
      </w:r>
      <w:bookmarkEnd w:id="2524"/>
      <w:bookmarkEnd w:id="2525"/>
      <w:bookmarkEnd w:id="2526"/>
      <w:bookmarkEnd w:id="2527"/>
      <w:bookmarkEnd w:id="2528"/>
      <w:bookmarkEnd w:id="2529"/>
      <w:bookmarkEnd w:id="2530"/>
    </w:p>
    <w:p w14:paraId="3578562C">
      <w:pPr>
        <w:snapToGrid w:val="0"/>
        <w:spacing w:line="300" w:lineRule="auto"/>
        <w:ind w:firstLine="420" w:firstLineChars="200"/>
        <w:rPr>
          <w:rFonts w:ascii="宋体" w:hAnsi="宋体" w:eastAsia="宋体"/>
          <w:szCs w:val="21"/>
        </w:rPr>
      </w:pPr>
      <w:bookmarkStart w:id="2531" w:name="_Toc455651469"/>
      <w:bookmarkStart w:id="2532" w:name="_Toc453706874"/>
      <w:bookmarkStart w:id="2533" w:name="_Toc455652488"/>
      <w:bookmarkStart w:id="2534" w:name="_Toc455650483"/>
      <w:bookmarkStart w:id="2535" w:name="_Toc455648551"/>
      <w:bookmarkStart w:id="2536" w:name="_Toc455495104"/>
      <w:bookmarkStart w:id="2537" w:name="_Toc453707356"/>
      <w:r>
        <w:rPr>
          <w:rFonts w:hint="eastAsia" w:ascii="宋体" w:hAnsi="宋体" w:eastAsia="宋体"/>
          <w:szCs w:val="21"/>
        </w:rPr>
        <w:t>(3)陆地沉井场地应预先清理加固处理，并对重型机械施工可能引起的沉陷采取相应的加固处理措施。</w:t>
      </w:r>
      <w:bookmarkEnd w:id="2531"/>
      <w:bookmarkEnd w:id="2532"/>
      <w:bookmarkEnd w:id="2533"/>
      <w:bookmarkEnd w:id="2534"/>
      <w:bookmarkEnd w:id="2535"/>
      <w:bookmarkEnd w:id="2536"/>
      <w:bookmarkEnd w:id="2537"/>
    </w:p>
    <w:p w14:paraId="18C37D9B">
      <w:pPr>
        <w:snapToGrid w:val="0"/>
        <w:spacing w:line="300" w:lineRule="auto"/>
        <w:ind w:firstLine="420" w:firstLineChars="200"/>
        <w:rPr>
          <w:rFonts w:ascii="宋体" w:hAnsi="宋体" w:eastAsia="宋体"/>
          <w:szCs w:val="21"/>
        </w:rPr>
      </w:pPr>
      <w:bookmarkStart w:id="2538" w:name="_Toc455648552"/>
      <w:bookmarkStart w:id="2539" w:name="_Toc455495105"/>
      <w:bookmarkStart w:id="2540" w:name="_Toc455650484"/>
      <w:bookmarkStart w:id="2541" w:name="_Toc453706875"/>
      <w:bookmarkStart w:id="2542" w:name="_Toc453707357"/>
      <w:bookmarkStart w:id="2543" w:name="_Toc455651470"/>
      <w:bookmarkStart w:id="2544" w:name="_Toc455652489"/>
      <w:r>
        <w:rPr>
          <w:rFonts w:hint="eastAsia" w:ascii="宋体" w:hAnsi="宋体" w:eastAsia="宋体"/>
          <w:szCs w:val="21"/>
        </w:rPr>
        <w:t>(4)陆地沉井或水中筑岛沉井的施工场地地面高程应高出施工期内周围水域最高水位(加浪高)0.5m以上；在基坑中制作时，基坑底面应比从制作至开始下沉期间内的最高地下水位高0.5m以上，并应防止积水。</w:t>
      </w:r>
      <w:bookmarkEnd w:id="2538"/>
      <w:bookmarkEnd w:id="2539"/>
      <w:bookmarkEnd w:id="2540"/>
      <w:bookmarkEnd w:id="2541"/>
      <w:bookmarkEnd w:id="2542"/>
      <w:bookmarkEnd w:id="2543"/>
      <w:bookmarkEnd w:id="2544"/>
    </w:p>
    <w:p w14:paraId="7D8C362D">
      <w:pPr>
        <w:snapToGrid w:val="0"/>
        <w:spacing w:line="300" w:lineRule="auto"/>
        <w:ind w:firstLine="420" w:firstLineChars="200"/>
        <w:rPr>
          <w:rFonts w:ascii="宋体" w:hAnsi="宋体" w:eastAsia="宋体"/>
          <w:szCs w:val="21"/>
        </w:rPr>
      </w:pPr>
      <w:bookmarkStart w:id="2545" w:name="_Toc455651471"/>
      <w:bookmarkStart w:id="2546" w:name="_Toc455650485"/>
      <w:bookmarkStart w:id="2547" w:name="_Toc455648553"/>
      <w:bookmarkStart w:id="2548" w:name="_Toc455495106"/>
      <w:bookmarkStart w:id="2549" w:name="_Toc453706876"/>
      <w:bookmarkStart w:id="2550" w:name="_Toc455652490"/>
      <w:bookmarkStart w:id="2551" w:name="_Toc453707358"/>
      <w:r>
        <w:rPr>
          <w:rFonts w:hint="eastAsia" w:ascii="宋体" w:hAnsi="宋体" w:eastAsia="宋体"/>
          <w:szCs w:val="21"/>
        </w:rPr>
        <w:t>(5)水中筑岛应采用透水性好、易于压实的砂或其它材料填筑，不得采用粘性土或冻土填筑，岛侧边坡应确保稳定，并满足抗冲刷要求。</w:t>
      </w:r>
      <w:bookmarkEnd w:id="2545"/>
      <w:bookmarkEnd w:id="2546"/>
      <w:bookmarkEnd w:id="2547"/>
      <w:bookmarkEnd w:id="2548"/>
      <w:bookmarkEnd w:id="2549"/>
      <w:bookmarkEnd w:id="2550"/>
      <w:bookmarkEnd w:id="2551"/>
    </w:p>
    <w:p w14:paraId="28A32D59">
      <w:pPr>
        <w:snapToGrid w:val="0"/>
        <w:spacing w:line="300" w:lineRule="auto"/>
        <w:ind w:firstLine="420" w:firstLineChars="200"/>
        <w:rPr>
          <w:rFonts w:ascii="宋体" w:hAnsi="宋体" w:eastAsia="宋体"/>
          <w:szCs w:val="21"/>
        </w:rPr>
      </w:pPr>
      <w:bookmarkStart w:id="2552" w:name="_Toc455650486"/>
      <w:bookmarkStart w:id="2553" w:name="_Toc453706877"/>
      <w:bookmarkStart w:id="2554" w:name="_Toc455651472"/>
      <w:bookmarkStart w:id="2555" w:name="_Toc455495107"/>
      <w:bookmarkStart w:id="2556" w:name="_Toc455648554"/>
      <w:bookmarkStart w:id="2557" w:name="_Toc455652491"/>
      <w:bookmarkStart w:id="2558" w:name="_Toc453707359"/>
      <w:r>
        <w:rPr>
          <w:rFonts w:hint="eastAsia" w:ascii="宋体" w:hAnsi="宋体" w:eastAsia="宋体"/>
          <w:szCs w:val="21"/>
        </w:rPr>
        <w:t>(6)沉井(陆地沉井或异地制作浮运沉井等)的第一节井筒混凝土达到设计强度后方可下沉或下水。</w:t>
      </w:r>
      <w:bookmarkEnd w:id="2552"/>
      <w:bookmarkEnd w:id="2553"/>
      <w:bookmarkEnd w:id="2554"/>
      <w:bookmarkEnd w:id="2555"/>
      <w:bookmarkEnd w:id="2556"/>
      <w:bookmarkEnd w:id="2557"/>
      <w:bookmarkEnd w:id="2558"/>
    </w:p>
    <w:p w14:paraId="5F22593E">
      <w:pPr>
        <w:snapToGrid w:val="0"/>
        <w:spacing w:line="300" w:lineRule="auto"/>
        <w:ind w:firstLine="420" w:firstLineChars="200"/>
        <w:rPr>
          <w:rFonts w:ascii="宋体" w:hAnsi="宋体" w:eastAsia="宋体"/>
          <w:szCs w:val="21"/>
        </w:rPr>
      </w:pPr>
      <w:bookmarkStart w:id="2559" w:name="_Toc455650487"/>
      <w:bookmarkStart w:id="2560" w:name="_Toc453706878"/>
      <w:bookmarkStart w:id="2561" w:name="_Toc455651473"/>
      <w:bookmarkStart w:id="2562" w:name="_Toc453707360"/>
      <w:bookmarkStart w:id="2563" w:name="_Toc455648555"/>
      <w:bookmarkStart w:id="2564" w:name="_Toc455495108"/>
      <w:bookmarkStart w:id="2565" w:name="_Toc455652492"/>
      <w:r>
        <w:rPr>
          <w:rFonts w:hint="eastAsia" w:ascii="宋体" w:hAnsi="宋体" w:eastAsia="宋体"/>
          <w:szCs w:val="21"/>
        </w:rPr>
        <w:t>(7)陆地沉井下沉时，应按分区、依次、对称、同步的原则抽取第一节沉井下的承垫木并立即在刃脚四周填筑砂砾石。挖土下沉时，应按照分层、均匀、对称的原则出土，确保沉井垂直下沉，不得倾斜。</w:t>
      </w:r>
      <w:bookmarkEnd w:id="2559"/>
      <w:bookmarkEnd w:id="2560"/>
      <w:bookmarkEnd w:id="2561"/>
      <w:bookmarkEnd w:id="2562"/>
      <w:bookmarkEnd w:id="2563"/>
      <w:bookmarkEnd w:id="2564"/>
      <w:bookmarkEnd w:id="2565"/>
    </w:p>
    <w:p w14:paraId="5AC6B5A2">
      <w:pPr>
        <w:snapToGrid w:val="0"/>
        <w:spacing w:line="300" w:lineRule="auto"/>
        <w:ind w:firstLine="420" w:firstLineChars="200"/>
        <w:rPr>
          <w:rFonts w:ascii="宋体" w:hAnsi="宋体" w:eastAsia="宋体"/>
          <w:szCs w:val="21"/>
        </w:rPr>
      </w:pPr>
      <w:bookmarkStart w:id="2566" w:name="_Toc455652493"/>
      <w:bookmarkStart w:id="2567" w:name="_Toc455495109"/>
      <w:bookmarkStart w:id="2568" w:name="_Toc453707361"/>
      <w:bookmarkStart w:id="2569" w:name="_Toc453706879"/>
      <w:bookmarkStart w:id="2570" w:name="_Toc455648556"/>
      <w:bookmarkStart w:id="2571" w:name="_Toc455651474"/>
      <w:bookmarkStart w:id="2572" w:name="_Toc455650488"/>
      <w:r>
        <w:rPr>
          <w:rFonts w:hint="eastAsia" w:ascii="宋体" w:hAnsi="宋体" w:eastAsia="宋体"/>
          <w:szCs w:val="21"/>
        </w:rPr>
        <w:t>(8)沉井在软土中下沉至距设计标高约2m时，应加强对下沉的观察，控制下沉速度并采取措施，保证沉井平稳就位，并作好记录。</w:t>
      </w:r>
      <w:bookmarkEnd w:id="2566"/>
      <w:bookmarkEnd w:id="2567"/>
      <w:bookmarkEnd w:id="2568"/>
      <w:bookmarkEnd w:id="2569"/>
      <w:bookmarkEnd w:id="2570"/>
      <w:bookmarkEnd w:id="2571"/>
      <w:bookmarkEnd w:id="2572"/>
    </w:p>
    <w:p w14:paraId="4EB52EBD">
      <w:pPr>
        <w:snapToGrid w:val="0"/>
        <w:spacing w:line="300" w:lineRule="auto"/>
        <w:ind w:firstLine="420" w:firstLineChars="200"/>
        <w:rPr>
          <w:rFonts w:ascii="宋体" w:hAnsi="宋体" w:eastAsia="宋体"/>
          <w:szCs w:val="21"/>
        </w:rPr>
      </w:pPr>
      <w:bookmarkStart w:id="2573" w:name="_Toc455495110"/>
      <w:bookmarkStart w:id="2574" w:name="_Toc453706880"/>
      <w:bookmarkStart w:id="2575" w:name="_Toc455651475"/>
      <w:bookmarkStart w:id="2576" w:name="_Toc453707362"/>
      <w:bookmarkStart w:id="2577" w:name="_Toc455648557"/>
      <w:bookmarkStart w:id="2578" w:name="_Toc455650489"/>
      <w:bookmarkStart w:id="2579" w:name="_Toc455652494"/>
      <w:r>
        <w:rPr>
          <w:rFonts w:hint="eastAsia" w:ascii="宋体" w:hAnsi="宋体" w:eastAsia="宋体"/>
          <w:szCs w:val="21"/>
        </w:rPr>
        <w:t>(9)沉井每下沉1.0m，承包人应检测井位，保证井位平面偏移值不超过25cm，并正交检测井壁倾斜度，其倾斜度偏差不应大于施工图纸的规定。</w:t>
      </w:r>
      <w:bookmarkEnd w:id="2573"/>
      <w:bookmarkEnd w:id="2574"/>
      <w:bookmarkEnd w:id="2575"/>
      <w:bookmarkEnd w:id="2576"/>
      <w:bookmarkEnd w:id="2577"/>
      <w:bookmarkEnd w:id="2578"/>
      <w:bookmarkEnd w:id="2579"/>
    </w:p>
    <w:p w14:paraId="33EF5728">
      <w:pPr>
        <w:snapToGrid w:val="0"/>
        <w:spacing w:line="300" w:lineRule="auto"/>
        <w:ind w:firstLine="420" w:firstLineChars="200"/>
        <w:rPr>
          <w:rFonts w:ascii="宋体" w:hAnsi="宋体" w:eastAsia="宋体"/>
          <w:szCs w:val="21"/>
        </w:rPr>
      </w:pPr>
      <w:bookmarkStart w:id="2580" w:name="_Toc455650490"/>
      <w:bookmarkStart w:id="2581" w:name="_Toc455652495"/>
      <w:bookmarkStart w:id="2582" w:name="_Toc453707363"/>
      <w:bookmarkStart w:id="2583" w:name="_Toc453706881"/>
      <w:bookmarkStart w:id="2584" w:name="_Toc455648558"/>
      <w:bookmarkStart w:id="2585" w:name="_Toc455651476"/>
      <w:bookmarkStart w:id="2586" w:name="_Toc455495111"/>
      <w:r>
        <w:rPr>
          <w:rFonts w:hint="eastAsia" w:ascii="宋体" w:hAnsi="宋体" w:eastAsia="宋体"/>
          <w:szCs w:val="21"/>
        </w:rPr>
        <w:t>(10)浮运沉井沉到基(河)床后，应根据土层情况选择除土方式，在除土过程中，严格控制井底土面高差，保证沉井不产生倾斜，并详细记录土层变化情况。</w:t>
      </w:r>
      <w:bookmarkEnd w:id="2580"/>
      <w:bookmarkEnd w:id="2581"/>
      <w:bookmarkEnd w:id="2582"/>
      <w:bookmarkEnd w:id="2583"/>
      <w:bookmarkEnd w:id="2584"/>
      <w:bookmarkEnd w:id="2585"/>
      <w:bookmarkEnd w:id="2586"/>
    </w:p>
    <w:p w14:paraId="2FE310C7">
      <w:pPr>
        <w:snapToGrid w:val="0"/>
        <w:spacing w:line="300" w:lineRule="auto"/>
        <w:ind w:firstLine="420" w:firstLineChars="200"/>
        <w:rPr>
          <w:rFonts w:ascii="宋体" w:hAnsi="宋体" w:eastAsia="宋体"/>
          <w:szCs w:val="21"/>
        </w:rPr>
      </w:pPr>
      <w:bookmarkStart w:id="2587" w:name="_Toc453707364"/>
      <w:bookmarkStart w:id="2588" w:name="_Toc455651477"/>
      <w:bookmarkStart w:id="2589" w:name="_Toc453706882"/>
      <w:bookmarkStart w:id="2590" w:name="_Toc455495112"/>
      <w:bookmarkStart w:id="2591" w:name="_Toc455652496"/>
      <w:bookmarkStart w:id="2592" w:name="_Toc455650491"/>
      <w:bookmarkStart w:id="2593" w:name="_Toc455648559"/>
      <w:r>
        <w:rPr>
          <w:rFonts w:hint="eastAsia" w:ascii="宋体" w:hAnsi="宋体" w:eastAsia="宋体"/>
          <w:szCs w:val="21"/>
        </w:rPr>
        <w:t>(11)沉井下沉遇到倾斜岩面时，应及时对悬空刃脚进行垫脚或对岩坡爆破处理，并加固形成整体封闭体。遇到大孤石、流沙或淤泥等情况，应及时采取促沉或阻沉，以及水下爆破等有效处理措施，并做好记录。</w:t>
      </w:r>
      <w:bookmarkEnd w:id="2587"/>
      <w:bookmarkEnd w:id="2588"/>
      <w:bookmarkEnd w:id="2589"/>
      <w:bookmarkEnd w:id="2590"/>
      <w:bookmarkEnd w:id="2591"/>
      <w:bookmarkEnd w:id="2592"/>
      <w:bookmarkEnd w:id="2593"/>
    </w:p>
    <w:p w14:paraId="0F1FAAD5">
      <w:pPr>
        <w:snapToGrid w:val="0"/>
        <w:spacing w:line="300" w:lineRule="auto"/>
        <w:ind w:firstLine="420" w:firstLineChars="200"/>
        <w:rPr>
          <w:rFonts w:ascii="宋体" w:hAnsi="宋体" w:eastAsia="宋体"/>
          <w:szCs w:val="21"/>
        </w:rPr>
      </w:pPr>
      <w:bookmarkStart w:id="2594" w:name="_Toc453707365"/>
      <w:bookmarkStart w:id="2595" w:name="_Toc455650492"/>
      <w:bookmarkStart w:id="2596" w:name="_Toc453706883"/>
      <w:bookmarkStart w:id="2597" w:name="_Toc455648560"/>
      <w:bookmarkStart w:id="2598" w:name="_Toc455495113"/>
      <w:bookmarkStart w:id="2599" w:name="_Toc455651478"/>
      <w:bookmarkStart w:id="2600" w:name="_Toc455652497"/>
      <w:r>
        <w:rPr>
          <w:rFonts w:hint="eastAsia" w:ascii="宋体" w:hAnsi="宋体" w:eastAsia="宋体"/>
          <w:szCs w:val="21"/>
        </w:rPr>
        <w:t>(12)采用空气幕法或泥浆润滑套减阻下沉到设计标高后，均应根据施工图纸规定要求，对管道及泥浆套进行处理。</w:t>
      </w:r>
      <w:bookmarkEnd w:id="2594"/>
      <w:bookmarkEnd w:id="2595"/>
      <w:bookmarkEnd w:id="2596"/>
      <w:bookmarkEnd w:id="2597"/>
      <w:bookmarkEnd w:id="2598"/>
      <w:bookmarkEnd w:id="2599"/>
      <w:bookmarkEnd w:id="2600"/>
    </w:p>
    <w:p w14:paraId="777F8334">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9.4.6 沉井的封底</w:t>
      </w:r>
    </w:p>
    <w:p w14:paraId="464C292F">
      <w:pPr>
        <w:snapToGrid w:val="0"/>
        <w:spacing w:line="300" w:lineRule="auto"/>
        <w:ind w:firstLine="420" w:firstLineChars="200"/>
        <w:rPr>
          <w:rFonts w:ascii="宋体" w:hAnsi="宋体" w:eastAsia="宋体"/>
          <w:szCs w:val="21"/>
        </w:rPr>
      </w:pPr>
      <w:bookmarkStart w:id="2601" w:name="_Toc455495114"/>
      <w:bookmarkStart w:id="2602" w:name="_Toc453707366"/>
      <w:bookmarkStart w:id="2603" w:name="_Toc455651479"/>
      <w:bookmarkStart w:id="2604" w:name="_Toc455648561"/>
      <w:bookmarkStart w:id="2605" w:name="_Toc455652498"/>
      <w:bookmarkStart w:id="2606" w:name="_Toc455650493"/>
      <w:bookmarkStart w:id="2607" w:name="_Toc453706884"/>
      <w:r>
        <w:rPr>
          <w:rFonts w:hint="eastAsia" w:ascii="宋体" w:hAnsi="宋体" w:eastAsia="宋体"/>
          <w:szCs w:val="21"/>
        </w:rPr>
        <w:t>(1)沉井下沉至施工图纸规定标高，应进行沉降观测，在连续8小时内下沉量不大于10mm时，方可封底。</w:t>
      </w:r>
      <w:bookmarkEnd w:id="2601"/>
      <w:bookmarkEnd w:id="2602"/>
      <w:bookmarkEnd w:id="2603"/>
      <w:bookmarkEnd w:id="2604"/>
      <w:bookmarkEnd w:id="2605"/>
      <w:bookmarkEnd w:id="2606"/>
      <w:bookmarkEnd w:id="2607"/>
    </w:p>
    <w:p w14:paraId="04691EC2">
      <w:pPr>
        <w:snapToGrid w:val="0"/>
        <w:spacing w:line="300" w:lineRule="auto"/>
        <w:ind w:firstLine="420" w:firstLineChars="200"/>
        <w:rPr>
          <w:rFonts w:ascii="宋体" w:hAnsi="宋体" w:eastAsia="宋体"/>
          <w:szCs w:val="21"/>
        </w:rPr>
      </w:pPr>
      <w:bookmarkStart w:id="2608" w:name="_Toc455648562"/>
      <w:bookmarkStart w:id="2609" w:name="_Toc453707367"/>
      <w:bookmarkStart w:id="2610" w:name="_Toc453706885"/>
      <w:bookmarkStart w:id="2611" w:name="_Toc455651480"/>
      <w:bookmarkStart w:id="2612" w:name="_Toc455652499"/>
      <w:bookmarkStart w:id="2613" w:name="_Toc455650494"/>
      <w:bookmarkStart w:id="2614" w:name="_Toc455495115"/>
      <w:r>
        <w:rPr>
          <w:rFonts w:hint="eastAsia" w:ascii="宋体" w:hAnsi="宋体" w:eastAsia="宋体"/>
          <w:szCs w:val="21"/>
        </w:rPr>
        <w:t>(2)承包人应根据施工图纸要求和监理人指示进行沉井封底，采用干封底施工时应符合GB50202-2018第7.7.5条的规定，并应满足以下要求：</w:t>
      </w:r>
      <w:bookmarkEnd w:id="2608"/>
      <w:bookmarkEnd w:id="2609"/>
      <w:bookmarkEnd w:id="2610"/>
      <w:bookmarkEnd w:id="2611"/>
      <w:bookmarkEnd w:id="2612"/>
      <w:bookmarkEnd w:id="2613"/>
      <w:bookmarkEnd w:id="2614"/>
    </w:p>
    <w:p w14:paraId="1333A541">
      <w:pPr>
        <w:snapToGrid w:val="0"/>
        <w:spacing w:line="300" w:lineRule="auto"/>
        <w:ind w:firstLine="420" w:firstLineChars="200"/>
        <w:rPr>
          <w:rFonts w:ascii="宋体" w:hAnsi="宋体" w:eastAsia="宋体"/>
          <w:szCs w:val="21"/>
        </w:rPr>
      </w:pPr>
      <w:bookmarkStart w:id="2615" w:name="_Toc455650495"/>
      <w:bookmarkStart w:id="2616" w:name="_Toc455648563"/>
      <w:bookmarkStart w:id="2617" w:name="_Toc453707368"/>
      <w:bookmarkStart w:id="2618" w:name="_Toc453706886"/>
      <w:bookmarkStart w:id="2619" w:name="_Toc455495116"/>
      <w:bookmarkStart w:id="2620" w:name="_Toc455652500"/>
      <w:bookmarkStart w:id="2621" w:name="_Toc455651481"/>
      <w:r>
        <w:rPr>
          <w:rFonts w:hint="eastAsia" w:ascii="宋体" w:hAnsi="宋体" w:eastAsia="宋体"/>
          <w:szCs w:val="21"/>
        </w:rPr>
        <w:t>1)沉井基底土面应全部挖至施工图纸规定标高；</w:t>
      </w:r>
      <w:bookmarkEnd w:id="2615"/>
      <w:bookmarkEnd w:id="2616"/>
      <w:bookmarkEnd w:id="2617"/>
      <w:bookmarkEnd w:id="2618"/>
      <w:bookmarkEnd w:id="2619"/>
      <w:bookmarkEnd w:id="2620"/>
      <w:bookmarkEnd w:id="2621"/>
    </w:p>
    <w:p w14:paraId="00510B7F">
      <w:pPr>
        <w:snapToGrid w:val="0"/>
        <w:spacing w:line="300" w:lineRule="auto"/>
        <w:ind w:firstLine="420" w:firstLineChars="200"/>
        <w:rPr>
          <w:rFonts w:ascii="宋体" w:hAnsi="宋体" w:eastAsia="宋体"/>
          <w:szCs w:val="21"/>
        </w:rPr>
      </w:pPr>
      <w:bookmarkStart w:id="2622" w:name="_Toc453707369"/>
      <w:bookmarkStart w:id="2623" w:name="_Toc455650496"/>
      <w:bookmarkStart w:id="2624" w:name="_Toc455648564"/>
      <w:bookmarkStart w:id="2625" w:name="_Toc453706887"/>
      <w:bookmarkStart w:id="2626" w:name="_Toc455652501"/>
      <w:bookmarkStart w:id="2627" w:name="_Toc455651482"/>
      <w:bookmarkStart w:id="2628" w:name="_Toc455495117"/>
      <w:r>
        <w:rPr>
          <w:rFonts w:hint="eastAsia" w:ascii="宋体" w:hAnsi="宋体" w:eastAsia="宋体"/>
          <w:szCs w:val="21"/>
        </w:rPr>
        <w:t>2)井内积水应尽量排干；</w:t>
      </w:r>
      <w:bookmarkEnd w:id="2622"/>
      <w:bookmarkEnd w:id="2623"/>
      <w:bookmarkEnd w:id="2624"/>
      <w:bookmarkEnd w:id="2625"/>
      <w:bookmarkEnd w:id="2626"/>
      <w:bookmarkEnd w:id="2627"/>
      <w:bookmarkEnd w:id="2628"/>
    </w:p>
    <w:p w14:paraId="44B1607C">
      <w:pPr>
        <w:snapToGrid w:val="0"/>
        <w:spacing w:line="300" w:lineRule="auto"/>
        <w:ind w:firstLine="420" w:firstLineChars="200"/>
        <w:rPr>
          <w:rFonts w:ascii="宋体" w:hAnsi="宋体" w:eastAsia="宋体"/>
          <w:szCs w:val="21"/>
        </w:rPr>
      </w:pPr>
      <w:bookmarkStart w:id="2629" w:name="_Toc455650497"/>
      <w:bookmarkStart w:id="2630" w:name="_Toc455495118"/>
      <w:bookmarkStart w:id="2631" w:name="_Toc455648565"/>
      <w:bookmarkStart w:id="2632" w:name="_Toc453707370"/>
      <w:bookmarkStart w:id="2633" w:name="_Toc455652502"/>
      <w:bookmarkStart w:id="2634" w:name="_Toc455651483"/>
      <w:bookmarkStart w:id="2635" w:name="_Toc453706888"/>
      <w:r>
        <w:rPr>
          <w:rFonts w:hint="eastAsia" w:ascii="宋体" w:hAnsi="宋体" w:eastAsia="宋体"/>
          <w:szCs w:val="21"/>
        </w:rPr>
        <w:t>3)混凝土凿毛处应洗刷干净；</w:t>
      </w:r>
      <w:bookmarkEnd w:id="2629"/>
      <w:bookmarkEnd w:id="2630"/>
      <w:bookmarkEnd w:id="2631"/>
      <w:bookmarkEnd w:id="2632"/>
      <w:bookmarkEnd w:id="2633"/>
      <w:bookmarkEnd w:id="2634"/>
      <w:bookmarkEnd w:id="2635"/>
    </w:p>
    <w:p w14:paraId="7E89CF23">
      <w:pPr>
        <w:snapToGrid w:val="0"/>
        <w:spacing w:line="300" w:lineRule="auto"/>
        <w:ind w:firstLine="420" w:firstLineChars="200"/>
        <w:rPr>
          <w:rFonts w:ascii="宋体" w:hAnsi="宋体" w:eastAsia="宋体"/>
          <w:szCs w:val="21"/>
        </w:rPr>
      </w:pPr>
      <w:bookmarkStart w:id="2636" w:name="_Toc455651484"/>
      <w:bookmarkStart w:id="2637" w:name="_Toc455495119"/>
      <w:bookmarkStart w:id="2638" w:name="_Toc455650498"/>
      <w:bookmarkStart w:id="2639" w:name="_Toc455652503"/>
      <w:bookmarkStart w:id="2640" w:name="_Toc455648566"/>
      <w:bookmarkStart w:id="2641" w:name="_Toc453706889"/>
      <w:bookmarkStart w:id="2642" w:name="_Toc453707371"/>
      <w:r>
        <w:rPr>
          <w:rFonts w:hint="eastAsia" w:ascii="宋体" w:hAnsi="宋体" w:eastAsia="宋体"/>
          <w:szCs w:val="21"/>
        </w:rPr>
        <w:t>4)浇筑时应防止沉井不均匀下沉，在软土层中封底应分格对称进行；</w:t>
      </w:r>
      <w:bookmarkEnd w:id="2636"/>
      <w:bookmarkEnd w:id="2637"/>
      <w:bookmarkEnd w:id="2638"/>
      <w:bookmarkEnd w:id="2639"/>
      <w:bookmarkEnd w:id="2640"/>
      <w:bookmarkEnd w:id="2641"/>
      <w:bookmarkEnd w:id="2642"/>
    </w:p>
    <w:p w14:paraId="4161E7E8">
      <w:pPr>
        <w:snapToGrid w:val="0"/>
        <w:spacing w:line="300" w:lineRule="auto"/>
        <w:ind w:firstLine="420" w:firstLineChars="200"/>
        <w:rPr>
          <w:rFonts w:ascii="宋体" w:hAnsi="宋体" w:eastAsia="宋体"/>
          <w:szCs w:val="21"/>
        </w:rPr>
      </w:pPr>
      <w:bookmarkStart w:id="2643" w:name="_Toc455650499"/>
      <w:bookmarkStart w:id="2644" w:name="_Toc455651485"/>
      <w:bookmarkStart w:id="2645" w:name="_Toc455495120"/>
      <w:bookmarkStart w:id="2646" w:name="_Toc453706890"/>
      <w:bookmarkStart w:id="2647" w:name="_Toc453707372"/>
      <w:bookmarkStart w:id="2648" w:name="_Toc455652504"/>
      <w:bookmarkStart w:id="2649" w:name="_Toc455648567"/>
      <w:r>
        <w:rPr>
          <w:rFonts w:hint="eastAsia" w:ascii="宋体" w:hAnsi="宋体" w:eastAsia="宋体"/>
          <w:szCs w:val="21"/>
        </w:rPr>
        <w:t>5)在封底和底板混凝土未达到设计强度前，应从封底以下的集水井中不间断地抽水，停止抽水时，应考虑沉井的抗浮稳定性，并采取相应措施。</w:t>
      </w:r>
      <w:bookmarkEnd w:id="2643"/>
      <w:bookmarkEnd w:id="2644"/>
      <w:bookmarkEnd w:id="2645"/>
      <w:bookmarkEnd w:id="2646"/>
      <w:bookmarkEnd w:id="2647"/>
      <w:bookmarkEnd w:id="2648"/>
      <w:bookmarkEnd w:id="2649"/>
    </w:p>
    <w:p w14:paraId="51D3BE98">
      <w:pPr>
        <w:snapToGrid w:val="0"/>
        <w:spacing w:line="300" w:lineRule="auto"/>
        <w:ind w:firstLine="420" w:firstLineChars="200"/>
        <w:rPr>
          <w:rFonts w:ascii="宋体" w:hAnsi="宋体" w:eastAsia="宋体"/>
          <w:szCs w:val="21"/>
        </w:rPr>
      </w:pPr>
      <w:bookmarkStart w:id="2650" w:name="_Toc453707373"/>
      <w:bookmarkStart w:id="2651" w:name="_Toc455651486"/>
      <w:bookmarkStart w:id="2652" w:name="_Toc455495121"/>
      <w:bookmarkStart w:id="2653" w:name="_Toc453706891"/>
      <w:bookmarkStart w:id="2654" w:name="_Toc455652505"/>
      <w:bookmarkStart w:id="2655" w:name="_Toc455650500"/>
      <w:bookmarkStart w:id="2656" w:name="_Toc455648568"/>
      <w:r>
        <w:rPr>
          <w:rFonts w:hint="eastAsia" w:ascii="宋体" w:hAnsi="宋体" w:eastAsia="宋体"/>
          <w:szCs w:val="21"/>
        </w:rPr>
        <w:t>(3)采用导管法进行水下混凝土封底，应符合下列规定：</w:t>
      </w:r>
      <w:bookmarkEnd w:id="2650"/>
      <w:bookmarkEnd w:id="2651"/>
      <w:bookmarkEnd w:id="2652"/>
      <w:bookmarkEnd w:id="2653"/>
      <w:bookmarkEnd w:id="2654"/>
      <w:bookmarkEnd w:id="2655"/>
      <w:bookmarkEnd w:id="2656"/>
    </w:p>
    <w:p w14:paraId="6C43C3F1">
      <w:pPr>
        <w:snapToGrid w:val="0"/>
        <w:spacing w:line="300" w:lineRule="auto"/>
        <w:ind w:firstLine="420" w:firstLineChars="200"/>
        <w:rPr>
          <w:rFonts w:ascii="宋体" w:hAnsi="宋体" w:eastAsia="宋体"/>
          <w:szCs w:val="21"/>
        </w:rPr>
      </w:pPr>
      <w:bookmarkStart w:id="2657" w:name="_Toc455495122"/>
      <w:bookmarkStart w:id="2658" w:name="_Toc455651487"/>
      <w:bookmarkStart w:id="2659" w:name="_Toc455652506"/>
      <w:bookmarkStart w:id="2660" w:name="_Toc455648569"/>
      <w:bookmarkStart w:id="2661" w:name="_Toc455650501"/>
      <w:bookmarkStart w:id="2662" w:name="_Toc453706892"/>
      <w:bookmarkStart w:id="2663" w:name="_Toc453707374"/>
      <w:r>
        <w:rPr>
          <w:rFonts w:hint="eastAsia" w:ascii="宋体" w:hAnsi="宋体" w:eastAsia="宋体"/>
          <w:szCs w:val="21"/>
        </w:rPr>
        <w:t>1)基底为软土层时，应尽可能将井底浮泥清除干净，并铺碎石垫层；</w:t>
      </w:r>
      <w:bookmarkEnd w:id="2657"/>
      <w:bookmarkEnd w:id="2658"/>
      <w:bookmarkEnd w:id="2659"/>
      <w:bookmarkEnd w:id="2660"/>
      <w:bookmarkEnd w:id="2661"/>
      <w:bookmarkEnd w:id="2662"/>
      <w:bookmarkEnd w:id="2663"/>
    </w:p>
    <w:p w14:paraId="0E0A937F">
      <w:pPr>
        <w:snapToGrid w:val="0"/>
        <w:spacing w:line="300" w:lineRule="auto"/>
        <w:ind w:firstLine="420" w:firstLineChars="200"/>
        <w:rPr>
          <w:rFonts w:ascii="宋体" w:hAnsi="宋体" w:eastAsia="宋体"/>
          <w:szCs w:val="21"/>
        </w:rPr>
      </w:pPr>
      <w:bookmarkStart w:id="2664" w:name="_Toc455651488"/>
      <w:bookmarkStart w:id="2665" w:name="_Toc455495123"/>
      <w:bookmarkStart w:id="2666" w:name="_Toc455650502"/>
      <w:bookmarkStart w:id="2667" w:name="_Toc455652507"/>
      <w:bookmarkStart w:id="2668" w:name="_Toc453707375"/>
      <w:bookmarkStart w:id="2669" w:name="_Toc455648570"/>
      <w:bookmarkStart w:id="2670" w:name="_Toc453706893"/>
      <w:r>
        <w:rPr>
          <w:rFonts w:hint="eastAsia" w:ascii="宋体" w:hAnsi="宋体" w:eastAsia="宋体"/>
          <w:szCs w:val="21"/>
        </w:rPr>
        <w:t>2)基底为岩基时，岩面处沉积物及风化岩碎块等应尽量清除干净；</w:t>
      </w:r>
      <w:bookmarkEnd w:id="2664"/>
      <w:bookmarkEnd w:id="2665"/>
      <w:bookmarkEnd w:id="2666"/>
      <w:bookmarkEnd w:id="2667"/>
      <w:bookmarkEnd w:id="2668"/>
      <w:bookmarkEnd w:id="2669"/>
      <w:bookmarkEnd w:id="2670"/>
    </w:p>
    <w:p w14:paraId="5F4002F0">
      <w:pPr>
        <w:snapToGrid w:val="0"/>
        <w:spacing w:line="300" w:lineRule="auto"/>
        <w:ind w:firstLine="420" w:firstLineChars="200"/>
        <w:rPr>
          <w:rFonts w:ascii="宋体" w:hAnsi="宋体" w:eastAsia="宋体"/>
          <w:szCs w:val="21"/>
        </w:rPr>
      </w:pPr>
      <w:bookmarkStart w:id="2671" w:name="_Toc455652508"/>
      <w:bookmarkStart w:id="2672" w:name="_Toc455495124"/>
      <w:bookmarkStart w:id="2673" w:name="_Toc455651489"/>
      <w:bookmarkStart w:id="2674" w:name="_Toc455648571"/>
      <w:bookmarkStart w:id="2675" w:name="_Toc455650503"/>
      <w:bookmarkStart w:id="2676" w:name="_Toc453706894"/>
      <w:bookmarkStart w:id="2677" w:name="_Toc453707376"/>
      <w:r>
        <w:rPr>
          <w:rFonts w:hint="eastAsia" w:ascii="宋体" w:hAnsi="宋体" w:eastAsia="宋体"/>
          <w:szCs w:val="21"/>
        </w:rPr>
        <w:t>3)混凝土凿毛处应洗刷干净；</w:t>
      </w:r>
      <w:bookmarkEnd w:id="2671"/>
      <w:bookmarkEnd w:id="2672"/>
      <w:bookmarkEnd w:id="2673"/>
      <w:bookmarkEnd w:id="2674"/>
      <w:bookmarkEnd w:id="2675"/>
      <w:bookmarkEnd w:id="2676"/>
      <w:bookmarkEnd w:id="2677"/>
    </w:p>
    <w:p w14:paraId="6898ABC5">
      <w:pPr>
        <w:snapToGrid w:val="0"/>
        <w:spacing w:line="300" w:lineRule="auto"/>
        <w:ind w:firstLine="420" w:firstLineChars="200"/>
        <w:rPr>
          <w:rFonts w:ascii="宋体" w:hAnsi="宋体" w:eastAsia="宋体"/>
          <w:szCs w:val="21"/>
        </w:rPr>
      </w:pPr>
      <w:bookmarkStart w:id="2678" w:name="_Toc453707377"/>
      <w:bookmarkStart w:id="2679" w:name="_Toc455651490"/>
      <w:bookmarkStart w:id="2680" w:name="_Toc453706895"/>
      <w:bookmarkStart w:id="2681" w:name="_Toc455650504"/>
      <w:bookmarkStart w:id="2682" w:name="_Toc455495125"/>
      <w:bookmarkStart w:id="2683" w:name="_Toc455652509"/>
      <w:bookmarkStart w:id="2684" w:name="_Toc455648572"/>
      <w:r>
        <w:rPr>
          <w:rFonts w:hint="eastAsia" w:ascii="宋体" w:hAnsi="宋体" w:eastAsia="宋体"/>
          <w:szCs w:val="21"/>
        </w:rPr>
        <w:t>4)水下封底混凝土应在沉井全部底面积上连续浇筑，当井内有间隔墙、底梁或混凝土供应量受到限制时，应预先隔断分格浇筑；</w:t>
      </w:r>
      <w:bookmarkEnd w:id="2678"/>
      <w:bookmarkEnd w:id="2679"/>
      <w:bookmarkEnd w:id="2680"/>
      <w:bookmarkEnd w:id="2681"/>
      <w:bookmarkEnd w:id="2682"/>
      <w:bookmarkEnd w:id="2683"/>
      <w:bookmarkEnd w:id="2684"/>
    </w:p>
    <w:p w14:paraId="595FAB2A">
      <w:pPr>
        <w:snapToGrid w:val="0"/>
        <w:spacing w:line="300" w:lineRule="auto"/>
        <w:ind w:firstLine="420" w:firstLineChars="200"/>
        <w:rPr>
          <w:rFonts w:ascii="宋体" w:hAnsi="宋体" w:eastAsia="宋体"/>
          <w:szCs w:val="21"/>
        </w:rPr>
      </w:pPr>
      <w:bookmarkStart w:id="2685" w:name="_Toc453706896"/>
      <w:bookmarkStart w:id="2686" w:name="_Toc455651491"/>
      <w:bookmarkStart w:id="2687" w:name="_Toc455495126"/>
      <w:bookmarkStart w:id="2688" w:name="_Toc455648573"/>
      <w:bookmarkStart w:id="2689" w:name="_Toc455652510"/>
      <w:bookmarkStart w:id="2690" w:name="_Toc453707378"/>
      <w:bookmarkStart w:id="2691" w:name="_Toc455650505"/>
      <w:r>
        <w:rPr>
          <w:rFonts w:hint="eastAsia" w:ascii="宋体" w:hAnsi="宋体" w:eastAsia="宋体"/>
          <w:szCs w:val="21"/>
        </w:rPr>
        <w:t>5)导管应采用钢管制作，内壁表面应光滑，并有足够的强度和刚度。管段的接头应密封良好和便于装拆；</w:t>
      </w:r>
      <w:bookmarkEnd w:id="2685"/>
      <w:bookmarkEnd w:id="2686"/>
      <w:bookmarkEnd w:id="2687"/>
      <w:bookmarkEnd w:id="2688"/>
      <w:bookmarkEnd w:id="2689"/>
      <w:bookmarkEnd w:id="2690"/>
      <w:bookmarkEnd w:id="2691"/>
    </w:p>
    <w:p w14:paraId="7D157F9F">
      <w:pPr>
        <w:snapToGrid w:val="0"/>
        <w:spacing w:line="300" w:lineRule="auto"/>
        <w:ind w:firstLine="420" w:firstLineChars="200"/>
        <w:rPr>
          <w:rFonts w:ascii="宋体" w:hAnsi="宋体" w:eastAsia="宋体"/>
          <w:szCs w:val="21"/>
        </w:rPr>
      </w:pPr>
      <w:bookmarkStart w:id="2692" w:name="_Toc453706897"/>
      <w:bookmarkStart w:id="2693" w:name="_Toc455651492"/>
      <w:bookmarkStart w:id="2694" w:name="_Toc455650506"/>
      <w:bookmarkStart w:id="2695" w:name="_Toc455648574"/>
      <w:bookmarkStart w:id="2696" w:name="_Toc453707379"/>
      <w:bookmarkStart w:id="2697" w:name="_Toc455652511"/>
      <w:bookmarkStart w:id="2698" w:name="_Toc455495127"/>
      <w:r>
        <w:rPr>
          <w:rFonts w:hint="eastAsia" w:ascii="宋体" w:hAnsi="宋体" w:eastAsia="宋体"/>
          <w:szCs w:val="21"/>
        </w:rPr>
        <w:t>6)导管的数量由计算确定，布置时应使各导管的浇筑面积相互覆盖；</w:t>
      </w:r>
      <w:bookmarkEnd w:id="2692"/>
      <w:bookmarkEnd w:id="2693"/>
      <w:bookmarkEnd w:id="2694"/>
      <w:bookmarkEnd w:id="2695"/>
      <w:bookmarkEnd w:id="2696"/>
      <w:bookmarkEnd w:id="2697"/>
      <w:bookmarkEnd w:id="2698"/>
    </w:p>
    <w:p w14:paraId="1851D655">
      <w:pPr>
        <w:snapToGrid w:val="0"/>
        <w:spacing w:line="300" w:lineRule="auto"/>
        <w:ind w:firstLine="420" w:firstLineChars="200"/>
        <w:rPr>
          <w:rFonts w:ascii="宋体" w:hAnsi="宋体" w:eastAsia="宋体"/>
          <w:szCs w:val="21"/>
        </w:rPr>
      </w:pPr>
      <w:bookmarkStart w:id="2699" w:name="_Toc455495128"/>
      <w:bookmarkStart w:id="2700" w:name="_Toc455648575"/>
      <w:bookmarkStart w:id="2701" w:name="_Toc455651493"/>
      <w:bookmarkStart w:id="2702" w:name="_Toc453706898"/>
      <w:bookmarkStart w:id="2703" w:name="_Toc453707380"/>
      <w:bookmarkStart w:id="2704" w:name="_Toc455652512"/>
      <w:bookmarkStart w:id="2705" w:name="_Toc455650507"/>
      <w:r>
        <w:rPr>
          <w:rFonts w:hint="eastAsia" w:ascii="宋体" w:hAnsi="宋体" w:eastAsia="宋体"/>
          <w:szCs w:val="21"/>
        </w:rPr>
        <w:t>7)水下混凝土面平均上升速度不应小于0.25m/h，坡度不应大于1:5；</w:t>
      </w:r>
      <w:bookmarkEnd w:id="2699"/>
      <w:bookmarkEnd w:id="2700"/>
      <w:bookmarkEnd w:id="2701"/>
      <w:bookmarkEnd w:id="2702"/>
      <w:bookmarkEnd w:id="2703"/>
      <w:bookmarkEnd w:id="2704"/>
      <w:bookmarkEnd w:id="2705"/>
    </w:p>
    <w:p w14:paraId="67161A5C">
      <w:pPr>
        <w:snapToGrid w:val="0"/>
        <w:spacing w:line="300" w:lineRule="auto"/>
        <w:ind w:firstLine="420" w:firstLineChars="200"/>
        <w:rPr>
          <w:rFonts w:ascii="宋体" w:hAnsi="宋体" w:eastAsia="宋体"/>
          <w:szCs w:val="21"/>
        </w:rPr>
      </w:pPr>
      <w:bookmarkStart w:id="2706" w:name="_Toc453707381"/>
      <w:bookmarkStart w:id="2707" w:name="_Toc455648576"/>
      <w:bookmarkStart w:id="2708" w:name="_Toc455652513"/>
      <w:bookmarkStart w:id="2709" w:name="_Toc455651494"/>
      <w:bookmarkStart w:id="2710" w:name="_Toc453706899"/>
      <w:bookmarkStart w:id="2711" w:name="_Toc455495129"/>
      <w:bookmarkStart w:id="2712" w:name="_Toc455650508"/>
      <w:r>
        <w:rPr>
          <w:rFonts w:hint="eastAsia" w:ascii="宋体" w:hAnsi="宋体" w:eastAsia="宋体"/>
          <w:szCs w:val="21"/>
        </w:rPr>
        <w:t>8)浇筑前，导管中应设置隔水；浇筑时，导管插入混凝土的深度不宜小于1m；</w:t>
      </w:r>
      <w:bookmarkEnd w:id="2706"/>
      <w:bookmarkEnd w:id="2707"/>
      <w:bookmarkEnd w:id="2708"/>
      <w:bookmarkEnd w:id="2709"/>
      <w:bookmarkEnd w:id="2710"/>
      <w:bookmarkEnd w:id="2711"/>
      <w:bookmarkEnd w:id="2712"/>
    </w:p>
    <w:p w14:paraId="7964D526">
      <w:pPr>
        <w:snapToGrid w:val="0"/>
        <w:spacing w:line="300" w:lineRule="auto"/>
        <w:ind w:firstLine="420" w:firstLineChars="200"/>
        <w:rPr>
          <w:rFonts w:ascii="宋体" w:hAnsi="宋体" w:eastAsia="宋体"/>
          <w:szCs w:val="21"/>
        </w:rPr>
      </w:pPr>
      <w:bookmarkStart w:id="2713" w:name="_Toc455651495"/>
      <w:bookmarkStart w:id="2714" w:name="_Toc455648577"/>
      <w:bookmarkStart w:id="2715" w:name="_Toc453706900"/>
      <w:bookmarkStart w:id="2716" w:name="_Toc455650509"/>
      <w:bookmarkStart w:id="2717" w:name="_Toc453707382"/>
      <w:bookmarkStart w:id="2718" w:name="_Toc455652514"/>
      <w:bookmarkStart w:id="2719" w:name="_Toc455495130"/>
      <w:r>
        <w:rPr>
          <w:rFonts w:hint="eastAsia" w:ascii="宋体" w:hAnsi="宋体" w:eastAsia="宋体"/>
          <w:szCs w:val="21"/>
        </w:rPr>
        <w:t>9)水下混凝土达到设计强度后，方可从井内抽水，如提前抽水，必须采取确保质量和安全的措施。</w:t>
      </w:r>
      <w:bookmarkEnd w:id="2713"/>
      <w:bookmarkEnd w:id="2714"/>
      <w:bookmarkEnd w:id="2715"/>
      <w:bookmarkEnd w:id="2716"/>
      <w:bookmarkEnd w:id="2717"/>
      <w:bookmarkEnd w:id="2718"/>
      <w:bookmarkEnd w:id="2719"/>
    </w:p>
    <w:p w14:paraId="31996524">
      <w:pPr>
        <w:snapToGrid w:val="0"/>
        <w:spacing w:line="300" w:lineRule="auto"/>
        <w:ind w:firstLine="420" w:firstLineChars="200"/>
        <w:rPr>
          <w:rFonts w:ascii="宋体" w:hAnsi="宋体" w:eastAsia="宋体"/>
          <w:szCs w:val="21"/>
        </w:rPr>
      </w:pPr>
      <w:bookmarkStart w:id="2720" w:name="_Toc453707383"/>
      <w:bookmarkStart w:id="2721" w:name="_Toc453706901"/>
      <w:bookmarkStart w:id="2722" w:name="_Toc455648578"/>
      <w:bookmarkStart w:id="2723" w:name="_Toc455495131"/>
      <w:bookmarkStart w:id="2724" w:name="_Toc455651496"/>
      <w:bookmarkStart w:id="2725" w:name="_Toc455650510"/>
      <w:bookmarkStart w:id="2726" w:name="_Toc455652515"/>
      <w:r>
        <w:rPr>
          <w:rFonts w:hint="eastAsia" w:ascii="宋体" w:hAnsi="宋体" w:eastAsia="宋体"/>
          <w:szCs w:val="21"/>
        </w:rPr>
        <w:t>(4)封底配制水下混凝土的技术要求，应符合本章第10.4.2条的规定。</w:t>
      </w:r>
      <w:bookmarkEnd w:id="2720"/>
      <w:bookmarkEnd w:id="2721"/>
      <w:bookmarkEnd w:id="2722"/>
      <w:bookmarkEnd w:id="2723"/>
      <w:bookmarkEnd w:id="2724"/>
      <w:bookmarkEnd w:id="2725"/>
      <w:bookmarkEnd w:id="2726"/>
    </w:p>
    <w:p w14:paraId="138D480F">
      <w:pPr>
        <w:snapToGrid w:val="0"/>
        <w:spacing w:line="300" w:lineRule="auto"/>
        <w:ind w:firstLine="420" w:firstLineChars="200"/>
        <w:rPr>
          <w:rFonts w:ascii="宋体" w:hAnsi="宋体" w:eastAsia="宋体"/>
          <w:szCs w:val="21"/>
        </w:rPr>
      </w:pPr>
      <w:bookmarkStart w:id="2727" w:name="_Toc455648579"/>
      <w:bookmarkStart w:id="2728" w:name="_Toc455495132"/>
      <w:bookmarkStart w:id="2729" w:name="_Toc453706902"/>
      <w:bookmarkStart w:id="2730" w:name="_Toc455651497"/>
      <w:bookmarkStart w:id="2731" w:name="_Toc455652516"/>
      <w:bookmarkStart w:id="2732" w:name="_Toc455650511"/>
      <w:bookmarkStart w:id="2733" w:name="_Toc453707384"/>
      <w:r>
        <w:rPr>
          <w:rFonts w:hint="eastAsia" w:ascii="宋体" w:hAnsi="宋体" w:eastAsia="宋体"/>
          <w:szCs w:val="21"/>
        </w:rPr>
        <w:t>(5)封底结束后，应检查底板结构有无裂缝及渗漏，渗漏检查标准应符合GB50208-2002第3.0.1条的规定。</w:t>
      </w:r>
      <w:bookmarkEnd w:id="2727"/>
      <w:bookmarkEnd w:id="2728"/>
      <w:bookmarkEnd w:id="2729"/>
      <w:bookmarkEnd w:id="2730"/>
      <w:bookmarkEnd w:id="2731"/>
      <w:bookmarkEnd w:id="2732"/>
      <w:bookmarkEnd w:id="2733"/>
    </w:p>
    <w:p w14:paraId="07414936">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9.4.7 质量检查和验收</w:t>
      </w:r>
    </w:p>
    <w:p w14:paraId="0059161B">
      <w:pPr>
        <w:snapToGrid w:val="0"/>
        <w:spacing w:line="300" w:lineRule="auto"/>
        <w:ind w:firstLine="420" w:firstLineChars="200"/>
        <w:rPr>
          <w:rFonts w:ascii="宋体" w:hAnsi="宋体" w:eastAsia="宋体"/>
          <w:szCs w:val="21"/>
        </w:rPr>
      </w:pPr>
      <w:bookmarkStart w:id="2734" w:name="_Toc453706903"/>
      <w:bookmarkStart w:id="2735" w:name="_Toc455651498"/>
      <w:bookmarkStart w:id="2736" w:name="_Toc453707385"/>
      <w:bookmarkStart w:id="2737" w:name="_Toc455650512"/>
      <w:bookmarkStart w:id="2738" w:name="_Toc455495133"/>
      <w:bookmarkStart w:id="2739" w:name="_Toc455648580"/>
      <w:bookmarkStart w:id="2740" w:name="_Toc455652517"/>
      <w:r>
        <w:rPr>
          <w:rFonts w:hint="eastAsia" w:ascii="宋体" w:hAnsi="宋体" w:eastAsia="宋体"/>
          <w:szCs w:val="21"/>
        </w:rPr>
        <w:t>(1)沉井制作完成后，应按本节第10.4.3条的规定对沉井的平面尺寸和壁厚进行检查和验收。</w:t>
      </w:r>
      <w:bookmarkEnd w:id="2734"/>
      <w:bookmarkEnd w:id="2735"/>
      <w:bookmarkEnd w:id="2736"/>
      <w:bookmarkEnd w:id="2737"/>
      <w:bookmarkEnd w:id="2738"/>
      <w:bookmarkEnd w:id="2739"/>
      <w:bookmarkEnd w:id="2740"/>
    </w:p>
    <w:p w14:paraId="39407468">
      <w:pPr>
        <w:snapToGrid w:val="0"/>
        <w:spacing w:line="300" w:lineRule="auto"/>
        <w:ind w:firstLine="420" w:firstLineChars="200"/>
        <w:rPr>
          <w:rFonts w:ascii="宋体" w:hAnsi="宋体" w:eastAsia="宋体"/>
          <w:szCs w:val="21"/>
        </w:rPr>
      </w:pPr>
      <w:bookmarkStart w:id="2741" w:name="_Toc455650513"/>
      <w:bookmarkStart w:id="2742" w:name="_Toc455652518"/>
      <w:bookmarkStart w:id="2743" w:name="_Toc453707386"/>
      <w:bookmarkStart w:id="2744" w:name="_Toc455495134"/>
      <w:bookmarkStart w:id="2745" w:name="_Toc455651499"/>
      <w:bookmarkStart w:id="2746" w:name="_Toc455648581"/>
      <w:bookmarkStart w:id="2747" w:name="_Toc453706904"/>
      <w:r>
        <w:rPr>
          <w:rFonts w:hint="eastAsia" w:ascii="宋体" w:hAnsi="宋体" w:eastAsia="宋体"/>
          <w:szCs w:val="21"/>
        </w:rPr>
        <w:t>(2)沉井下沉定位后和封底前，应按施工图纸的规定进行以下内容的检查和验收：</w:t>
      </w:r>
      <w:bookmarkEnd w:id="2741"/>
      <w:bookmarkEnd w:id="2742"/>
      <w:bookmarkEnd w:id="2743"/>
      <w:bookmarkEnd w:id="2744"/>
      <w:bookmarkEnd w:id="2745"/>
      <w:bookmarkEnd w:id="2746"/>
      <w:bookmarkEnd w:id="2747"/>
    </w:p>
    <w:p w14:paraId="18072DCB">
      <w:pPr>
        <w:snapToGrid w:val="0"/>
        <w:spacing w:line="300" w:lineRule="auto"/>
        <w:ind w:firstLine="420" w:firstLineChars="200"/>
        <w:rPr>
          <w:rFonts w:ascii="宋体" w:hAnsi="宋体" w:eastAsia="宋体"/>
          <w:szCs w:val="21"/>
        </w:rPr>
      </w:pPr>
      <w:bookmarkStart w:id="2748" w:name="_Toc455650514"/>
      <w:bookmarkStart w:id="2749" w:name="_Toc455651500"/>
      <w:bookmarkStart w:id="2750" w:name="_Toc453707387"/>
      <w:bookmarkStart w:id="2751" w:name="_Toc455652519"/>
      <w:bookmarkStart w:id="2752" w:name="_Toc453706905"/>
      <w:bookmarkStart w:id="2753" w:name="_Toc455495135"/>
      <w:bookmarkStart w:id="2754" w:name="_Toc455648582"/>
      <w:r>
        <w:rPr>
          <w:rFonts w:hint="eastAsia" w:ascii="宋体" w:hAnsi="宋体" w:eastAsia="宋体"/>
          <w:szCs w:val="21"/>
        </w:rPr>
        <w:t>1)沉井顶底面的中心偏差和倾斜度；</w:t>
      </w:r>
      <w:bookmarkEnd w:id="2748"/>
      <w:bookmarkEnd w:id="2749"/>
      <w:bookmarkEnd w:id="2750"/>
      <w:bookmarkEnd w:id="2751"/>
      <w:bookmarkEnd w:id="2752"/>
      <w:bookmarkEnd w:id="2753"/>
      <w:bookmarkEnd w:id="2754"/>
    </w:p>
    <w:p w14:paraId="29F7D5B0">
      <w:pPr>
        <w:snapToGrid w:val="0"/>
        <w:spacing w:line="300" w:lineRule="auto"/>
        <w:ind w:firstLine="420" w:firstLineChars="200"/>
        <w:rPr>
          <w:rFonts w:ascii="宋体" w:hAnsi="宋体" w:eastAsia="宋体"/>
          <w:szCs w:val="21"/>
        </w:rPr>
      </w:pPr>
      <w:bookmarkStart w:id="2755" w:name="_Toc455495136"/>
      <w:bookmarkStart w:id="2756" w:name="_Toc455651501"/>
      <w:bookmarkStart w:id="2757" w:name="_Toc455652520"/>
      <w:bookmarkStart w:id="2758" w:name="_Toc455650515"/>
      <w:bookmarkStart w:id="2759" w:name="_Toc455648583"/>
      <w:bookmarkStart w:id="2760" w:name="_Toc453707388"/>
      <w:bookmarkStart w:id="2761" w:name="_Toc453706906"/>
      <w:r>
        <w:rPr>
          <w:rFonts w:hint="eastAsia" w:ascii="宋体" w:hAnsi="宋体" w:eastAsia="宋体"/>
          <w:szCs w:val="21"/>
        </w:rPr>
        <w:t>2)井位和井深；</w:t>
      </w:r>
      <w:bookmarkEnd w:id="2755"/>
      <w:bookmarkEnd w:id="2756"/>
      <w:bookmarkEnd w:id="2757"/>
      <w:bookmarkEnd w:id="2758"/>
      <w:bookmarkEnd w:id="2759"/>
      <w:bookmarkEnd w:id="2760"/>
      <w:bookmarkEnd w:id="2761"/>
    </w:p>
    <w:p w14:paraId="57ED187D">
      <w:pPr>
        <w:snapToGrid w:val="0"/>
        <w:spacing w:line="300" w:lineRule="auto"/>
        <w:ind w:firstLine="420" w:firstLineChars="200"/>
        <w:rPr>
          <w:rFonts w:ascii="宋体" w:hAnsi="宋体" w:eastAsia="宋体"/>
          <w:szCs w:val="21"/>
        </w:rPr>
      </w:pPr>
      <w:bookmarkStart w:id="2762" w:name="_Toc453706907"/>
      <w:bookmarkStart w:id="2763" w:name="_Toc455648584"/>
      <w:bookmarkStart w:id="2764" w:name="_Toc455650516"/>
      <w:bookmarkStart w:id="2765" w:name="_Toc455495137"/>
      <w:bookmarkStart w:id="2766" w:name="_Toc455651502"/>
      <w:bookmarkStart w:id="2767" w:name="_Toc455652521"/>
      <w:bookmarkStart w:id="2768" w:name="_Toc453707389"/>
      <w:r>
        <w:rPr>
          <w:rFonts w:hint="eastAsia" w:ascii="宋体" w:hAnsi="宋体" w:eastAsia="宋体"/>
          <w:szCs w:val="21"/>
        </w:rPr>
        <w:t>3)井壁底梁凹槽和隔墙的泥皮清理效果。</w:t>
      </w:r>
      <w:bookmarkEnd w:id="2762"/>
      <w:bookmarkEnd w:id="2763"/>
      <w:bookmarkEnd w:id="2764"/>
      <w:bookmarkEnd w:id="2765"/>
      <w:bookmarkEnd w:id="2766"/>
      <w:bookmarkEnd w:id="2767"/>
      <w:bookmarkEnd w:id="2768"/>
    </w:p>
    <w:p w14:paraId="4C15744C">
      <w:pPr>
        <w:snapToGrid w:val="0"/>
        <w:spacing w:line="300" w:lineRule="auto"/>
        <w:ind w:firstLine="420" w:firstLineChars="200"/>
        <w:rPr>
          <w:rFonts w:ascii="宋体" w:hAnsi="宋体" w:eastAsia="宋体"/>
          <w:szCs w:val="21"/>
        </w:rPr>
      </w:pPr>
      <w:bookmarkStart w:id="2769" w:name="_Toc455652522"/>
      <w:bookmarkStart w:id="2770" w:name="_Toc455648585"/>
      <w:bookmarkStart w:id="2771" w:name="_Toc455651503"/>
      <w:bookmarkStart w:id="2772" w:name="_Toc455650517"/>
      <w:bookmarkStart w:id="2773" w:name="_Toc455495138"/>
      <w:bookmarkStart w:id="2774" w:name="_Toc453706908"/>
      <w:bookmarkStart w:id="2775" w:name="_Toc453707390"/>
      <w:r>
        <w:rPr>
          <w:rFonts w:hint="eastAsia" w:ascii="宋体" w:hAnsi="宋体" w:eastAsia="宋体"/>
          <w:szCs w:val="21"/>
        </w:rPr>
        <w:t>(3)沉井封底后，应按施工图纸规定进行封底时的沉渣厚度、材料强度和封底层厚度的检查和验收。</w:t>
      </w:r>
      <w:bookmarkEnd w:id="2769"/>
      <w:bookmarkEnd w:id="2770"/>
      <w:bookmarkEnd w:id="2771"/>
      <w:bookmarkEnd w:id="2772"/>
      <w:bookmarkEnd w:id="2773"/>
      <w:bookmarkEnd w:id="2774"/>
      <w:bookmarkEnd w:id="2775"/>
    </w:p>
    <w:p w14:paraId="1C8BFDB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9.4.8 沉井工程的完工验收</w:t>
      </w:r>
    </w:p>
    <w:p w14:paraId="268C2F48">
      <w:pPr>
        <w:snapToGrid w:val="0"/>
        <w:spacing w:line="300" w:lineRule="auto"/>
        <w:ind w:firstLine="420" w:firstLineChars="200"/>
        <w:rPr>
          <w:rFonts w:ascii="宋体" w:hAnsi="宋体" w:eastAsia="宋体"/>
          <w:szCs w:val="21"/>
        </w:rPr>
      </w:pPr>
      <w:bookmarkStart w:id="2776" w:name="_Toc455651504"/>
      <w:bookmarkStart w:id="2777" w:name="_Toc455495139"/>
      <w:bookmarkStart w:id="2778" w:name="_Toc453706909"/>
      <w:bookmarkStart w:id="2779" w:name="_Toc455652523"/>
      <w:bookmarkStart w:id="2780" w:name="_Toc455650518"/>
      <w:bookmarkStart w:id="2781" w:name="_Toc453707391"/>
      <w:bookmarkStart w:id="2782" w:name="_Toc455648586"/>
      <w:r>
        <w:rPr>
          <w:rFonts w:hint="eastAsia" w:ascii="宋体" w:hAnsi="宋体" w:eastAsia="宋体"/>
          <w:szCs w:val="21"/>
        </w:rPr>
        <w:t>沉井工程全部完工后，承包人应向监理人申请完工验收，并按以下规定提交完工资料。</w:t>
      </w:r>
      <w:bookmarkEnd w:id="2776"/>
      <w:bookmarkEnd w:id="2777"/>
      <w:bookmarkEnd w:id="2778"/>
      <w:bookmarkEnd w:id="2779"/>
      <w:bookmarkEnd w:id="2780"/>
      <w:bookmarkEnd w:id="2781"/>
      <w:bookmarkEnd w:id="2782"/>
    </w:p>
    <w:p w14:paraId="51B4F87A">
      <w:pPr>
        <w:snapToGrid w:val="0"/>
        <w:spacing w:line="300" w:lineRule="auto"/>
        <w:ind w:firstLine="420" w:firstLineChars="200"/>
        <w:rPr>
          <w:rFonts w:ascii="宋体" w:hAnsi="宋体" w:eastAsia="宋体"/>
          <w:szCs w:val="21"/>
        </w:rPr>
      </w:pPr>
      <w:bookmarkStart w:id="2783" w:name="_Toc453707392"/>
      <w:bookmarkStart w:id="2784" w:name="_Toc455648587"/>
      <w:bookmarkStart w:id="2785" w:name="_Toc455651505"/>
      <w:bookmarkStart w:id="2786" w:name="_Toc455650519"/>
      <w:bookmarkStart w:id="2787" w:name="_Toc453706910"/>
      <w:bookmarkStart w:id="2788" w:name="_Toc455495140"/>
      <w:bookmarkStart w:id="2789" w:name="_Toc455652524"/>
      <w:r>
        <w:rPr>
          <w:rFonts w:hint="eastAsia" w:ascii="宋体" w:hAnsi="宋体" w:eastAsia="宋体"/>
          <w:szCs w:val="21"/>
        </w:rPr>
        <w:t>(1)沉井工程竣工图和说明书；</w:t>
      </w:r>
      <w:bookmarkEnd w:id="2783"/>
      <w:bookmarkEnd w:id="2784"/>
      <w:bookmarkEnd w:id="2785"/>
      <w:bookmarkEnd w:id="2786"/>
      <w:bookmarkEnd w:id="2787"/>
      <w:bookmarkEnd w:id="2788"/>
      <w:bookmarkEnd w:id="2789"/>
    </w:p>
    <w:p w14:paraId="56C2EB76">
      <w:pPr>
        <w:snapToGrid w:val="0"/>
        <w:spacing w:line="300" w:lineRule="auto"/>
        <w:ind w:firstLine="420" w:firstLineChars="200"/>
        <w:rPr>
          <w:rFonts w:ascii="宋体" w:hAnsi="宋体" w:eastAsia="宋体"/>
          <w:szCs w:val="21"/>
        </w:rPr>
      </w:pPr>
      <w:bookmarkStart w:id="2790" w:name="_Toc455650520"/>
      <w:bookmarkStart w:id="2791" w:name="_Toc455648588"/>
      <w:bookmarkStart w:id="2792" w:name="_Toc455651506"/>
      <w:bookmarkStart w:id="2793" w:name="_Toc455652525"/>
      <w:bookmarkStart w:id="2794" w:name="_Toc453707393"/>
      <w:bookmarkStart w:id="2795" w:name="_Toc453706911"/>
      <w:bookmarkStart w:id="2796" w:name="_Toc455495141"/>
      <w:r>
        <w:rPr>
          <w:rFonts w:hint="eastAsia" w:ascii="宋体" w:hAnsi="宋体" w:eastAsia="宋体"/>
          <w:szCs w:val="21"/>
        </w:rPr>
        <w:t>(2)沉井工程材料试验成果报告；</w:t>
      </w:r>
      <w:bookmarkEnd w:id="2790"/>
      <w:bookmarkEnd w:id="2791"/>
      <w:bookmarkEnd w:id="2792"/>
      <w:bookmarkEnd w:id="2793"/>
      <w:bookmarkEnd w:id="2794"/>
      <w:bookmarkEnd w:id="2795"/>
      <w:bookmarkEnd w:id="2796"/>
    </w:p>
    <w:p w14:paraId="08C4A438">
      <w:pPr>
        <w:snapToGrid w:val="0"/>
        <w:spacing w:line="300" w:lineRule="auto"/>
        <w:ind w:firstLine="420" w:firstLineChars="200"/>
        <w:rPr>
          <w:rFonts w:ascii="宋体" w:hAnsi="宋体" w:eastAsia="宋体"/>
          <w:szCs w:val="21"/>
        </w:rPr>
      </w:pPr>
      <w:bookmarkStart w:id="2797" w:name="_Toc455651507"/>
      <w:bookmarkStart w:id="2798" w:name="_Toc455648589"/>
      <w:bookmarkStart w:id="2799" w:name="_Toc453706912"/>
      <w:bookmarkStart w:id="2800" w:name="_Toc455650521"/>
      <w:bookmarkStart w:id="2801" w:name="_Toc455495142"/>
      <w:bookmarkStart w:id="2802" w:name="_Toc455652526"/>
      <w:bookmarkStart w:id="2803" w:name="_Toc453707394"/>
      <w:r>
        <w:rPr>
          <w:rFonts w:hint="eastAsia" w:ascii="宋体" w:hAnsi="宋体" w:eastAsia="宋体"/>
          <w:szCs w:val="21"/>
        </w:rPr>
        <w:t>(3)沉井工程试桩、桩基承载试验报告和沉井定位测量试验记录；</w:t>
      </w:r>
      <w:bookmarkEnd w:id="2797"/>
      <w:bookmarkEnd w:id="2798"/>
      <w:bookmarkEnd w:id="2799"/>
      <w:bookmarkEnd w:id="2800"/>
      <w:bookmarkEnd w:id="2801"/>
      <w:bookmarkEnd w:id="2802"/>
      <w:bookmarkEnd w:id="2803"/>
    </w:p>
    <w:p w14:paraId="279AB39E">
      <w:pPr>
        <w:snapToGrid w:val="0"/>
        <w:spacing w:line="300" w:lineRule="auto"/>
        <w:ind w:firstLine="420" w:firstLineChars="200"/>
        <w:rPr>
          <w:rFonts w:ascii="宋体" w:hAnsi="宋体" w:eastAsia="宋体"/>
          <w:szCs w:val="21"/>
        </w:rPr>
      </w:pPr>
      <w:bookmarkStart w:id="2804" w:name="_Toc453707395"/>
      <w:bookmarkStart w:id="2805" w:name="_Toc455652527"/>
      <w:bookmarkStart w:id="2806" w:name="_Toc453706913"/>
      <w:bookmarkStart w:id="2807" w:name="_Toc455651508"/>
      <w:bookmarkStart w:id="2808" w:name="_Toc455495143"/>
      <w:bookmarkStart w:id="2809" w:name="_Toc455650522"/>
      <w:bookmarkStart w:id="2810" w:name="_Toc455648590"/>
      <w:r>
        <w:rPr>
          <w:rFonts w:hint="eastAsia" w:ascii="宋体" w:hAnsi="宋体" w:eastAsia="宋体"/>
          <w:szCs w:val="21"/>
        </w:rPr>
        <w:t>(4)各桩基质量检查记录和质量事故处理报告；</w:t>
      </w:r>
      <w:bookmarkEnd w:id="2804"/>
      <w:bookmarkEnd w:id="2805"/>
      <w:bookmarkEnd w:id="2806"/>
      <w:bookmarkEnd w:id="2807"/>
      <w:bookmarkEnd w:id="2808"/>
      <w:bookmarkEnd w:id="2809"/>
      <w:bookmarkEnd w:id="2810"/>
    </w:p>
    <w:p w14:paraId="4D5A1659">
      <w:pPr>
        <w:snapToGrid w:val="0"/>
        <w:spacing w:line="300" w:lineRule="auto"/>
        <w:ind w:firstLine="420" w:firstLineChars="200"/>
        <w:rPr>
          <w:rFonts w:ascii="宋体" w:hAnsi="宋体" w:eastAsia="宋体"/>
          <w:szCs w:val="21"/>
        </w:rPr>
      </w:pPr>
      <w:bookmarkStart w:id="2811" w:name="_Toc455651509"/>
      <w:bookmarkStart w:id="2812" w:name="_Toc455650523"/>
      <w:bookmarkStart w:id="2813" w:name="_Toc453706914"/>
      <w:bookmarkStart w:id="2814" w:name="_Toc455495144"/>
      <w:bookmarkStart w:id="2815" w:name="_Toc453707396"/>
      <w:bookmarkStart w:id="2816" w:name="_Toc455652528"/>
      <w:bookmarkStart w:id="2817" w:name="_Toc455648591"/>
      <w:r>
        <w:rPr>
          <w:rFonts w:hint="eastAsia" w:ascii="宋体" w:hAnsi="宋体" w:eastAsia="宋体"/>
          <w:szCs w:val="21"/>
        </w:rPr>
        <w:t>(5)监理人要求提交的其它完工资料。</w:t>
      </w:r>
      <w:bookmarkEnd w:id="2811"/>
      <w:bookmarkEnd w:id="2812"/>
      <w:bookmarkEnd w:id="2813"/>
      <w:bookmarkEnd w:id="2814"/>
      <w:bookmarkEnd w:id="2815"/>
      <w:bookmarkEnd w:id="2816"/>
      <w:bookmarkEnd w:id="2817"/>
    </w:p>
    <w:p w14:paraId="24FED066">
      <w:pPr>
        <w:adjustRightInd w:val="0"/>
        <w:snapToGrid w:val="0"/>
        <w:spacing w:before="134" w:beforeLines="25" w:line="300" w:lineRule="auto"/>
        <w:outlineLvl w:val="1"/>
        <w:rPr>
          <w:rFonts w:ascii="宋体" w:hAnsi="宋体" w:eastAsia="宋体"/>
          <w:b/>
          <w:bCs/>
          <w:sz w:val="24"/>
          <w:szCs w:val="24"/>
        </w:rPr>
      </w:pPr>
      <w:bookmarkStart w:id="2818" w:name="第12章05"/>
      <w:bookmarkEnd w:id="2818"/>
      <w:bookmarkStart w:id="2819" w:name="_Toc455495145"/>
      <w:bookmarkStart w:id="2820" w:name="_Toc453706915"/>
      <w:bookmarkStart w:id="2821" w:name="_Toc455648592"/>
      <w:bookmarkStart w:id="2822" w:name="_Toc453707397"/>
      <w:bookmarkStart w:id="2823" w:name="_Toc455650524"/>
      <w:bookmarkStart w:id="2824" w:name="_Toc455651510"/>
      <w:bookmarkStart w:id="2825" w:name="_Toc455652529"/>
      <w:r>
        <w:rPr>
          <w:rFonts w:hint="eastAsia" w:ascii="宋体" w:hAnsi="宋体" w:eastAsia="宋体"/>
          <w:b/>
          <w:bCs/>
          <w:sz w:val="24"/>
          <w:szCs w:val="24"/>
        </w:rPr>
        <w:t>9.5 计量和支付</w:t>
      </w:r>
      <w:bookmarkEnd w:id="2819"/>
      <w:bookmarkEnd w:id="2820"/>
      <w:bookmarkEnd w:id="2821"/>
      <w:bookmarkEnd w:id="2822"/>
      <w:bookmarkEnd w:id="2823"/>
      <w:bookmarkEnd w:id="2824"/>
      <w:bookmarkEnd w:id="2825"/>
    </w:p>
    <w:p w14:paraId="4D41E830">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9.5.1 振冲地基</w:t>
      </w:r>
    </w:p>
    <w:p w14:paraId="52D0BD2E">
      <w:pPr>
        <w:snapToGrid w:val="0"/>
        <w:spacing w:line="300" w:lineRule="auto"/>
        <w:ind w:firstLine="420" w:firstLineChars="200"/>
        <w:rPr>
          <w:rFonts w:ascii="宋体" w:hAnsi="宋体" w:eastAsia="宋体"/>
          <w:szCs w:val="21"/>
        </w:rPr>
      </w:pPr>
      <w:bookmarkStart w:id="2826" w:name="_Toc455650525"/>
      <w:bookmarkStart w:id="2827" w:name="_Toc453706916"/>
      <w:bookmarkStart w:id="2828" w:name="_Toc455651511"/>
      <w:bookmarkStart w:id="2829" w:name="_Toc455648593"/>
      <w:bookmarkStart w:id="2830" w:name="_Toc453707398"/>
      <w:bookmarkStart w:id="2831" w:name="_Toc455495146"/>
      <w:bookmarkStart w:id="2832" w:name="_Toc455652530"/>
      <w:r>
        <w:rPr>
          <w:rFonts w:hint="eastAsia" w:ascii="宋体" w:hAnsi="宋体" w:eastAsia="宋体"/>
          <w:szCs w:val="21"/>
        </w:rPr>
        <w:t>(1)振冲加密或振冲置换成桩按施工图纸所示尺寸计算的有效长度以米为单位计量，由发包人按《工程量清单》相应项目有效工程量的每米工程单价支付。</w:t>
      </w:r>
      <w:bookmarkEnd w:id="2826"/>
      <w:bookmarkEnd w:id="2827"/>
      <w:bookmarkEnd w:id="2828"/>
      <w:bookmarkEnd w:id="2829"/>
      <w:bookmarkEnd w:id="2830"/>
      <w:bookmarkEnd w:id="2831"/>
      <w:bookmarkEnd w:id="2832"/>
    </w:p>
    <w:p w14:paraId="42874FDD">
      <w:pPr>
        <w:snapToGrid w:val="0"/>
        <w:spacing w:line="300" w:lineRule="auto"/>
        <w:ind w:firstLine="420" w:firstLineChars="200"/>
        <w:rPr>
          <w:rFonts w:ascii="宋体" w:hAnsi="宋体" w:eastAsia="宋体"/>
          <w:szCs w:val="21"/>
        </w:rPr>
      </w:pPr>
      <w:bookmarkStart w:id="2833" w:name="_Toc455652531"/>
      <w:bookmarkStart w:id="2834" w:name="_Toc453707399"/>
      <w:bookmarkStart w:id="2835" w:name="_Toc455495147"/>
      <w:bookmarkStart w:id="2836" w:name="_Toc455650526"/>
      <w:bookmarkStart w:id="2837" w:name="_Toc455651512"/>
      <w:bookmarkStart w:id="2838" w:name="_Toc455648594"/>
      <w:bookmarkStart w:id="2839" w:name="_Toc453706917"/>
      <w:r>
        <w:rPr>
          <w:rFonts w:hint="eastAsia" w:ascii="宋体" w:hAnsi="宋体" w:eastAsia="宋体"/>
          <w:szCs w:val="21"/>
        </w:rPr>
        <w:t>(2)除合同另有约定外，承包人按合同要求完成振冲试验、振冲桩体密实度和承载力检验等工作所需的费用，包含在《工程量清单》相应项目有效工程量的每米工程单价中，发包人不另行支付。</w:t>
      </w:r>
      <w:bookmarkEnd w:id="2833"/>
      <w:bookmarkEnd w:id="2834"/>
      <w:bookmarkEnd w:id="2835"/>
      <w:bookmarkEnd w:id="2836"/>
      <w:bookmarkEnd w:id="2837"/>
      <w:bookmarkEnd w:id="2838"/>
      <w:bookmarkEnd w:id="2839"/>
    </w:p>
    <w:p w14:paraId="15F8968C">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9.5.2混凝土灌注桩基础</w:t>
      </w:r>
    </w:p>
    <w:p w14:paraId="37334D45">
      <w:pPr>
        <w:snapToGrid w:val="0"/>
        <w:spacing w:line="300" w:lineRule="auto"/>
        <w:ind w:firstLine="420" w:firstLineChars="200"/>
        <w:rPr>
          <w:rFonts w:ascii="宋体" w:hAnsi="宋体" w:eastAsia="宋体"/>
          <w:szCs w:val="21"/>
        </w:rPr>
      </w:pPr>
      <w:bookmarkStart w:id="2840" w:name="_Toc455652532"/>
      <w:bookmarkStart w:id="2841" w:name="_Toc455650527"/>
      <w:bookmarkStart w:id="2842" w:name="_Toc455648595"/>
      <w:bookmarkStart w:id="2843" w:name="_Toc453707400"/>
      <w:bookmarkStart w:id="2844" w:name="_Toc455495148"/>
      <w:bookmarkStart w:id="2845" w:name="_Toc453706918"/>
      <w:bookmarkStart w:id="2846" w:name="_Toc455651513"/>
      <w:r>
        <w:rPr>
          <w:rFonts w:hint="eastAsia" w:ascii="宋体" w:hAnsi="宋体" w:eastAsia="宋体"/>
          <w:szCs w:val="21"/>
        </w:rPr>
        <w:t>(1)钻孔灌注桩或者沉管灌注桩按施工图纸所示尺寸计算的桩体有效体积以立方米为单位计量，由发包人按《工程量清单》相应项目有效工程量的每立方米工程单价支付。</w:t>
      </w:r>
      <w:bookmarkEnd w:id="2840"/>
      <w:bookmarkEnd w:id="2841"/>
      <w:bookmarkEnd w:id="2842"/>
      <w:bookmarkEnd w:id="2843"/>
      <w:bookmarkEnd w:id="2844"/>
      <w:bookmarkEnd w:id="2845"/>
      <w:bookmarkEnd w:id="2846"/>
    </w:p>
    <w:p w14:paraId="654E0F5A">
      <w:pPr>
        <w:snapToGrid w:val="0"/>
        <w:spacing w:line="300" w:lineRule="auto"/>
        <w:ind w:firstLine="420" w:firstLineChars="200"/>
        <w:rPr>
          <w:rFonts w:ascii="宋体" w:hAnsi="宋体" w:eastAsia="宋体"/>
          <w:szCs w:val="21"/>
        </w:rPr>
      </w:pPr>
      <w:bookmarkStart w:id="2847" w:name="_Toc453707401"/>
      <w:bookmarkStart w:id="2848" w:name="_Toc455648596"/>
      <w:bookmarkStart w:id="2849" w:name="_Toc455495149"/>
      <w:bookmarkStart w:id="2850" w:name="_Toc455651514"/>
      <w:bookmarkStart w:id="2851" w:name="_Toc453706919"/>
      <w:bookmarkStart w:id="2852" w:name="_Toc455652533"/>
      <w:bookmarkStart w:id="2853" w:name="_Toc455650528"/>
      <w:r>
        <w:rPr>
          <w:rFonts w:hint="eastAsia" w:ascii="宋体" w:hAnsi="宋体" w:eastAsia="宋体"/>
          <w:szCs w:val="21"/>
        </w:rPr>
        <w:t>(2)除合同另有约定外，承包人按合同要求完成灌注桩成孔成桩试验、成桩承载力检验、校验施工参数和工艺、埋设孔口装置、造孔、清孔、护壁以及混凝土拌和、运输和灌注等工作所需的费用，包含在《工程量清单》相应灌注桩项目有效工程量的每立方米工程单价中，发包人不另行支付。</w:t>
      </w:r>
      <w:bookmarkEnd w:id="2847"/>
      <w:bookmarkEnd w:id="2848"/>
      <w:bookmarkEnd w:id="2849"/>
      <w:bookmarkEnd w:id="2850"/>
      <w:bookmarkEnd w:id="2851"/>
      <w:bookmarkEnd w:id="2852"/>
      <w:bookmarkEnd w:id="2853"/>
    </w:p>
    <w:p w14:paraId="5400BEA3">
      <w:pPr>
        <w:snapToGrid w:val="0"/>
        <w:spacing w:line="300" w:lineRule="auto"/>
        <w:ind w:firstLine="420" w:firstLineChars="200"/>
        <w:rPr>
          <w:rFonts w:ascii="宋体" w:hAnsi="宋体" w:eastAsia="宋体"/>
          <w:szCs w:val="21"/>
        </w:rPr>
      </w:pPr>
      <w:bookmarkStart w:id="2854" w:name="_Toc453706920"/>
      <w:bookmarkStart w:id="2855" w:name="_Toc455495150"/>
      <w:bookmarkStart w:id="2856" w:name="_Toc453707402"/>
      <w:bookmarkStart w:id="2857" w:name="_Toc455652534"/>
      <w:bookmarkStart w:id="2858" w:name="_Toc455651515"/>
      <w:bookmarkStart w:id="2859" w:name="_Toc455648597"/>
      <w:bookmarkStart w:id="2860" w:name="_Toc455650529"/>
      <w:r>
        <w:rPr>
          <w:rFonts w:hint="eastAsia" w:ascii="宋体" w:hAnsi="宋体" w:eastAsia="宋体"/>
          <w:szCs w:val="21"/>
        </w:rPr>
        <w:t>(3)灌注桩的钢筋按施工图纸所示钢筋强度等级、直径和长度计算的有效重量以吨为单位计量，由发包人按《工程量清单》相应项目有效工程量的每吨工程单价支付。</w:t>
      </w:r>
      <w:bookmarkEnd w:id="2854"/>
      <w:bookmarkEnd w:id="2855"/>
      <w:bookmarkEnd w:id="2856"/>
      <w:bookmarkEnd w:id="2857"/>
      <w:bookmarkEnd w:id="2858"/>
      <w:bookmarkEnd w:id="2859"/>
      <w:bookmarkEnd w:id="2860"/>
    </w:p>
    <w:p w14:paraId="4AC40DCE">
      <w:pPr>
        <w:snapToGrid w:val="0"/>
        <w:spacing w:before="134" w:beforeLines="25" w:line="300" w:lineRule="auto"/>
        <w:ind w:firstLine="210" w:firstLineChars="100"/>
        <w:outlineLvl w:val="2"/>
        <w:rPr>
          <w:rFonts w:ascii="宋体" w:hAnsi="宋体" w:eastAsia="宋体"/>
          <w:b/>
          <w:bCs/>
          <w:szCs w:val="21"/>
        </w:rPr>
      </w:pPr>
      <w:r>
        <w:rPr>
          <w:rFonts w:hint="eastAsia" w:ascii="宋体" w:hAnsi="宋体" w:eastAsia="宋体"/>
          <w:b/>
          <w:bCs/>
          <w:szCs w:val="21"/>
        </w:rPr>
        <w:t>9.5.3 沉井</w:t>
      </w:r>
    </w:p>
    <w:p w14:paraId="4AC36A8E">
      <w:pPr>
        <w:snapToGrid w:val="0"/>
        <w:spacing w:line="300" w:lineRule="auto"/>
        <w:ind w:firstLine="420" w:firstLineChars="200"/>
        <w:rPr>
          <w:rFonts w:ascii="宋体" w:hAnsi="宋体" w:eastAsia="宋体"/>
          <w:szCs w:val="21"/>
        </w:rPr>
      </w:pPr>
      <w:bookmarkStart w:id="2861" w:name="_Toc455650530"/>
      <w:bookmarkStart w:id="2862" w:name="_Toc455648598"/>
      <w:bookmarkStart w:id="2863" w:name="_Toc453706921"/>
      <w:bookmarkStart w:id="2864" w:name="_Toc453707403"/>
      <w:bookmarkStart w:id="2865" w:name="_Toc455495151"/>
      <w:bookmarkStart w:id="2866" w:name="_Toc455651516"/>
      <w:bookmarkStart w:id="2867" w:name="_Toc455652535"/>
      <w:r>
        <w:rPr>
          <w:rFonts w:hint="eastAsia" w:ascii="宋体" w:hAnsi="宋体" w:eastAsia="宋体"/>
          <w:szCs w:val="21"/>
        </w:rPr>
        <w:t>(1)沉井(包括钢筋混凝土沉井和钢沉井)按施工图纸所示尺寸计算的水面(或地面)以下的有效空间体积以立方米为单位计量，由发包人按《工程量清单》相应项目有效工程量的每立方米工程单价支付。</w:t>
      </w:r>
      <w:bookmarkEnd w:id="2861"/>
      <w:bookmarkEnd w:id="2862"/>
      <w:bookmarkEnd w:id="2863"/>
      <w:bookmarkEnd w:id="2864"/>
      <w:bookmarkEnd w:id="2865"/>
      <w:bookmarkEnd w:id="2866"/>
      <w:bookmarkEnd w:id="2867"/>
    </w:p>
    <w:p w14:paraId="06A1FE9E">
      <w:pPr>
        <w:snapToGrid w:val="0"/>
        <w:spacing w:line="300" w:lineRule="auto"/>
        <w:ind w:firstLine="420" w:firstLineChars="200"/>
        <w:rPr>
          <w:rFonts w:ascii="宋体" w:hAnsi="宋体" w:eastAsia="宋体"/>
          <w:szCs w:val="21"/>
        </w:rPr>
      </w:pPr>
      <w:bookmarkStart w:id="2868" w:name="_Toc455651517"/>
      <w:bookmarkStart w:id="2869" w:name="_Toc455648599"/>
      <w:bookmarkStart w:id="2870" w:name="_Toc453706922"/>
      <w:bookmarkStart w:id="2871" w:name="_Toc455652536"/>
      <w:bookmarkStart w:id="2872" w:name="_Toc455495152"/>
      <w:bookmarkStart w:id="2873" w:name="_Toc455650531"/>
      <w:bookmarkStart w:id="2874" w:name="_Toc453707404"/>
      <w:r>
        <w:rPr>
          <w:rFonts w:hint="eastAsia" w:ascii="宋体" w:hAnsi="宋体" w:eastAsia="宋体"/>
          <w:szCs w:val="21"/>
        </w:rPr>
        <w:t>(2)除合同另有约定外，承包人按合同要求完成地质复勘、检验试验、沉井制作、运输、清基或水中筑岛、沉放、封底等工作和操作损耗等所需的费用，包含在《工程量清单》</w:t>
      </w:r>
      <w:bookmarkStart w:id="2875" w:name="_Hlt268594630"/>
      <w:bookmarkEnd w:id="2875"/>
      <w:bookmarkStart w:id="2876" w:name="_Hlt268594761"/>
      <w:bookmarkEnd w:id="2876"/>
      <w:r>
        <w:rPr>
          <w:rFonts w:hint="eastAsia" w:ascii="宋体" w:hAnsi="宋体" w:eastAsia="宋体"/>
          <w:szCs w:val="21"/>
        </w:rPr>
        <w:t>相应项目有效工程量的每立方米工程单价中，发包人不另行支付。</w:t>
      </w:r>
      <w:bookmarkEnd w:id="2868"/>
      <w:bookmarkEnd w:id="2869"/>
      <w:bookmarkEnd w:id="2870"/>
      <w:bookmarkEnd w:id="2871"/>
      <w:bookmarkEnd w:id="2872"/>
      <w:bookmarkEnd w:id="2873"/>
      <w:bookmarkEnd w:id="2874"/>
    </w:p>
    <w:p w14:paraId="2A16C918">
      <w:pPr>
        <w:snapToGrid w:val="0"/>
        <w:spacing w:line="300" w:lineRule="auto"/>
        <w:ind w:firstLine="420" w:firstLineChars="200"/>
        <w:rPr>
          <w:rFonts w:ascii="宋体" w:hAnsi="宋体" w:eastAsia="宋体"/>
          <w:szCs w:val="21"/>
        </w:rPr>
        <w:sectPr>
          <w:pgSz w:w="11907" w:h="16840"/>
          <w:pgMar w:top="1418" w:right="1418" w:bottom="1418" w:left="1418" w:header="851" w:footer="851" w:gutter="0"/>
          <w:cols w:space="720" w:num="1"/>
          <w:docGrid w:type="linesAndChars" w:linePitch="537" w:charSpace="0"/>
        </w:sectPr>
      </w:pPr>
    </w:p>
    <w:p w14:paraId="3FB97855">
      <w:pPr>
        <w:pStyle w:val="3"/>
        <w:keepNext w:val="0"/>
        <w:keepLines w:val="0"/>
        <w:spacing w:before="312" w:beforeLines="100" w:after="312" w:afterLines="100" w:line="480" w:lineRule="auto"/>
        <w:jc w:val="center"/>
        <w:rPr>
          <w:rFonts w:ascii="宋体" w:hAnsi="宋体" w:eastAsia="宋体" w:cs="宋体"/>
          <w:sz w:val="28"/>
          <w:szCs w:val="28"/>
        </w:rPr>
      </w:pPr>
      <w:r>
        <w:rPr>
          <w:rFonts w:hint="eastAsia" w:ascii="宋体" w:hAnsi="宋体" w:eastAsia="宋体" w:cs="宋体"/>
          <w:sz w:val="28"/>
          <w:szCs w:val="28"/>
        </w:rPr>
        <w:t>第1</w:t>
      </w:r>
      <w:r>
        <w:rPr>
          <w:rFonts w:ascii="宋体" w:hAnsi="宋体" w:eastAsia="宋体" w:cs="宋体"/>
          <w:sz w:val="28"/>
          <w:szCs w:val="28"/>
        </w:rPr>
        <w:t>0</w:t>
      </w:r>
      <w:r>
        <w:rPr>
          <w:rFonts w:hint="eastAsia" w:ascii="宋体" w:hAnsi="宋体" w:eastAsia="宋体" w:cs="宋体"/>
          <w:sz w:val="28"/>
          <w:szCs w:val="28"/>
        </w:rPr>
        <w:t>节 其他说明</w:t>
      </w:r>
    </w:p>
    <w:p w14:paraId="2818EFEC">
      <w:pPr>
        <w:adjustRightInd w:val="0"/>
        <w:snapToGrid w:val="0"/>
        <w:spacing w:before="78" w:beforeLines="25" w:line="300" w:lineRule="auto"/>
        <w:outlineLvl w:val="1"/>
        <w:rPr>
          <w:rFonts w:ascii="宋体" w:hAnsi="宋体" w:eastAsia="宋体"/>
          <w:b/>
          <w:bCs/>
          <w:sz w:val="24"/>
          <w:szCs w:val="24"/>
        </w:rPr>
      </w:pPr>
      <w:r>
        <w:rPr>
          <w:rFonts w:hint="eastAsia" w:ascii="宋体" w:hAnsi="宋体" w:eastAsia="宋体"/>
          <w:b/>
          <w:bCs/>
          <w:sz w:val="24"/>
          <w:szCs w:val="24"/>
        </w:rPr>
        <w:t>1</w:t>
      </w:r>
      <w:r>
        <w:rPr>
          <w:rFonts w:ascii="宋体" w:hAnsi="宋体" w:eastAsia="宋体"/>
          <w:b/>
          <w:bCs/>
          <w:sz w:val="24"/>
          <w:szCs w:val="24"/>
        </w:rPr>
        <w:t>0</w:t>
      </w:r>
      <w:r>
        <w:rPr>
          <w:rFonts w:hint="eastAsia" w:ascii="宋体" w:hAnsi="宋体" w:eastAsia="宋体"/>
          <w:b/>
          <w:bCs/>
          <w:sz w:val="24"/>
          <w:szCs w:val="24"/>
        </w:rPr>
        <w:t>.1 投标人采购产品（材料设备）要求</w:t>
      </w:r>
    </w:p>
    <w:p w14:paraId="10D27E52">
      <w:pPr>
        <w:snapToGrid w:val="0"/>
        <w:spacing w:line="300" w:lineRule="auto"/>
        <w:ind w:firstLine="420" w:firstLineChars="200"/>
        <w:rPr>
          <w:rFonts w:ascii="宋体" w:hAnsi="宋体" w:eastAsia="宋体"/>
          <w:szCs w:val="21"/>
        </w:rPr>
      </w:pPr>
      <w:r>
        <w:rPr>
          <w:rFonts w:hint="eastAsia" w:ascii="宋体" w:hAnsi="宋体" w:eastAsia="宋体"/>
          <w:szCs w:val="21"/>
        </w:rPr>
        <w:t>1、投标人自行采购的重要设备等必须承诺提供厂商原装、全新的、符合国家及用户提出的有关质量标准的、保证运行性能良好的设备。必须提供详细应用技术参数，并以附件形式提供技术检验机构（省级或省级以上）检测报告、产品说明书、市场应用分析表（或业绩表）和质量保证承诺书等。且所采购的设备厂家在同行业中口碑良好，所采购的设备为同类产品中的一流产品，且在采购前须先征求业主的意见或采购时邀请业主及监理三方协同前往。</w:t>
      </w:r>
    </w:p>
    <w:p w14:paraId="79F1FD09">
      <w:pPr>
        <w:snapToGrid w:val="0"/>
        <w:spacing w:line="300" w:lineRule="auto"/>
        <w:ind w:firstLine="420" w:firstLineChars="200"/>
        <w:rPr>
          <w:rFonts w:ascii="宋体" w:hAnsi="宋体" w:eastAsia="宋体"/>
          <w:szCs w:val="21"/>
        </w:rPr>
      </w:pPr>
      <w:r>
        <w:rPr>
          <w:rFonts w:hint="eastAsia" w:ascii="宋体" w:hAnsi="宋体" w:eastAsia="宋体"/>
          <w:szCs w:val="21"/>
        </w:rPr>
        <w:t>2、投标人自行采购安装的重要设备应在投标文件中作出对招标人后期维护人员培养计划，并承诺对招标人指派的技术人员进行悉心培养和精诚合作，保证在项目完成时招标人指派的技术人员可实现对本项目中完成的系统实现维护工作。</w:t>
      </w:r>
    </w:p>
    <w:p w14:paraId="73028D24">
      <w:pPr>
        <w:snapToGrid w:val="0"/>
        <w:spacing w:line="300" w:lineRule="auto"/>
        <w:ind w:firstLine="420" w:firstLineChars="200"/>
        <w:rPr>
          <w:rFonts w:ascii="宋体" w:hAnsi="宋体" w:eastAsia="宋体"/>
          <w:szCs w:val="21"/>
        </w:rPr>
      </w:pPr>
      <w:r>
        <w:rPr>
          <w:rFonts w:hint="eastAsia" w:ascii="宋体" w:hAnsi="宋体" w:eastAsia="宋体"/>
          <w:szCs w:val="21"/>
        </w:rPr>
        <w:t>3、投标人应在投标文件中对其采购安装的重要设备保修年限做出承诺，并制定相应维保计划说明如何在保修期内为招标人提供技术支持并在出现故障时最短时间内解决问题（售后服务应为投标人所采购设备的生产单位或销售单位本身的售后服务政策或对业主单位做出相应承诺，质保年限最少为一年，终身维护）。</w:t>
      </w:r>
    </w:p>
    <w:p w14:paraId="5B663B3C">
      <w:pPr>
        <w:snapToGrid w:val="0"/>
        <w:spacing w:line="300" w:lineRule="auto"/>
        <w:ind w:firstLine="420" w:firstLineChars="200"/>
        <w:rPr>
          <w:rFonts w:ascii="宋体" w:hAnsi="宋体" w:eastAsia="宋体"/>
          <w:szCs w:val="21"/>
        </w:rPr>
      </w:pPr>
      <w:r>
        <w:rPr>
          <w:rFonts w:hint="eastAsia" w:ascii="宋体" w:hAnsi="宋体" w:eastAsia="宋体"/>
          <w:szCs w:val="21"/>
        </w:rPr>
        <w:t>4、设备（材料）的采购及安装：包括设备本体、所有相关器具、附件、装置性材料、连接线的的采购及安装、调试和试验（若需培训，报价中应考虑培训费用，若含有软件，报价中还应相应含有软件费用）等达到即定功能所必须的全部工作内容;（其相关的附件、材料及装置性材料应符合相关常规规定。</w:t>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_x000B__x000C_">
    <w:altName w:val="Times New Roman"/>
    <w:panose1 w:val="00000000000000000000"/>
    <w:charset w:val="00"/>
    <w:family w:val="swiss"/>
    <w:pitch w:val="default"/>
    <w:sig w:usb0="00000000" w:usb1="00000000" w:usb2="00000000" w:usb3="00000000" w:csb0="00000001" w:csb1="00000000"/>
  </w:font>
  <w:font w:name="DotumChe">
    <w:panose1 w:val="020B0609000101010101"/>
    <w:charset w:val="81"/>
    <w:family w:val="modern"/>
    <w:pitch w:val="default"/>
    <w:sig w:usb0="B00002AF" w:usb1="69D77CFB" w:usb2="00000030" w:usb3="00000000" w:csb0="4008009F" w:csb1="DFD70000"/>
  </w:font>
  <w:font w:name="Gulim">
    <w:panose1 w:val="020B0600000101010101"/>
    <w:charset w:val="81"/>
    <w:family w:val="swiss"/>
    <w:pitch w:val="default"/>
    <w:sig w:usb0="B00002AF" w:usb1="69D77CFB" w:usb2="00000030" w:usb3="00000000" w:csb0="4008009F" w:csb1="DFD70000"/>
  </w:font>
  <w:font w:name="Gungsuh">
    <w:panose1 w:val="02030600000101010101"/>
    <w:charset w:val="81"/>
    <w:family w:val="roman"/>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628A8A">
    <w:pPr>
      <w:pStyle w:val="2"/>
      <w:pBdr>
        <w:top w:val="single" w:color="auto" w:sz="4" w:space="1"/>
      </w:pBdr>
      <w:rPr>
        <w:rFonts w:ascii="黑体" w:hAnsi="黑体" w:eastAsia="黑体"/>
        <w:sz w:val="20"/>
        <w:szCs w:val="20"/>
      </w:rPr>
    </w:pPr>
    <w:r>
      <w:rPr>
        <w:sz w:val="20"/>
      </w:rPr>
      <w:pict>
        <v:shape id="文本框 3"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56EF80E5">
                <w:pPr>
                  <w:pStyle w:val="2"/>
                </w:pPr>
                <w:r>
                  <w:fldChar w:fldCharType="begin"/>
                </w:r>
                <w:r>
                  <w:instrText xml:space="preserve"> PAGE  \* MERGEFORMAT </w:instrText>
                </w:r>
                <w:r>
                  <w:fldChar w:fldCharType="separate"/>
                </w:r>
                <w:r>
                  <w:t>2</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4B72E">
    <w:pPr>
      <w:pStyle w:val="2"/>
      <w:rPr>
        <w:rFonts w:ascii="Gulim" w:hAnsi="Gungsuh" w:cs="Arial"/>
        <w:i/>
        <w:sz w:val="21"/>
        <w:u w:val="thick"/>
      </w:rPr>
    </w:pPr>
    <w:r>
      <w:rPr>
        <w:rFonts w:hint="eastAsia" w:ascii="宋体" w:hAnsi="宋体" w:cs="宋体"/>
        <w:i/>
        <w:sz w:val="21"/>
        <w:u w:val="thick"/>
      </w:rPr>
      <w:t>陕</w:t>
    </w:r>
    <w:r>
      <w:rPr>
        <w:rFonts w:hint="eastAsia" w:ascii="Gulim" w:hAnsi="Gulim" w:eastAsia="Gulim" w:cs="Gulim"/>
        <w:i/>
        <w:sz w:val="21"/>
        <w:u w:val="thick"/>
      </w:rPr>
      <w:t>西省交口抽渭管理局</w:t>
    </w:r>
    <w:r>
      <w:rPr>
        <w:rFonts w:hint="eastAsia" w:ascii="Gulim" w:hAnsi="Gungsuh" w:eastAsia="Gulim" w:cs="Arial"/>
        <w:i/>
        <w:sz w:val="21"/>
        <w:u w:val="thick"/>
      </w:rPr>
      <w:t xml:space="preserve">               渭南市西一路南段9</w:t>
    </w:r>
    <w:r>
      <w:rPr>
        <w:rFonts w:hint="eastAsia" w:ascii="宋体" w:hAnsi="宋体" w:cs="宋体"/>
        <w:i/>
        <w:sz w:val="21"/>
        <w:u w:val="thick"/>
      </w:rPr>
      <w:t>号</w:t>
    </w:r>
    <w:r>
      <w:rPr>
        <w:rFonts w:hint="eastAsia" w:ascii="Gulim" w:hAnsi="Gungsuh" w:eastAsia="Gulim" w:cs="Arial"/>
        <w:i/>
        <w:sz w:val="21"/>
        <w:u w:val="thick"/>
      </w:rPr>
      <w:t xml:space="preserve">                0913—</w:t>
    </w:r>
    <w:r>
      <w:rPr>
        <w:rFonts w:hint="eastAsia" w:ascii="Gulim" w:hAnsi="Gungsuh" w:cs="Arial"/>
        <w:i/>
        <w:sz w:val="21"/>
        <w:u w:val="thick"/>
      </w:rPr>
      <w:t>8151340</w:t>
    </w:r>
  </w:p>
  <w:p w14:paraId="37B2EE76">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51A8F">
    <w:pPr>
      <w:pStyle w:val="2"/>
      <w:pBdr>
        <w:top w:val="single" w:color="auto" w:sz="4" w:space="1"/>
      </w:pBdr>
      <w:rPr>
        <w:rFonts w:ascii="黑体" w:hAnsi="黑体" w:eastAsia="黑体"/>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101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10185" cy="131445"/>
                      </a:xfrm>
                      <a:prstGeom prst="rect">
                        <a:avLst/>
                      </a:prstGeom>
                      <a:noFill/>
                      <a:ln>
                        <a:noFill/>
                      </a:ln>
                    </wps:spPr>
                    <wps:txbx>
                      <w:txbxContent>
                        <w:p w14:paraId="37B165DE">
                          <w:pPr>
                            <w:pStyle w:val="2"/>
                          </w:pPr>
                          <w:r>
                            <w:fldChar w:fldCharType="begin"/>
                          </w:r>
                          <w:r>
                            <w:instrText xml:space="preserve"> PAGE  \* MERGEFORMAT </w:instrText>
                          </w:r>
                          <w:r>
                            <w:fldChar w:fldCharType="separate"/>
                          </w:r>
                          <w:r>
                            <w:t>61</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6.55pt;mso-position-horizontal:center;mso-position-horizontal-relative:margin;mso-wrap-style:none;z-index:251660288;mso-width-relative:page;mso-height-relative:page;" filled="f" stroked="f" coordsize="21600,21600" o:gfxdata="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xLgAgNEAAAADAQAADwAAAAAAAAABACAAAAAiAAAAZHJzL2Rv&#10;d25yZXYueG1sUEsBAhQAFAAAAAgAh07iQAqJ1VgIAgAAAgQAAA4AAAAAAAAAAQAgAAAAIAEAAGRy&#10;cy9lMm9Eb2MueG1sUEsFBgAAAAAGAAYAWQEAAJoFAAAAAA==&#10;">
              <v:fill on="f" focussize="0,0"/>
              <v:stroke on="f"/>
              <v:imagedata o:title=""/>
              <o:lock v:ext="edit" aspectratio="f"/>
              <v:textbox inset="0mm,0mm,0mm,0mm" style="mso-fit-shape-to-text:t;">
                <w:txbxContent>
                  <w:p w14:paraId="37B165DE">
                    <w:pPr>
                      <w:pStyle w:val="2"/>
                    </w:pPr>
                    <w:r>
                      <w:fldChar w:fldCharType="begin"/>
                    </w:r>
                    <w:r>
                      <w:instrText xml:space="preserve"> PAGE  \* MERGEFORMAT </w:instrText>
                    </w:r>
                    <w:r>
                      <w:fldChar w:fldCharType="separate"/>
                    </w:r>
                    <w:r>
                      <w:t>61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91F24">
    <w:pPr>
      <w:pStyle w:val="28"/>
    </w:pPr>
    <w:r>
      <w:rPr>
        <w:rFonts w:hint="eastAsia" w:ascii="DotumChe" w:hAnsi="DotumChe" w:eastAsia="Gulim" w:cs="Arial"/>
        <w:i/>
        <w:sz w:val="21"/>
        <w:u w:val="wave"/>
      </w:rPr>
      <w:t>交口灌</w:t>
    </w:r>
    <w:r>
      <w:rPr>
        <w:rFonts w:hint="eastAsia" w:ascii="宋体" w:hAnsi="宋体" w:cs="宋体"/>
        <w:i/>
        <w:sz w:val="21"/>
        <w:u w:val="wave"/>
      </w:rPr>
      <w:t>区</w:t>
    </w:r>
    <w:r>
      <w:rPr>
        <w:rFonts w:hint="eastAsia" w:ascii="DotumChe" w:hAnsi="DotumChe" w:cs="Arial"/>
        <w:i/>
        <w:sz w:val="21"/>
        <w:u w:val="wave"/>
      </w:rPr>
      <w:t>总干、南干、南三、总一支渠及信息化改造工程</w:t>
    </w:r>
    <w:r>
      <w:rPr>
        <w:rFonts w:hint="eastAsia" w:ascii="DotumChe" w:hAnsi="DotumChe" w:eastAsia="Gulim" w:cs="Arial"/>
        <w:i/>
        <w:sz w:val="21"/>
        <w:u w:val="wave"/>
      </w:rPr>
      <w:t xml:space="preserve">         </w:t>
    </w:r>
    <w:r>
      <w:rPr>
        <w:rFonts w:hint="eastAsia" w:ascii="DotumChe" w:hAnsi="DotumChe" w:cs="Arial"/>
        <w:i/>
        <w:sz w:val="21"/>
        <w:u w:val="wave"/>
      </w:rPr>
      <w:t xml:space="preserve">         </w:t>
    </w:r>
    <w:r>
      <w:rPr>
        <w:rFonts w:hint="eastAsia" w:ascii="DotumChe" w:hAnsi="DotumChe" w:eastAsia="Gulim" w:cs="Arial"/>
        <w:i/>
        <w:sz w:val="21"/>
        <w:u w:val="wave"/>
      </w:rPr>
      <w:t xml:space="preserve">          招</w:t>
    </w:r>
    <w:r>
      <w:rPr>
        <w:rFonts w:hint="eastAsia" w:ascii="宋体" w:hAnsi="宋体" w:cs="宋体"/>
        <w:i/>
        <w:sz w:val="21"/>
        <w:u w:val="wave"/>
      </w:rPr>
      <w:t>标</w:t>
    </w:r>
    <w:r>
      <w:rPr>
        <w:rFonts w:hint="eastAsia" w:ascii="Gulim" w:hAnsi="Gulim" w:eastAsia="Gulim" w:cs="Gulim"/>
        <w:i/>
        <w:sz w:val="21"/>
        <w:u w:val="wave"/>
      </w:rPr>
      <w:t>文</w:t>
    </w:r>
    <w:r>
      <w:rPr>
        <w:rFonts w:hint="eastAsia" w:ascii="DotumChe" w:hAnsi="DotumChe" w:eastAsia="Gulim" w:cs="Arial"/>
        <w:i/>
        <w:sz w:val="21"/>
        <w:u w:val="wave"/>
      </w:rPr>
      <w:t>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904B3A"/>
    <w:multiLevelType w:val="singleLevel"/>
    <w:tmpl w:val="1F904B3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Y0OTdlNzIzZTlkOWQyZTFjMjMwNjI2ZTZmM2IyY2UifQ=="/>
  </w:docVars>
  <w:rsids>
    <w:rsidRoot w:val="00456019"/>
    <w:rsid w:val="000130B8"/>
    <w:rsid w:val="001C4840"/>
    <w:rsid w:val="0022412D"/>
    <w:rsid w:val="002262A8"/>
    <w:rsid w:val="00246A4B"/>
    <w:rsid w:val="00246AB9"/>
    <w:rsid w:val="00251A79"/>
    <w:rsid w:val="002A485F"/>
    <w:rsid w:val="002B215B"/>
    <w:rsid w:val="003D2505"/>
    <w:rsid w:val="00456019"/>
    <w:rsid w:val="004F210E"/>
    <w:rsid w:val="00511F07"/>
    <w:rsid w:val="00514713"/>
    <w:rsid w:val="005937DB"/>
    <w:rsid w:val="007B0541"/>
    <w:rsid w:val="007C48AA"/>
    <w:rsid w:val="008F7963"/>
    <w:rsid w:val="00A05150"/>
    <w:rsid w:val="00A52EE5"/>
    <w:rsid w:val="00AC250B"/>
    <w:rsid w:val="00C2366D"/>
    <w:rsid w:val="00C9147D"/>
    <w:rsid w:val="00CF6404"/>
    <w:rsid w:val="00D02887"/>
    <w:rsid w:val="00D52B69"/>
    <w:rsid w:val="00FE0489"/>
    <w:rsid w:val="03541CED"/>
    <w:rsid w:val="080C47F6"/>
    <w:rsid w:val="097F55EA"/>
    <w:rsid w:val="0996694B"/>
    <w:rsid w:val="0A4C64D2"/>
    <w:rsid w:val="0BA1541A"/>
    <w:rsid w:val="14422483"/>
    <w:rsid w:val="17937FF9"/>
    <w:rsid w:val="187F409E"/>
    <w:rsid w:val="1B5046D2"/>
    <w:rsid w:val="1C9222C8"/>
    <w:rsid w:val="1D785BBC"/>
    <w:rsid w:val="1E826190"/>
    <w:rsid w:val="20C7350E"/>
    <w:rsid w:val="241E5CD3"/>
    <w:rsid w:val="2A0434AB"/>
    <w:rsid w:val="2A201E83"/>
    <w:rsid w:val="32E10397"/>
    <w:rsid w:val="36301896"/>
    <w:rsid w:val="36D8007D"/>
    <w:rsid w:val="37045BE3"/>
    <w:rsid w:val="383F44BC"/>
    <w:rsid w:val="3B4B7C90"/>
    <w:rsid w:val="422448AE"/>
    <w:rsid w:val="449B608B"/>
    <w:rsid w:val="47394A4E"/>
    <w:rsid w:val="48465639"/>
    <w:rsid w:val="57D57F87"/>
    <w:rsid w:val="5A6E702B"/>
    <w:rsid w:val="5EA91902"/>
    <w:rsid w:val="5F3029DF"/>
    <w:rsid w:val="621A5012"/>
    <w:rsid w:val="638745F6"/>
    <w:rsid w:val="651A66B1"/>
    <w:rsid w:val="65E6594A"/>
    <w:rsid w:val="6C9D2ADA"/>
    <w:rsid w:val="70AE78B8"/>
    <w:rsid w:val="730D38C6"/>
    <w:rsid w:val="76120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39" w:semiHidden="0" w:name="toc 3"/>
    <w:lsdException w:qFormat="1"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nhideWhenUsed="0" w:uiPriority="0" w:semiHidden="0" w:name="Normal Indent"/>
    <w:lsdException w:uiPriority="99" w:name="footnote text"/>
    <w:lsdException w:uiPriority="0"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qFormat="1"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99"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5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51"/>
    <w:qFormat/>
    <w:uiPriority w:val="0"/>
    <w:pPr>
      <w:keepNext/>
      <w:keepLines/>
      <w:adjustRightInd w:val="0"/>
      <w:spacing w:before="120" w:after="100" w:afterLines="100" w:line="360" w:lineRule="auto"/>
      <w:jc w:val="center"/>
      <w:textAlignment w:val="baseline"/>
      <w:outlineLvl w:val="1"/>
    </w:pPr>
    <w:rPr>
      <w:rFonts w:ascii="仿宋" w:hAnsi="仿宋" w:eastAsia="仿宋"/>
      <w:b/>
      <w:sz w:val="30"/>
    </w:rPr>
  </w:style>
  <w:style w:type="paragraph" w:styleId="5">
    <w:name w:val="heading 3"/>
    <w:basedOn w:val="1"/>
    <w:next w:val="1"/>
    <w:link w:val="54"/>
    <w:qFormat/>
    <w:uiPriority w:val="0"/>
    <w:pPr>
      <w:outlineLvl w:val="2"/>
    </w:pPr>
    <w:rPr>
      <w:rFonts w:ascii="Times New Roman" w:hAnsi="Times New Roman" w:eastAsia="仿宋_GB2312" w:cs="Times New Roman"/>
      <w:spacing w:val="20"/>
      <w:sz w:val="32"/>
      <w:szCs w:val="24"/>
    </w:rPr>
  </w:style>
  <w:style w:type="paragraph" w:styleId="6">
    <w:name w:val="heading 4"/>
    <w:basedOn w:val="1"/>
    <w:next w:val="1"/>
    <w:link w:val="56"/>
    <w:qFormat/>
    <w:uiPriority w:val="0"/>
    <w:pPr>
      <w:keepNext/>
      <w:keepLines/>
      <w:tabs>
        <w:tab w:val="left" w:pos="1290"/>
        <w:tab w:val="left" w:pos="1574"/>
      </w:tabs>
      <w:spacing w:before="280" w:after="290" w:line="376" w:lineRule="auto"/>
      <w:ind w:left="1574" w:hanging="864"/>
      <w:outlineLvl w:val="3"/>
    </w:pPr>
    <w:rPr>
      <w:rFonts w:ascii="宋体" w:hAnsi="宋体" w:eastAsia="宋体" w:cs="Times New Roman"/>
      <w:b/>
      <w:bCs/>
      <w:sz w:val="24"/>
      <w:szCs w:val="28"/>
    </w:rPr>
  </w:style>
  <w:style w:type="paragraph" w:styleId="7">
    <w:name w:val="heading 5"/>
    <w:basedOn w:val="1"/>
    <w:next w:val="1"/>
    <w:link w:val="57"/>
    <w:qFormat/>
    <w:uiPriority w:val="0"/>
    <w:pPr>
      <w:keepNext/>
      <w:keepLines/>
      <w:tabs>
        <w:tab w:val="left" w:pos="1008"/>
      </w:tabs>
      <w:spacing w:before="280" w:after="290" w:line="376" w:lineRule="auto"/>
      <w:ind w:left="1008" w:hanging="1008"/>
      <w:outlineLvl w:val="4"/>
    </w:pPr>
    <w:rPr>
      <w:rFonts w:ascii="Times New Roman" w:hAnsi="Times New Roman" w:eastAsia="宋体" w:cs="Times New Roman"/>
      <w:b/>
      <w:bCs/>
      <w:sz w:val="28"/>
      <w:szCs w:val="28"/>
    </w:rPr>
  </w:style>
  <w:style w:type="paragraph" w:styleId="8">
    <w:name w:val="heading 6"/>
    <w:basedOn w:val="1"/>
    <w:next w:val="1"/>
    <w:link w:val="58"/>
    <w:qFormat/>
    <w:uiPriority w:val="0"/>
    <w:pPr>
      <w:keepNext/>
      <w:keepLines/>
      <w:tabs>
        <w:tab w:val="left" w:pos="1152"/>
      </w:tabs>
      <w:spacing w:before="240" w:after="64" w:line="320" w:lineRule="auto"/>
      <w:ind w:left="1152" w:hanging="1152"/>
      <w:outlineLvl w:val="5"/>
    </w:pPr>
    <w:rPr>
      <w:rFonts w:ascii="Arial" w:hAnsi="Arial" w:eastAsia="黑体" w:cs="Times New Roman"/>
      <w:b/>
      <w:bCs/>
      <w:sz w:val="24"/>
      <w:szCs w:val="24"/>
    </w:rPr>
  </w:style>
  <w:style w:type="paragraph" w:styleId="9">
    <w:name w:val="heading 7"/>
    <w:basedOn w:val="1"/>
    <w:next w:val="1"/>
    <w:link w:val="59"/>
    <w:qFormat/>
    <w:uiPriority w:val="0"/>
    <w:pPr>
      <w:keepNext/>
      <w:keepLines/>
      <w:tabs>
        <w:tab w:val="left" w:pos="1296"/>
      </w:tabs>
      <w:spacing w:before="240" w:after="64" w:line="320" w:lineRule="auto"/>
      <w:ind w:left="1296" w:hanging="1296"/>
      <w:outlineLvl w:val="6"/>
    </w:pPr>
    <w:rPr>
      <w:rFonts w:ascii="Times New Roman" w:hAnsi="Times New Roman" w:eastAsia="宋体" w:cs="Times New Roman"/>
      <w:b/>
      <w:bCs/>
      <w:sz w:val="24"/>
      <w:szCs w:val="24"/>
    </w:rPr>
  </w:style>
  <w:style w:type="paragraph" w:styleId="10">
    <w:name w:val="heading 8"/>
    <w:basedOn w:val="1"/>
    <w:next w:val="1"/>
    <w:link w:val="60"/>
    <w:qFormat/>
    <w:uiPriority w:val="0"/>
    <w:pPr>
      <w:keepNext/>
      <w:keepLines/>
      <w:tabs>
        <w:tab w:val="left" w:pos="1440"/>
      </w:tabs>
      <w:spacing w:before="240" w:after="64" w:line="320" w:lineRule="auto"/>
      <w:ind w:left="1440" w:hanging="1440"/>
      <w:outlineLvl w:val="7"/>
    </w:pPr>
    <w:rPr>
      <w:rFonts w:ascii="Arial" w:hAnsi="Arial" w:eastAsia="黑体" w:cs="Times New Roman"/>
      <w:sz w:val="24"/>
      <w:szCs w:val="24"/>
    </w:rPr>
  </w:style>
  <w:style w:type="paragraph" w:styleId="11">
    <w:name w:val="heading 9"/>
    <w:basedOn w:val="1"/>
    <w:next w:val="1"/>
    <w:link w:val="61"/>
    <w:qFormat/>
    <w:uiPriority w:val="0"/>
    <w:pPr>
      <w:keepNext/>
      <w:keepLines/>
      <w:tabs>
        <w:tab w:val="left" w:pos="1584"/>
      </w:tabs>
      <w:spacing w:before="240" w:after="64" w:line="320" w:lineRule="auto"/>
      <w:ind w:left="1584" w:hanging="1584"/>
      <w:outlineLvl w:val="8"/>
    </w:pPr>
    <w:rPr>
      <w:rFonts w:ascii="Arial" w:hAnsi="Arial" w:eastAsia="黑体" w:cs="Times New Roman"/>
      <w:szCs w:val="21"/>
    </w:rPr>
  </w:style>
  <w:style w:type="character" w:default="1" w:styleId="44">
    <w:name w:val="Default Paragraph Font"/>
    <w:semiHidden/>
    <w:unhideWhenUsed/>
    <w:uiPriority w:val="1"/>
  </w:style>
  <w:style w:type="table" w:default="1" w:styleId="42">
    <w:name w:val="Normal Table"/>
    <w:semiHidden/>
    <w:unhideWhenUsed/>
    <w:uiPriority w:val="99"/>
    <w:tblPr>
      <w:tblCellMar>
        <w:top w:w="0" w:type="dxa"/>
        <w:left w:w="108" w:type="dxa"/>
        <w:bottom w:w="0" w:type="dxa"/>
        <w:right w:w="108" w:type="dxa"/>
      </w:tblCellMar>
    </w:tblPr>
  </w:style>
  <w:style w:type="paragraph" w:styleId="2">
    <w:name w:val="footer"/>
    <w:basedOn w:val="1"/>
    <w:link w:val="53"/>
    <w:unhideWhenUsed/>
    <w:qFormat/>
    <w:uiPriority w:val="99"/>
    <w:pPr>
      <w:tabs>
        <w:tab w:val="center" w:pos="4153"/>
        <w:tab w:val="right" w:pos="8306"/>
      </w:tabs>
      <w:snapToGrid w:val="0"/>
      <w:jc w:val="left"/>
    </w:pPr>
    <w:rPr>
      <w:sz w:val="18"/>
      <w:szCs w:val="18"/>
    </w:rPr>
  </w:style>
  <w:style w:type="paragraph" w:styleId="12">
    <w:name w:val="toc 7"/>
    <w:basedOn w:val="1"/>
    <w:next w:val="1"/>
    <w:unhideWhenUsed/>
    <w:uiPriority w:val="39"/>
    <w:pPr>
      <w:ind w:left="1920"/>
      <w:jc w:val="left"/>
    </w:pPr>
    <w:rPr>
      <w:rFonts w:ascii="Calibri" w:hAnsi="Calibri" w:eastAsia="仿宋_GB2312" w:cs="Times New Roman"/>
      <w:spacing w:val="20"/>
      <w:sz w:val="18"/>
      <w:szCs w:val="18"/>
    </w:rPr>
  </w:style>
  <w:style w:type="paragraph" w:styleId="13">
    <w:name w:val="Note Heading"/>
    <w:basedOn w:val="1"/>
    <w:next w:val="1"/>
    <w:link w:val="62"/>
    <w:uiPriority w:val="0"/>
    <w:pPr>
      <w:jc w:val="center"/>
    </w:pPr>
    <w:rPr>
      <w:rFonts w:ascii="Times New Roman" w:hAnsi="Times New Roman" w:eastAsia="宋体" w:cs="Times New Roman"/>
      <w:szCs w:val="20"/>
    </w:rPr>
  </w:style>
  <w:style w:type="paragraph" w:styleId="14">
    <w:name w:val="Normal Indent"/>
    <w:basedOn w:val="1"/>
    <w:uiPriority w:val="0"/>
    <w:pPr>
      <w:ind w:firstLine="420" w:firstLineChars="200"/>
    </w:pPr>
    <w:rPr>
      <w:rFonts w:ascii="Times New Roman" w:hAnsi="Times New Roman" w:eastAsia="宋体" w:cs="Times New Roman"/>
      <w:szCs w:val="24"/>
    </w:rPr>
  </w:style>
  <w:style w:type="paragraph" w:styleId="15">
    <w:name w:val="Document Map"/>
    <w:basedOn w:val="1"/>
    <w:link w:val="63"/>
    <w:uiPriority w:val="0"/>
    <w:pPr>
      <w:shd w:val="clear" w:color="auto" w:fill="000080"/>
    </w:pPr>
    <w:rPr>
      <w:rFonts w:ascii="Times New Roman" w:hAnsi="Times New Roman" w:eastAsia="宋体" w:cs="Times New Roman"/>
      <w:sz w:val="28"/>
      <w:szCs w:val="28"/>
    </w:rPr>
  </w:style>
  <w:style w:type="paragraph" w:styleId="16">
    <w:name w:val="annotation text"/>
    <w:basedOn w:val="1"/>
    <w:link w:val="64"/>
    <w:unhideWhenUsed/>
    <w:uiPriority w:val="0"/>
    <w:pPr>
      <w:jc w:val="left"/>
    </w:pPr>
    <w:rPr>
      <w:rFonts w:ascii="Times New Roman" w:hAnsi="Times New Roman" w:eastAsia="仿宋_GB2312" w:cs="Times New Roman"/>
      <w:spacing w:val="20"/>
      <w:sz w:val="32"/>
      <w:szCs w:val="24"/>
    </w:rPr>
  </w:style>
  <w:style w:type="paragraph" w:styleId="17">
    <w:name w:val="Body Text 3"/>
    <w:basedOn w:val="1"/>
    <w:link w:val="65"/>
    <w:qFormat/>
    <w:uiPriority w:val="0"/>
    <w:pPr>
      <w:spacing w:after="120"/>
    </w:pPr>
    <w:rPr>
      <w:rFonts w:ascii="Times New Roman" w:hAnsi="Times New Roman" w:eastAsia="仿宋_GB2312" w:cs="Times New Roman"/>
      <w:spacing w:val="20"/>
      <w:sz w:val="16"/>
      <w:szCs w:val="16"/>
    </w:rPr>
  </w:style>
  <w:style w:type="paragraph" w:styleId="18">
    <w:name w:val="Body Text"/>
    <w:basedOn w:val="1"/>
    <w:link w:val="66"/>
    <w:uiPriority w:val="0"/>
    <w:pPr>
      <w:spacing w:line="500" w:lineRule="exact"/>
    </w:pPr>
  </w:style>
  <w:style w:type="paragraph" w:styleId="19">
    <w:name w:val="Body Text Indent"/>
    <w:basedOn w:val="1"/>
    <w:link w:val="68"/>
    <w:qFormat/>
    <w:uiPriority w:val="0"/>
    <w:pPr>
      <w:ind w:firstLine="1004" w:firstLineChars="250"/>
    </w:pPr>
    <w:rPr>
      <w:rFonts w:ascii="Times New Roman" w:hAnsi="Times New Roman" w:eastAsia="仿宋_GB2312" w:cs="Times New Roman"/>
      <w:b/>
      <w:spacing w:val="20"/>
      <w:sz w:val="36"/>
      <w:szCs w:val="36"/>
    </w:rPr>
  </w:style>
  <w:style w:type="paragraph" w:styleId="20">
    <w:name w:val="Block Text"/>
    <w:basedOn w:val="1"/>
    <w:uiPriority w:val="0"/>
    <w:pPr>
      <w:spacing w:after="120"/>
      <w:ind w:left="1440" w:leftChars="700" w:right="1440" w:rightChars="700"/>
    </w:pPr>
    <w:rPr>
      <w:rFonts w:ascii="Times New Roman" w:hAnsi="Times New Roman" w:eastAsia="仿宋_GB2312" w:cs="Times New Roman"/>
      <w:spacing w:val="20"/>
      <w:sz w:val="32"/>
      <w:szCs w:val="24"/>
    </w:rPr>
  </w:style>
  <w:style w:type="paragraph" w:styleId="21">
    <w:name w:val="toc 5"/>
    <w:basedOn w:val="1"/>
    <w:next w:val="1"/>
    <w:unhideWhenUsed/>
    <w:uiPriority w:val="39"/>
    <w:pPr>
      <w:ind w:left="1280"/>
      <w:jc w:val="left"/>
    </w:pPr>
    <w:rPr>
      <w:rFonts w:ascii="Calibri" w:hAnsi="Calibri" w:eastAsia="仿宋_GB2312" w:cs="Times New Roman"/>
      <w:spacing w:val="20"/>
      <w:sz w:val="18"/>
      <w:szCs w:val="18"/>
    </w:rPr>
  </w:style>
  <w:style w:type="paragraph" w:styleId="22">
    <w:name w:val="toc 3"/>
    <w:basedOn w:val="1"/>
    <w:next w:val="1"/>
    <w:uiPriority w:val="39"/>
    <w:pPr>
      <w:ind w:left="640"/>
      <w:jc w:val="left"/>
    </w:pPr>
    <w:rPr>
      <w:rFonts w:ascii="Calibri" w:hAnsi="Calibri" w:eastAsia="仿宋_GB2312" w:cs="Times New Roman"/>
      <w:i/>
      <w:iCs/>
      <w:spacing w:val="20"/>
      <w:sz w:val="20"/>
      <w:szCs w:val="20"/>
    </w:rPr>
  </w:style>
  <w:style w:type="paragraph" w:styleId="23">
    <w:name w:val="Plain Text"/>
    <w:basedOn w:val="1"/>
    <w:link w:val="69"/>
    <w:uiPriority w:val="99"/>
    <w:rPr>
      <w:rFonts w:ascii="宋体" w:hAnsi="Courier New" w:eastAsia="宋体" w:cs="Times New Roman"/>
      <w:spacing w:val="20"/>
      <w:szCs w:val="21"/>
    </w:rPr>
  </w:style>
  <w:style w:type="paragraph" w:styleId="24">
    <w:name w:val="toc 8"/>
    <w:basedOn w:val="1"/>
    <w:next w:val="1"/>
    <w:unhideWhenUsed/>
    <w:uiPriority w:val="39"/>
    <w:pPr>
      <w:ind w:left="2240"/>
      <w:jc w:val="left"/>
    </w:pPr>
    <w:rPr>
      <w:rFonts w:ascii="Calibri" w:hAnsi="Calibri" w:eastAsia="仿宋_GB2312" w:cs="Times New Roman"/>
      <w:spacing w:val="20"/>
      <w:sz w:val="18"/>
      <w:szCs w:val="18"/>
    </w:rPr>
  </w:style>
  <w:style w:type="paragraph" w:styleId="25">
    <w:name w:val="Date"/>
    <w:basedOn w:val="1"/>
    <w:next w:val="1"/>
    <w:link w:val="70"/>
    <w:uiPriority w:val="0"/>
    <w:pPr>
      <w:ind w:left="100" w:leftChars="2500"/>
    </w:pPr>
    <w:rPr>
      <w:rFonts w:ascii="Times New Roman" w:hAnsi="Times New Roman" w:eastAsia="仿宋_GB2312" w:cs="Times New Roman"/>
      <w:spacing w:val="20"/>
      <w:sz w:val="32"/>
      <w:szCs w:val="24"/>
    </w:rPr>
  </w:style>
  <w:style w:type="paragraph" w:styleId="26">
    <w:name w:val="Body Text Indent 2"/>
    <w:basedOn w:val="1"/>
    <w:link w:val="71"/>
    <w:uiPriority w:val="0"/>
    <w:pPr>
      <w:spacing w:line="500" w:lineRule="exact"/>
      <w:jc w:val="center"/>
    </w:pPr>
    <w:rPr>
      <w:rFonts w:ascii="Times New Roman" w:hAnsi="Times New Roman" w:eastAsia="黑体" w:cs="Times New Roman"/>
      <w:sz w:val="44"/>
      <w:szCs w:val="24"/>
    </w:rPr>
  </w:style>
  <w:style w:type="paragraph" w:styleId="27">
    <w:name w:val="Balloon Text"/>
    <w:basedOn w:val="1"/>
    <w:link w:val="72"/>
    <w:uiPriority w:val="0"/>
    <w:rPr>
      <w:rFonts w:ascii="Times New Roman" w:hAnsi="Times New Roman" w:eastAsia="仿宋_GB2312" w:cs="Times New Roman"/>
      <w:spacing w:val="20"/>
      <w:sz w:val="18"/>
      <w:szCs w:val="18"/>
    </w:rPr>
  </w:style>
  <w:style w:type="paragraph" w:styleId="28">
    <w:name w:val="header"/>
    <w:basedOn w:val="1"/>
    <w:link w:val="52"/>
    <w:unhideWhenUsed/>
    <w:uiPriority w:val="99"/>
    <w:pPr>
      <w:pBdr>
        <w:bottom w:val="single" w:color="auto" w:sz="6" w:space="1"/>
      </w:pBdr>
      <w:tabs>
        <w:tab w:val="center" w:pos="4153"/>
        <w:tab w:val="right" w:pos="8306"/>
      </w:tabs>
      <w:snapToGrid w:val="0"/>
      <w:jc w:val="center"/>
    </w:pPr>
    <w:rPr>
      <w:sz w:val="18"/>
      <w:szCs w:val="18"/>
    </w:rPr>
  </w:style>
  <w:style w:type="paragraph" w:styleId="29">
    <w:name w:val="Signature"/>
    <w:basedOn w:val="1"/>
    <w:next w:val="1"/>
    <w:link w:val="73"/>
    <w:qFormat/>
    <w:uiPriority w:val="0"/>
    <w:pPr>
      <w:spacing w:line="300" w:lineRule="atLeast"/>
      <w:jc w:val="center"/>
    </w:pPr>
    <w:rPr>
      <w:rFonts w:ascii="Times New Roman" w:hAnsi="Times New Roman" w:eastAsia="宋体" w:cs="Times New Roman"/>
      <w:spacing w:val="4"/>
      <w:sz w:val="24"/>
      <w:szCs w:val="20"/>
    </w:rPr>
  </w:style>
  <w:style w:type="paragraph" w:styleId="30">
    <w:name w:val="toc 1"/>
    <w:basedOn w:val="1"/>
    <w:next w:val="1"/>
    <w:uiPriority w:val="39"/>
    <w:pPr>
      <w:spacing w:before="120" w:after="120"/>
      <w:jc w:val="left"/>
    </w:pPr>
    <w:rPr>
      <w:rFonts w:ascii="Calibri" w:hAnsi="Calibri" w:eastAsia="仿宋_GB2312" w:cs="Times New Roman"/>
      <w:b/>
      <w:bCs/>
      <w:caps/>
      <w:spacing w:val="20"/>
      <w:sz w:val="20"/>
      <w:szCs w:val="20"/>
    </w:rPr>
  </w:style>
  <w:style w:type="paragraph" w:styleId="31">
    <w:name w:val="toc 4"/>
    <w:basedOn w:val="1"/>
    <w:next w:val="1"/>
    <w:unhideWhenUsed/>
    <w:qFormat/>
    <w:uiPriority w:val="39"/>
    <w:pPr>
      <w:ind w:left="960"/>
      <w:jc w:val="left"/>
    </w:pPr>
    <w:rPr>
      <w:rFonts w:ascii="Calibri" w:hAnsi="Calibri" w:eastAsia="仿宋_GB2312" w:cs="Times New Roman"/>
      <w:spacing w:val="20"/>
      <w:sz w:val="18"/>
      <w:szCs w:val="18"/>
    </w:rPr>
  </w:style>
  <w:style w:type="paragraph" w:styleId="32">
    <w:name w:val="toc 6"/>
    <w:basedOn w:val="1"/>
    <w:next w:val="1"/>
    <w:unhideWhenUsed/>
    <w:uiPriority w:val="39"/>
    <w:pPr>
      <w:ind w:left="1600"/>
      <w:jc w:val="left"/>
    </w:pPr>
    <w:rPr>
      <w:rFonts w:ascii="Calibri" w:hAnsi="Calibri" w:eastAsia="仿宋_GB2312" w:cs="Times New Roman"/>
      <w:spacing w:val="20"/>
      <w:sz w:val="18"/>
      <w:szCs w:val="18"/>
    </w:rPr>
  </w:style>
  <w:style w:type="paragraph" w:styleId="33">
    <w:name w:val="Body Text Indent 3"/>
    <w:basedOn w:val="1"/>
    <w:link w:val="74"/>
    <w:uiPriority w:val="0"/>
    <w:pPr>
      <w:adjustRightInd w:val="0"/>
      <w:snapToGrid w:val="0"/>
      <w:spacing w:line="420" w:lineRule="exact"/>
      <w:ind w:firstLine="560" w:firstLineChars="200"/>
    </w:pPr>
    <w:rPr>
      <w:rFonts w:ascii="Times New Roman" w:hAnsi="Times New Roman" w:eastAsia="仿宋_GB2312" w:cs="Times New Roman"/>
      <w:sz w:val="28"/>
      <w:szCs w:val="24"/>
      <w:u w:val="single"/>
    </w:rPr>
  </w:style>
  <w:style w:type="paragraph" w:styleId="34">
    <w:name w:val="toc 2"/>
    <w:basedOn w:val="1"/>
    <w:next w:val="1"/>
    <w:uiPriority w:val="39"/>
    <w:pPr>
      <w:ind w:left="320"/>
      <w:jc w:val="left"/>
    </w:pPr>
    <w:rPr>
      <w:rFonts w:ascii="Calibri" w:hAnsi="Calibri" w:eastAsia="仿宋_GB2312" w:cs="Times New Roman"/>
      <w:smallCaps/>
      <w:spacing w:val="20"/>
      <w:sz w:val="20"/>
      <w:szCs w:val="20"/>
    </w:rPr>
  </w:style>
  <w:style w:type="paragraph" w:styleId="35">
    <w:name w:val="toc 9"/>
    <w:basedOn w:val="1"/>
    <w:next w:val="1"/>
    <w:unhideWhenUsed/>
    <w:uiPriority w:val="39"/>
    <w:pPr>
      <w:ind w:left="2560"/>
      <w:jc w:val="left"/>
    </w:pPr>
    <w:rPr>
      <w:rFonts w:ascii="Calibri" w:hAnsi="Calibri" w:eastAsia="仿宋_GB2312" w:cs="Times New Roman"/>
      <w:spacing w:val="20"/>
      <w:sz w:val="18"/>
      <w:szCs w:val="18"/>
    </w:rPr>
  </w:style>
  <w:style w:type="paragraph" w:styleId="36">
    <w:name w:val="Body Text 2"/>
    <w:basedOn w:val="1"/>
    <w:link w:val="75"/>
    <w:uiPriority w:val="0"/>
    <w:pPr>
      <w:spacing w:after="120" w:line="480" w:lineRule="auto"/>
    </w:pPr>
    <w:rPr>
      <w:rFonts w:ascii="Times New Roman" w:hAnsi="Times New Roman" w:eastAsia="宋体" w:cs="Times New Roman"/>
      <w:szCs w:val="24"/>
    </w:rPr>
  </w:style>
  <w:style w:type="paragraph" w:styleId="37">
    <w:name w:val="HTML Preformatted"/>
    <w:basedOn w:val="1"/>
    <w:link w:val="76"/>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70" w:lineRule="atLeast"/>
      <w:jc w:val="left"/>
    </w:pPr>
    <w:rPr>
      <w:rFonts w:ascii="Arial" w:hAnsi="Arial" w:eastAsia="宋体" w:cs="Times New Roman"/>
      <w:kern w:val="0"/>
      <w:sz w:val="11"/>
      <w:szCs w:val="11"/>
    </w:rPr>
  </w:style>
  <w:style w:type="paragraph" w:styleId="38">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paragraph" w:styleId="39">
    <w:name w:val="Title"/>
    <w:basedOn w:val="1"/>
    <w:link w:val="77"/>
    <w:qFormat/>
    <w:uiPriority w:val="0"/>
    <w:pPr>
      <w:spacing w:before="240" w:after="60"/>
      <w:jc w:val="center"/>
      <w:outlineLvl w:val="0"/>
    </w:pPr>
    <w:rPr>
      <w:rFonts w:ascii="Arial" w:hAnsi="Arial" w:eastAsia="宋体" w:cs="Times New Roman"/>
      <w:b/>
      <w:bCs/>
      <w:sz w:val="28"/>
      <w:szCs w:val="28"/>
    </w:rPr>
  </w:style>
  <w:style w:type="paragraph" w:styleId="40">
    <w:name w:val="annotation subject"/>
    <w:basedOn w:val="16"/>
    <w:next w:val="16"/>
    <w:link w:val="78"/>
    <w:unhideWhenUsed/>
    <w:qFormat/>
    <w:uiPriority w:val="99"/>
    <w:rPr>
      <w:b/>
      <w:bCs/>
    </w:rPr>
  </w:style>
  <w:style w:type="paragraph" w:styleId="41">
    <w:name w:val="Body Text First Indent 2"/>
    <w:basedOn w:val="19"/>
    <w:next w:val="18"/>
    <w:link w:val="79"/>
    <w:qFormat/>
    <w:uiPriority w:val="0"/>
    <w:pPr>
      <w:ind w:firstLine="420" w:firstLineChars="200"/>
    </w:pPr>
  </w:style>
  <w:style w:type="table" w:styleId="43">
    <w:name w:val="Table Grid"/>
    <w:basedOn w:val="4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qFormat/>
    <w:uiPriority w:val="0"/>
    <w:rPr>
      <w:color w:val="800080"/>
      <w:u w:val="single"/>
    </w:rPr>
  </w:style>
  <w:style w:type="character" w:styleId="48">
    <w:name w:val="Hyperlink"/>
    <w:qFormat/>
    <w:uiPriority w:val="99"/>
    <w:rPr>
      <w:rFonts w:ascii="Arial" w:hAnsi="Arial" w:eastAsia="黑体"/>
      <w:color w:val="0000FF"/>
      <w:kern w:val="2"/>
      <w:sz w:val="21"/>
      <w:szCs w:val="21"/>
      <w:u w:val="single"/>
      <w:lang w:val="en-US" w:eastAsia="zh-CN" w:bidi="ar-SA"/>
    </w:rPr>
  </w:style>
  <w:style w:type="character" w:styleId="49">
    <w:name w:val="annotation reference"/>
    <w:unhideWhenUsed/>
    <w:qFormat/>
    <w:uiPriority w:val="0"/>
    <w:rPr>
      <w:sz w:val="21"/>
      <w:szCs w:val="21"/>
    </w:rPr>
  </w:style>
  <w:style w:type="paragraph" w:customStyle="1" w:styleId="50">
    <w:name w:val="4"/>
    <w:basedOn w:val="1"/>
    <w:link w:val="67"/>
    <w:uiPriority w:val="0"/>
    <w:pPr>
      <w:spacing w:line="560" w:lineRule="exact"/>
      <w:ind w:firstLine="560" w:firstLineChars="200"/>
    </w:pPr>
    <w:rPr>
      <w:rFonts w:ascii="Times New Roman" w:hAnsi="宋体" w:eastAsia="宋体" w:cs="Times New Roman"/>
      <w:spacing w:val="20"/>
      <w:sz w:val="24"/>
      <w:szCs w:val="24"/>
    </w:rPr>
  </w:style>
  <w:style w:type="character" w:customStyle="1" w:styleId="51">
    <w:name w:val="标题 2 字符"/>
    <w:link w:val="4"/>
    <w:qFormat/>
    <w:uiPriority w:val="0"/>
    <w:rPr>
      <w:rFonts w:ascii="仿宋" w:hAnsi="仿宋" w:eastAsia="仿宋"/>
      <w:b/>
      <w:sz w:val="30"/>
    </w:rPr>
  </w:style>
  <w:style w:type="character" w:customStyle="1" w:styleId="52">
    <w:name w:val="页眉 字符"/>
    <w:basedOn w:val="44"/>
    <w:link w:val="28"/>
    <w:qFormat/>
    <w:uiPriority w:val="99"/>
    <w:rPr>
      <w:sz w:val="18"/>
      <w:szCs w:val="18"/>
    </w:rPr>
  </w:style>
  <w:style w:type="character" w:customStyle="1" w:styleId="53">
    <w:name w:val="页脚 字符"/>
    <w:basedOn w:val="44"/>
    <w:link w:val="2"/>
    <w:qFormat/>
    <w:uiPriority w:val="99"/>
    <w:rPr>
      <w:sz w:val="18"/>
      <w:szCs w:val="18"/>
    </w:rPr>
  </w:style>
  <w:style w:type="character" w:customStyle="1" w:styleId="54">
    <w:name w:val="标题 3 字符"/>
    <w:basedOn w:val="44"/>
    <w:link w:val="5"/>
    <w:qFormat/>
    <w:uiPriority w:val="0"/>
    <w:rPr>
      <w:rFonts w:ascii="Times New Roman" w:hAnsi="Times New Roman" w:eastAsia="仿宋_GB2312" w:cs="Times New Roman"/>
      <w:spacing w:val="20"/>
      <w:sz w:val="32"/>
      <w:szCs w:val="24"/>
    </w:rPr>
  </w:style>
  <w:style w:type="character" w:customStyle="1" w:styleId="55">
    <w:name w:val="标题 1 字符"/>
    <w:basedOn w:val="44"/>
    <w:link w:val="3"/>
    <w:qFormat/>
    <w:uiPriority w:val="9"/>
    <w:rPr>
      <w:b/>
      <w:bCs/>
      <w:kern w:val="44"/>
      <w:sz w:val="44"/>
      <w:szCs w:val="44"/>
    </w:rPr>
  </w:style>
  <w:style w:type="character" w:customStyle="1" w:styleId="56">
    <w:name w:val="标题 4 字符"/>
    <w:basedOn w:val="44"/>
    <w:link w:val="6"/>
    <w:qFormat/>
    <w:uiPriority w:val="0"/>
    <w:rPr>
      <w:rFonts w:ascii="宋体" w:hAnsi="宋体" w:eastAsia="宋体" w:cs="Times New Roman"/>
      <w:b/>
      <w:bCs/>
      <w:sz w:val="24"/>
      <w:szCs w:val="28"/>
    </w:rPr>
  </w:style>
  <w:style w:type="character" w:customStyle="1" w:styleId="57">
    <w:name w:val="标题 5 字符"/>
    <w:basedOn w:val="44"/>
    <w:link w:val="7"/>
    <w:uiPriority w:val="0"/>
    <w:rPr>
      <w:rFonts w:ascii="Times New Roman" w:hAnsi="Times New Roman" w:eastAsia="宋体" w:cs="Times New Roman"/>
      <w:b/>
      <w:bCs/>
      <w:sz w:val="28"/>
      <w:szCs w:val="28"/>
    </w:rPr>
  </w:style>
  <w:style w:type="character" w:customStyle="1" w:styleId="58">
    <w:name w:val="标题 6 字符"/>
    <w:basedOn w:val="44"/>
    <w:link w:val="8"/>
    <w:qFormat/>
    <w:uiPriority w:val="0"/>
    <w:rPr>
      <w:rFonts w:ascii="Arial" w:hAnsi="Arial" w:eastAsia="黑体" w:cs="Times New Roman"/>
      <w:b/>
      <w:bCs/>
      <w:sz w:val="24"/>
      <w:szCs w:val="24"/>
    </w:rPr>
  </w:style>
  <w:style w:type="character" w:customStyle="1" w:styleId="59">
    <w:name w:val="标题 7 字符"/>
    <w:basedOn w:val="44"/>
    <w:link w:val="9"/>
    <w:qFormat/>
    <w:uiPriority w:val="0"/>
    <w:rPr>
      <w:rFonts w:ascii="Times New Roman" w:hAnsi="Times New Roman" w:eastAsia="宋体" w:cs="Times New Roman"/>
      <w:b/>
      <w:bCs/>
      <w:sz w:val="24"/>
      <w:szCs w:val="24"/>
    </w:rPr>
  </w:style>
  <w:style w:type="character" w:customStyle="1" w:styleId="60">
    <w:name w:val="标题 8 字符"/>
    <w:basedOn w:val="44"/>
    <w:link w:val="10"/>
    <w:qFormat/>
    <w:uiPriority w:val="0"/>
    <w:rPr>
      <w:rFonts w:ascii="Arial" w:hAnsi="Arial" w:eastAsia="黑体" w:cs="Times New Roman"/>
      <w:sz w:val="24"/>
      <w:szCs w:val="24"/>
    </w:rPr>
  </w:style>
  <w:style w:type="character" w:customStyle="1" w:styleId="61">
    <w:name w:val="标题 9 字符"/>
    <w:basedOn w:val="44"/>
    <w:link w:val="11"/>
    <w:uiPriority w:val="0"/>
    <w:rPr>
      <w:rFonts w:ascii="Arial" w:hAnsi="Arial" w:eastAsia="黑体" w:cs="Times New Roman"/>
      <w:szCs w:val="21"/>
    </w:rPr>
  </w:style>
  <w:style w:type="character" w:customStyle="1" w:styleId="62">
    <w:name w:val="注释标题 字符"/>
    <w:basedOn w:val="44"/>
    <w:link w:val="13"/>
    <w:qFormat/>
    <w:uiPriority w:val="0"/>
    <w:rPr>
      <w:rFonts w:ascii="Times New Roman" w:hAnsi="Times New Roman" w:eastAsia="宋体" w:cs="Times New Roman"/>
      <w:szCs w:val="20"/>
    </w:rPr>
  </w:style>
  <w:style w:type="character" w:customStyle="1" w:styleId="63">
    <w:name w:val="文档结构图 字符"/>
    <w:basedOn w:val="44"/>
    <w:link w:val="15"/>
    <w:qFormat/>
    <w:uiPriority w:val="0"/>
    <w:rPr>
      <w:rFonts w:ascii="Times New Roman" w:hAnsi="Times New Roman" w:eastAsia="宋体" w:cs="Times New Roman"/>
      <w:sz w:val="28"/>
      <w:szCs w:val="28"/>
      <w:shd w:val="clear" w:color="auto" w:fill="000080"/>
    </w:rPr>
  </w:style>
  <w:style w:type="character" w:customStyle="1" w:styleId="64">
    <w:name w:val="批注文字 字符"/>
    <w:basedOn w:val="44"/>
    <w:link w:val="16"/>
    <w:qFormat/>
    <w:uiPriority w:val="0"/>
    <w:rPr>
      <w:rFonts w:ascii="Times New Roman" w:hAnsi="Times New Roman" w:eastAsia="仿宋_GB2312" w:cs="Times New Roman"/>
      <w:spacing w:val="20"/>
      <w:sz w:val="32"/>
      <w:szCs w:val="24"/>
    </w:rPr>
  </w:style>
  <w:style w:type="character" w:customStyle="1" w:styleId="65">
    <w:name w:val="正文文本 3 字符"/>
    <w:basedOn w:val="44"/>
    <w:link w:val="17"/>
    <w:qFormat/>
    <w:uiPriority w:val="0"/>
    <w:rPr>
      <w:rFonts w:ascii="Times New Roman" w:hAnsi="Times New Roman" w:eastAsia="仿宋_GB2312" w:cs="Times New Roman"/>
      <w:spacing w:val="20"/>
      <w:sz w:val="16"/>
      <w:szCs w:val="16"/>
    </w:rPr>
  </w:style>
  <w:style w:type="character" w:customStyle="1" w:styleId="66">
    <w:name w:val="正文文本 字符"/>
    <w:basedOn w:val="44"/>
    <w:link w:val="18"/>
    <w:qFormat/>
    <w:uiPriority w:val="0"/>
    <w:rPr>
      <w:rFonts w:ascii="Times New Roman" w:hAnsi="宋体" w:eastAsia="宋体" w:cs="Times New Roman"/>
      <w:spacing w:val="20"/>
      <w:sz w:val="24"/>
      <w:szCs w:val="24"/>
    </w:rPr>
  </w:style>
  <w:style w:type="character" w:customStyle="1" w:styleId="67">
    <w:name w:val="4 Char Char"/>
    <w:link w:val="50"/>
    <w:qFormat/>
    <w:uiPriority w:val="0"/>
    <w:rPr>
      <w:rFonts w:ascii="Times New Roman" w:hAnsi="宋体" w:eastAsia="宋体" w:cs="Times New Roman"/>
      <w:spacing w:val="20"/>
      <w:sz w:val="24"/>
      <w:szCs w:val="24"/>
    </w:rPr>
  </w:style>
  <w:style w:type="character" w:customStyle="1" w:styleId="68">
    <w:name w:val="正文文本缩进 字符"/>
    <w:basedOn w:val="44"/>
    <w:link w:val="19"/>
    <w:qFormat/>
    <w:uiPriority w:val="0"/>
    <w:rPr>
      <w:rFonts w:ascii="Times New Roman" w:hAnsi="Times New Roman" w:eastAsia="仿宋_GB2312" w:cs="Times New Roman"/>
      <w:b/>
      <w:spacing w:val="20"/>
      <w:sz w:val="36"/>
      <w:szCs w:val="36"/>
    </w:rPr>
  </w:style>
  <w:style w:type="character" w:customStyle="1" w:styleId="69">
    <w:name w:val="纯文本 字符"/>
    <w:basedOn w:val="44"/>
    <w:link w:val="23"/>
    <w:qFormat/>
    <w:uiPriority w:val="99"/>
    <w:rPr>
      <w:rFonts w:ascii="宋体" w:hAnsi="Courier New" w:eastAsia="宋体" w:cs="Times New Roman"/>
      <w:spacing w:val="20"/>
      <w:szCs w:val="21"/>
    </w:rPr>
  </w:style>
  <w:style w:type="character" w:customStyle="1" w:styleId="70">
    <w:name w:val="日期 字符"/>
    <w:basedOn w:val="44"/>
    <w:link w:val="25"/>
    <w:qFormat/>
    <w:uiPriority w:val="0"/>
    <w:rPr>
      <w:rFonts w:ascii="Times New Roman" w:hAnsi="Times New Roman" w:eastAsia="仿宋_GB2312" w:cs="Times New Roman"/>
      <w:spacing w:val="20"/>
      <w:sz w:val="32"/>
      <w:szCs w:val="24"/>
    </w:rPr>
  </w:style>
  <w:style w:type="character" w:customStyle="1" w:styleId="71">
    <w:name w:val="正文文本缩进 2 字符"/>
    <w:basedOn w:val="44"/>
    <w:link w:val="26"/>
    <w:qFormat/>
    <w:uiPriority w:val="0"/>
    <w:rPr>
      <w:rFonts w:ascii="Times New Roman" w:hAnsi="Times New Roman" w:eastAsia="黑体" w:cs="Times New Roman"/>
      <w:sz w:val="44"/>
      <w:szCs w:val="24"/>
    </w:rPr>
  </w:style>
  <w:style w:type="character" w:customStyle="1" w:styleId="72">
    <w:name w:val="批注框文本 字符"/>
    <w:basedOn w:val="44"/>
    <w:link w:val="27"/>
    <w:qFormat/>
    <w:uiPriority w:val="0"/>
    <w:rPr>
      <w:rFonts w:ascii="Times New Roman" w:hAnsi="Times New Roman" w:eastAsia="仿宋_GB2312" w:cs="Times New Roman"/>
      <w:spacing w:val="20"/>
      <w:sz w:val="18"/>
      <w:szCs w:val="18"/>
    </w:rPr>
  </w:style>
  <w:style w:type="character" w:customStyle="1" w:styleId="73">
    <w:name w:val="签名 字符"/>
    <w:basedOn w:val="44"/>
    <w:link w:val="29"/>
    <w:qFormat/>
    <w:uiPriority w:val="0"/>
    <w:rPr>
      <w:rFonts w:ascii="Times New Roman" w:hAnsi="Times New Roman" w:eastAsia="宋体" w:cs="Times New Roman"/>
      <w:spacing w:val="4"/>
      <w:sz w:val="24"/>
      <w:szCs w:val="20"/>
    </w:rPr>
  </w:style>
  <w:style w:type="character" w:customStyle="1" w:styleId="74">
    <w:name w:val="正文文本缩进 3 字符"/>
    <w:basedOn w:val="44"/>
    <w:link w:val="33"/>
    <w:qFormat/>
    <w:uiPriority w:val="0"/>
    <w:rPr>
      <w:rFonts w:ascii="Times New Roman" w:hAnsi="Times New Roman" w:eastAsia="仿宋_GB2312" w:cs="Times New Roman"/>
      <w:sz w:val="28"/>
      <w:szCs w:val="24"/>
      <w:u w:val="single"/>
    </w:rPr>
  </w:style>
  <w:style w:type="character" w:customStyle="1" w:styleId="75">
    <w:name w:val="正文文本 2 字符"/>
    <w:basedOn w:val="44"/>
    <w:link w:val="36"/>
    <w:qFormat/>
    <w:uiPriority w:val="0"/>
    <w:rPr>
      <w:rFonts w:ascii="Times New Roman" w:hAnsi="Times New Roman" w:eastAsia="宋体" w:cs="Times New Roman"/>
      <w:szCs w:val="24"/>
    </w:rPr>
  </w:style>
  <w:style w:type="character" w:customStyle="1" w:styleId="76">
    <w:name w:val="HTML 预设格式 字符"/>
    <w:basedOn w:val="44"/>
    <w:link w:val="37"/>
    <w:qFormat/>
    <w:uiPriority w:val="0"/>
    <w:rPr>
      <w:rFonts w:ascii="Arial" w:hAnsi="Arial" w:eastAsia="宋体" w:cs="Times New Roman"/>
      <w:kern w:val="0"/>
      <w:sz w:val="11"/>
      <w:szCs w:val="11"/>
    </w:rPr>
  </w:style>
  <w:style w:type="character" w:customStyle="1" w:styleId="77">
    <w:name w:val="标题 字符"/>
    <w:basedOn w:val="44"/>
    <w:link w:val="39"/>
    <w:qFormat/>
    <w:uiPriority w:val="0"/>
    <w:rPr>
      <w:rFonts w:ascii="Arial" w:hAnsi="Arial" w:eastAsia="宋体" w:cs="Times New Roman"/>
      <w:b/>
      <w:bCs/>
      <w:sz w:val="28"/>
      <w:szCs w:val="28"/>
    </w:rPr>
  </w:style>
  <w:style w:type="character" w:customStyle="1" w:styleId="78">
    <w:name w:val="批注主题 字符"/>
    <w:basedOn w:val="64"/>
    <w:link w:val="40"/>
    <w:qFormat/>
    <w:uiPriority w:val="99"/>
    <w:rPr>
      <w:rFonts w:ascii="Times New Roman" w:hAnsi="Times New Roman" w:eastAsia="仿宋_GB2312" w:cs="Times New Roman"/>
      <w:b/>
      <w:bCs/>
      <w:spacing w:val="20"/>
      <w:sz w:val="32"/>
      <w:szCs w:val="24"/>
    </w:rPr>
  </w:style>
  <w:style w:type="character" w:customStyle="1" w:styleId="79">
    <w:name w:val="正文首行缩进 2 字符"/>
    <w:basedOn w:val="68"/>
    <w:link w:val="41"/>
    <w:qFormat/>
    <w:uiPriority w:val="0"/>
    <w:rPr>
      <w:rFonts w:ascii="Times New Roman" w:hAnsi="Times New Roman" w:eastAsia="仿宋_GB2312" w:cs="Times New Roman"/>
      <w:spacing w:val="20"/>
      <w:sz w:val="36"/>
      <w:szCs w:val="36"/>
    </w:rPr>
  </w:style>
  <w:style w:type="character" w:customStyle="1" w:styleId="80">
    <w:name w:val="3 Char"/>
    <w:link w:val="81"/>
    <w:qFormat/>
    <w:uiPriority w:val="0"/>
    <w:rPr>
      <w:b/>
      <w:spacing w:val="20"/>
      <w:sz w:val="24"/>
      <w:szCs w:val="24"/>
    </w:rPr>
  </w:style>
  <w:style w:type="paragraph" w:customStyle="1" w:styleId="81">
    <w:name w:val="3"/>
    <w:basedOn w:val="82"/>
    <w:next w:val="23"/>
    <w:link w:val="80"/>
    <w:qFormat/>
    <w:uiPriority w:val="0"/>
    <w:pPr>
      <w:spacing w:line="560" w:lineRule="exact"/>
      <w:ind w:firstLine="562" w:firstLineChars="200"/>
    </w:pPr>
    <w:rPr>
      <w:rFonts w:asciiTheme="minorHAnsi" w:hAnsiTheme="minorHAnsi" w:eastAsiaTheme="minorEastAsia" w:cstheme="minorBidi"/>
      <w:b/>
      <w:sz w:val="24"/>
      <w:szCs w:val="24"/>
    </w:rPr>
  </w:style>
  <w:style w:type="paragraph" w:customStyle="1" w:styleId="82">
    <w:name w:val="样式4"/>
    <w:basedOn w:val="23"/>
    <w:next w:val="20"/>
    <w:link w:val="83"/>
    <w:qFormat/>
    <w:uiPriority w:val="0"/>
    <w:rPr>
      <w:rFonts w:cs="Courier New"/>
      <w:sz w:val="28"/>
    </w:rPr>
  </w:style>
  <w:style w:type="character" w:customStyle="1" w:styleId="83">
    <w:name w:val="样式4 Char Char"/>
    <w:link w:val="82"/>
    <w:qFormat/>
    <w:uiPriority w:val="0"/>
    <w:rPr>
      <w:rFonts w:ascii="宋体" w:hAnsi="Courier New" w:eastAsia="宋体" w:cs="Courier New"/>
      <w:spacing w:val="20"/>
      <w:sz w:val="28"/>
      <w:szCs w:val="21"/>
    </w:rPr>
  </w:style>
  <w:style w:type="character" w:customStyle="1" w:styleId="84">
    <w:name w:val="2 Char"/>
    <w:qFormat/>
    <w:uiPriority w:val="0"/>
    <w:rPr>
      <w:rFonts w:eastAsia="黑体"/>
      <w:spacing w:val="20"/>
      <w:kern w:val="2"/>
      <w:sz w:val="28"/>
      <w:szCs w:val="28"/>
      <w:lang w:val="en-US" w:eastAsia="zh-CN" w:bidi="ar-SA"/>
    </w:rPr>
  </w:style>
  <w:style w:type="character" w:customStyle="1" w:styleId="85">
    <w:name w:val="无间隔 字符"/>
    <w:link w:val="86"/>
    <w:qFormat/>
    <w:uiPriority w:val="0"/>
    <w:rPr>
      <w:rFonts w:ascii="Calibri" w:hAnsi="Calibri"/>
      <w:sz w:val="22"/>
    </w:rPr>
  </w:style>
  <w:style w:type="paragraph" w:customStyle="1" w:styleId="86">
    <w:name w:val="无间隔1"/>
    <w:link w:val="85"/>
    <w:qFormat/>
    <w:uiPriority w:val="0"/>
    <w:rPr>
      <w:rFonts w:ascii="Calibri" w:hAnsi="Calibri" w:eastAsiaTheme="minorEastAsia" w:cstheme="minorBidi"/>
      <w:kern w:val="2"/>
      <w:sz w:val="22"/>
      <w:szCs w:val="22"/>
      <w:lang w:val="en-US" w:eastAsia="zh-CN" w:bidi="ar-SA"/>
    </w:rPr>
  </w:style>
  <w:style w:type="character" w:customStyle="1" w:styleId="87">
    <w:name w:val="样式1"/>
    <w:qFormat/>
    <w:uiPriority w:val="0"/>
    <w:rPr>
      <w:rFonts w:ascii="宋体" w:hAnsi="宋体" w:eastAsia="宋体"/>
    </w:rPr>
  </w:style>
  <w:style w:type="character" w:customStyle="1" w:styleId="88">
    <w:name w:val="font41"/>
    <w:qFormat/>
    <w:uiPriority w:val="0"/>
    <w:rPr>
      <w:rFonts w:hint="eastAsia" w:ascii="宋体" w:hAnsi="宋体" w:eastAsia="宋体" w:cs="宋体"/>
      <w:b/>
      <w:color w:val="000000"/>
      <w:spacing w:val="0"/>
      <w:sz w:val="20"/>
      <w:szCs w:val="20"/>
      <w:u w:val="none"/>
    </w:rPr>
  </w:style>
  <w:style w:type="character" w:customStyle="1" w:styleId="89">
    <w:name w:val="ht1"/>
    <w:qFormat/>
    <w:uiPriority w:val="0"/>
    <w:rPr>
      <w:rFonts w:ascii="黑体" w:eastAsia="黑体"/>
      <w:b/>
      <w:bCs/>
    </w:rPr>
  </w:style>
  <w:style w:type="character" w:customStyle="1" w:styleId="90">
    <w:name w:val="4 Char"/>
    <w:qFormat/>
    <w:uiPriority w:val="0"/>
    <w:rPr>
      <w:rFonts w:hAnsi="宋体" w:eastAsia="宋体"/>
      <w:spacing w:val="20"/>
      <w:kern w:val="2"/>
      <w:sz w:val="24"/>
      <w:szCs w:val="24"/>
      <w:lang w:val="en-US" w:eastAsia="zh-CN" w:bidi="ar-SA"/>
    </w:rPr>
  </w:style>
  <w:style w:type="character" w:customStyle="1" w:styleId="91">
    <w:name w:val="font11"/>
    <w:qFormat/>
    <w:uiPriority w:val="0"/>
    <w:rPr>
      <w:rFonts w:hint="eastAsia" w:ascii="宋体" w:hAnsi="宋体" w:eastAsia="宋体" w:cs="宋体"/>
      <w:color w:val="000000"/>
      <w:spacing w:val="0"/>
      <w:sz w:val="20"/>
      <w:szCs w:val="20"/>
      <w:u w:val="none"/>
      <w:vertAlign w:val="superscript"/>
    </w:rPr>
  </w:style>
  <w:style w:type="character" w:customStyle="1" w:styleId="92">
    <w:name w:val="apple-converted-space"/>
    <w:qFormat/>
    <w:uiPriority w:val="0"/>
  </w:style>
  <w:style w:type="character" w:customStyle="1" w:styleId="93">
    <w:name w:val="font01"/>
    <w:qFormat/>
    <w:uiPriority w:val="0"/>
    <w:rPr>
      <w:rFonts w:hint="eastAsia" w:ascii="宋体" w:hAnsi="宋体" w:eastAsia="宋体"/>
      <w:color w:val="000000"/>
      <w:spacing w:val="0"/>
      <w:sz w:val="20"/>
      <w:szCs w:val="20"/>
      <w:u w:val="none"/>
      <w:vertAlign w:val="superscript"/>
    </w:rPr>
  </w:style>
  <w:style w:type="character" w:customStyle="1" w:styleId="94">
    <w:name w:val="页脚 Char1"/>
    <w:semiHidden/>
    <w:qFormat/>
    <w:uiPriority w:val="99"/>
    <w:rPr>
      <w:kern w:val="2"/>
      <w:sz w:val="18"/>
      <w:szCs w:val="18"/>
    </w:rPr>
  </w:style>
  <w:style w:type="character" w:customStyle="1" w:styleId="95">
    <w:name w:val="标题 3 Char Char Char"/>
    <w:qFormat/>
    <w:uiPriority w:val="0"/>
    <w:rPr>
      <w:rFonts w:eastAsia="宋体"/>
      <w:b/>
      <w:bCs/>
      <w:kern w:val="2"/>
      <w:sz w:val="32"/>
      <w:szCs w:val="32"/>
      <w:u w:color="FFFFFF"/>
      <w:lang w:val="en-US" w:eastAsia="zh-CN" w:bidi="ar-SA"/>
    </w:rPr>
  </w:style>
  <w:style w:type="character" w:customStyle="1" w:styleId="96">
    <w:name w:val="样式8 Char Char"/>
    <w:link w:val="97"/>
    <w:qFormat/>
    <w:uiPriority w:val="0"/>
    <w:rPr>
      <w:rFonts w:ascii="宋体" w:hAnsi="宋体"/>
      <w:color w:val="000000"/>
      <w:sz w:val="24"/>
      <w:szCs w:val="24"/>
    </w:rPr>
  </w:style>
  <w:style w:type="paragraph" w:customStyle="1" w:styleId="97">
    <w:name w:val="样式8"/>
    <w:basedOn w:val="1"/>
    <w:link w:val="96"/>
    <w:qFormat/>
    <w:uiPriority w:val="0"/>
    <w:pPr>
      <w:spacing w:line="560" w:lineRule="exact"/>
      <w:ind w:firstLine="480" w:firstLineChars="200"/>
    </w:pPr>
    <w:rPr>
      <w:rFonts w:ascii="宋体" w:hAnsi="宋体"/>
      <w:color w:val="000000"/>
      <w:sz w:val="24"/>
      <w:szCs w:val="24"/>
    </w:rPr>
  </w:style>
  <w:style w:type="character" w:customStyle="1" w:styleId="98">
    <w:name w:val="2 Char Char"/>
    <w:link w:val="99"/>
    <w:qFormat/>
    <w:uiPriority w:val="0"/>
    <w:rPr>
      <w:rFonts w:eastAsia="黑体"/>
      <w:spacing w:val="20"/>
      <w:sz w:val="28"/>
      <w:szCs w:val="28"/>
    </w:rPr>
  </w:style>
  <w:style w:type="paragraph" w:customStyle="1" w:styleId="99">
    <w:name w:val="2"/>
    <w:basedOn w:val="4"/>
    <w:link w:val="98"/>
    <w:qFormat/>
    <w:uiPriority w:val="0"/>
    <w:pPr>
      <w:keepNext w:val="0"/>
      <w:keepLines w:val="0"/>
      <w:adjustRightInd/>
      <w:spacing w:before="0" w:after="0" w:afterLines="0" w:line="560" w:lineRule="exact"/>
      <w:ind w:firstLine="640" w:firstLineChars="200"/>
      <w:jc w:val="both"/>
      <w:textAlignment w:val="auto"/>
    </w:pPr>
    <w:rPr>
      <w:rFonts w:eastAsia="黑体" w:asciiTheme="minorHAnsi" w:hAnsiTheme="minorHAnsi"/>
      <w:b w:val="0"/>
      <w:spacing w:val="20"/>
      <w:sz w:val="28"/>
      <w:szCs w:val="28"/>
    </w:rPr>
  </w:style>
  <w:style w:type="character" w:customStyle="1" w:styleId="100">
    <w:name w:val="标题 2 Char Char"/>
    <w:qFormat/>
    <w:uiPriority w:val="0"/>
    <w:rPr>
      <w:rFonts w:ascii="Arial" w:hAnsi="Arial" w:eastAsia="黑体"/>
      <w:b/>
      <w:bCs/>
      <w:spacing w:val="30"/>
      <w:kern w:val="21"/>
      <w:sz w:val="32"/>
      <w:szCs w:val="32"/>
      <w:lang w:val="en-US" w:eastAsia="zh-CN" w:bidi="ar-SA"/>
    </w:rPr>
  </w:style>
  <w:style w:type="character" w:customStyle="1" w:styleId="101">
    <w:name w:val="font31"/>
    <w:qFormat/>
    <w:uiPriority w:val="0"/>
    <w:rPr>
      <w:rFonts w:hint="eastAsia" w:ascii="宋体" w:hAnsi="宋体" w:eastAsia="宋体" w:cs="宋体"/>
      <w:color w:val="000000"/>
      <w:spacing w:val="0"/>
      <w:sz w:val="20"/>
      <w:szCs w:val="20"/>
      <w:u w:val="none"/>
    </w:rPr>
  </w:style>
  <w:style w:type="character" w:customStyle="1" w:styleId="102">
    <w:name w:val="p21"/>
    <w:qFormat/>
    <w:uiPriority w:val="0"/>
    <w:rPr>
      <w:sz w:val="9"/>
      <w:szCs w:val="9"/>
    </w:rPr>
  </w:style>
  <w:style w:type="character" w:customStyle="1" w:styleId="103">
    <w:name w:val="3 Char Char"/>
    <w:qFormat/>
    <w:uiPriority w:val="0"/>
    <w:rPr>
      <w:rFonts w:eastAsia="宋体"/>
      <w:b/>
      <w:spacing w:val="20"/>
      <w:kern w:val="2"/>
      <w:sz w:val="24"/>
      <w:szCs w:val="24"/>
      <w:lang w:val="en-US" w:eastAsia="zh-CN" w:bidi="ar-SA"/>
    </w:rPr>
  </w:style>
  <w:style w:type="character" w:customStyle="1" w:styleId="104">
    <w:name w:val="签名 Char1"/>
    <w:qFormat/>
    <w:uiPriority w:val="0"/>
    <w:rPr>
      <w:rFonts w:eastAsia="仿宋_GB2312"/>
      <w:spacing w:val="20"/>
      <w:kern w:val="2"/>
      <w:sz w:val="32"/>
      <w:szCs w:val="24"/>
    </w:rPr>
  </w:style>
  <w:style w:type="character" w:customStyle="1" w:styleId="105">
    <w:name w:val="font21"/>
    <w:qFormat/>
    <w:uiPriority w:val="0"/>
    <w:rPr>
      <w:rFonts w:hint="eastAsia" w:ascii="宋体" w:hAnsi="宋体" w:eastAsia="宋体" w:cs="宋体"/>
      <w:color w:val="000000"/>
      <w:spacing w:val="0"/>
      <w:sz w:val="20"/>
      <w:szCs w:val="20"/>
      <w:u w:val="none"/>
    </w:rPr>
  </w:style>
  <w:style w:type="character" w:customStyle="1" w:styleId="106">
    <w:name w:val="标题 1 Char"/>
    <w:qFormat/>
    <w:uiPriority w:val="9"/>
    <w:rPr>
      <w:rFonts w:ascii="Times New Roman" w:hAnsi="Times New Roman"/>
      <w:kern w:val="44"/>
    </w:rPr>
  </w:style>
  <w:style w:type="paragraph" w:customStyle="1" w:styleId="107">
    <w:name w:val="纯文本2"/>
    <w:basedOn w:val="1"/>
    <w:qFormat/>
    <w:uiPriority w:val="0"/>
    <w:pPr>
      <w:adjustRightInd w:val="0"/>
      <w:textAlignment w:val="baseline"/>
    </w:pPr>
    <w:rPr>
      <w:rFonts w:ascii="宋体" w:hAnsi="Courier New" w:eastAsia="宋体" w:cs="Times New Roman"/>
      <w:szCs w:val="20"/>
    </w:rPr>
  </w:style>
  <w:style w:type="paragraph" w:customStyle="1" w:styleId="108">
    <w:name w:val="默认段落字体 Para Char Char Char Char"/>
    <w:basedOn w:val="1"/>
    <w:qFormat/>
    <w:uiPriority w:val="0"/>
    <w:rPr>
      <w:rFonts w:ascii="Times New Roman" w:hAnsi="Times New Roman" w:eastAsia="宋体" w:cs="Times New Roman"/>
      <w:szCs w:val="24"/>
    </w:rPr>
  </w:style>
  <w:style w:type="paragraph" w:customStyle="1" w:styleId="109">
    <w:name w:val="列出段落1"/>
    <w:qFormat/>
    <w:uiPriority w:val="34"/>
    <w:pPr>
      <w:ind w:firstLine="420" w:firstLineChars="200"/>
    </w:pPr>
    <w:rPr>
      <w:rFonts w:ascii="Times New Roman" w:hAnsi="Times New Roman" w:eastAsia="宋体" w:cs="Times New Roman"/>
      <w:lang w:val="en-US" w:eastAsia="zh-CN" w:bidi="ar-SA"/>
    </w:rPr>
  </w:style>
  <w:style w:type="paragraph" w:customStyle="1" w:styleId="110">
    <w:name w:val="font7"/>
    <w:basedOn w:val="1"/>
    <w:qFormat/>
    <w:uiPriority w:val="0"/>
    <w:pPr>
      <w:widowControl/>
      <w:spacing w:before="100" w:beforeAutospacing="1" w:after="100" w:afterAutospacing="1"/>
      <w:jc w:val="left"/>
    </w:pPr>
    <w:rPr>
      <w:rFonts w:hint="eastAsia" w:ascii="宋体" w:hAnsi="宋体" w:eastAsia="宋体" w:cs="Times New Roman"/>
      <w:kern w:val="0"/>
      <w:sz w:val="28"/>
      <w:szCs w:val="28"/>
    </w:rPr>
  </w:style>
  <w:style w:type="paragraph" w:customStyle="1" w:styleId="11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4"/>
      <w:szCs w:val="24"/>
    </w:rPr>
  </w:style>
  <w:style w:type="paragraph" w:customStyle="1" w:styleId="112">
    <w:name w:val="样式5"/>
    <w:basedOn w:val="3"/>
    <w:qFormat/>
    <w:uiPriority w:val="0"/>
    <w:pPr>
      <w:tabs>
        <w:tab w:val="left" w:pos="1980"/>
      </w:tabs>
      <w:spacing w:before="360" w:after="360" w:line="240" w:lineRule="auto"/>
      <w:ind w:left="1820" w:hanging="1820" w:hangingChars="412"/>
      <w:jc w:val="center"/>
    </w:pPr>
    <w:rPr>
      <w:rFonts w:ascii="宋体" w:hAnsi="宋体" w:eastAsia="黑体" w:cs="Times New Roman"/>
    </w:rPr>
  </w:style>
  <w:style w:type="paragraph" w:customStyle="1" w:styleId="113">
    <w:name w:val="_Style 48"/>
    <w:basedOn w:val="1"/>
    <w:qFormat/>
    <w:uiPriority w:val="0"/>
    <w:rPr>
      <w:rFonts w:ascii="Times New Roman" w:hAnsi="Times New Roman" w:eastAsia="仿宋_GB2312" w:cs="Times New Roman"/>
      <w:szCs w:val="20"/>
    </w:rPr>
  </w:style>
  <w:style w:type="paragraph" w:customStyle="1" w:styleId="114">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115">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116">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17">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20"/>
      <w:szCs w:val="20"/>
    </w:rPr>
  </w:style>
  <w:style w:type="paragraph" w:customStyle="1" w:styleId="118">
    <w:name w:val="22"/>
    <w:basedOn w:val="4"/>
    <w:next w:val="5"/>
    <w:qFormat/>
    <w:uiPriority w:val="0"/>
    <w:pPr>
      <w:keepNext w:val="0"/>
      <w:keepLines w:val="0"/>
      <w:adjustRightInd/>
      <w:spacing w:before="0" w:after="0" w:afterLines="0" w:line="240" w:lineRule="auto"/>
      <w:ind w:firstLine="480" w:firstLineChars="200"/>
      <w:jc w:val="both"/>
      <w:textAlignment w:val="auto"/>
    </w:pPr>
    <w:rPr>
      <w:rFonts w:ascii="黑体" w:hAnsi="Times New Roman" w:eastAsia="仿宋_GB2312" w:cs="Times New Roman"/>
      <w:b w:val="0"/>
      <w:spacing w:val="20"/>
      <w:sz w:val="24"/>
      <w:szCs w:val="24"/>
    </w:rPr>
  </w:style>
  <w:style w:type="paragraph" w:customStyle="1" w:styleId="119">
    <w:name w:val="xl75"/>
    <w:basedOn w:val="1"/>
    <w:qFormat/>
    <w:uiPriority w:val="0"/>
    <w:pPr>
      <w:widowControl/>
      <w:spacing w:before="100" w:beforeAutospacing="1" w:after="100" w:afterAutospacing="1"/>
      <w:jc w:val="center"/>
    </w:pPr>
    <w:rPr>
      <w:rFonts w:ascii="宋体" w:hAnsi="宋体" w:eastAsia="宋体" w:cs="宋体"/>
      <w:kern w:val="0"/>
      <w:sz w:val="20"/>
      <w:szCs w:val="20"/>
    </w:rPr>
  </w:style>
  <w:style w:type="paragraph" w:customStyle="1" w:styleId="120">
    <w:name w:val="表格"/>
    <w:basedOn w:val="1"/>
    <w:qFormat/>
    <w:uiPriority w:val="0"/>
    <w:pPr>
      <w:widowControl/>
      <w:spacing w:before="100" w:beforeAutospacing="1" w:after="100" w:afterAutospacing="1" w:line="360" w:lineRule="exact"/>
      <w:ind w:firstLine="9"/>
      <w:jc w:val="center"/>
    </w:pPr>
    <w:rPr>
      <w:rFonts w:ascii="仿宋_GB2312" w:hAnsi="宋体" w:eastAsia="仿宋_GB2312" w:cs="Times New Roman"/>
      <w:spacing w:val="-16"/>
      <w:kern w:val="0"/>
      <w:szCs w:val="20"/>
    </w:rPr>
  </w:style>
  <w:style w:type="paragraph" w:customStyle="1" w:styleId="121">
    <w:name w:val="xl32"/>
    <w:basedOn w:val="1"/>
    <w:qFormat/>
    <w:uiPriority w:val="0"/>
    <w:pPr>
      <w:widowControl/>
      <w:pBdr>
        <w:bottom w:val="single" w:color="auto" w:sz="4" w:space="0"/>
      </w:pBdr>
      <w:spacing w:before="100" w:beforeAutospacing="1" w:after="100" w:afterAutospacing="1"/>
      <w:jc w:val="center"/>
    </w:pPr>
    <w:rPr>
      <w:rFonts w:ascii="宋体" w:hAnsi="宋体" w:eastAsia="宋体" w:cs="Times New Roman"/>
      <w:kern w:val="0"/>
      <w:sz w:val="24"/>
      <w:szCs w:val="24"/>
    </w:rPr>
  </w:style>
  <w:style w:type="paragraph" w:customStyle="1" w:styleId="122">
    <w:name w:val="样式 标题 2 + Times New Roman 四号 非加粗 段前: 5 磅 段后: 0 磅 行距: 固定值 20..."/>
    <w:basedOn w:val="4"/>
    <w:qFormat/>
    <w:uiPriority w:val="0"/>
    <w:pPr>
      <w:adjustRightInd/>
      <w:spacing w:before="100" w:after="0" w:afterLines="0" w:line="400" w:lineRule="exact"/>
      <w:jc w:val="both"/>
      <w:textAlignment w:val="auto"/>
    </w:pPr>
    <w:rPr>
      <w:rFonts w:ascii="Times New Roman" w:hAnsi="Times New Roman" w:eastAsia="黑体" w:cs="宋体"/>
      <w:b w:val="0"/>
      <w:sz w:val="28"/>
      <w:szCs w:val="20"/>
    </w:rPr>
  </w:style>
  <w:style w:type="paragraph" w:customStyle="1" w:styleId="12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24">
    <w:name w:val="xl65"/>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125">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26">
    <w:name w:val="ggbody"/>
    <w:basedOn w:val="1"/>
    <w:qFormat/>
    <w:uiPriority w:val="99"/>
    <w:pPr>
      <w:widowControl/>
      <w:spacing w:before="100" w:beforeAutospacing="1" w:after="100" w:afterAutospacing="1" w:line="400" w:lineRule="atLeast"/>
      <w:jc w:val="left"/>
    </w:pPr>
    <w:rPr>
      <w:rFonts w:ascii="_x000B__x000C_" w:hAnsi="_x000B__x000C_" w:eastAsia="仿宋_GB2312" w:cs="Times New Roman"/>
      <w:color w:val="000000"/>
      <w:spacing w:val="20"/>
      <w:kern w:val="0"/>
      <w:sz w:val="32"/>
      <w:szCs w:val="21"/>
    </w:rPr>
  </w:style>
  <w:style w:type="paragraph" w:customStyle="1" w:styleId="12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128">
    <w:name w:val="t_black_12_b"/>
    <w:basedOn w:val="1"/>
    <w:qFormat/>
    <w:uiPriority w:val="0"/>
    <w:pPr>
      <w:widowControl/>
      <w:jc w:val="left"/>
    </w:pPr>
    <w:rPr>
      <w:rFonts w:ascii="宋体" w:hAnsi="宋体" w:eastAsia="宋体" w:cs="宋体"/>
      <w:b/>
      <w:bCs/>
      <w:color w:val="212121"/>
      <w:kern w:val="0"/>
      <w:sz w:val="9"/>
      <w:szCs w:val="9"/>
    </w:rPr>
  </w:style>
  <w:style w:type="paragraph" w:customStyle="1" w:styleId="129">
    <w:name w:val="列出段落2"/>
    <w:basedOn w:val="1"/>
    <w:qFormat/>
    <w:uiPriority w:val="34"/>
    <w:pPr>
      <w:ind w:firstLine="420" w:firstLineChars="200"/>
    </w:pPr>
    <w:rPr>
      <w:rFonts w:ascii="Times New Roman" w:hAnsi="Times New Roman" w:eastAsia="宋体" w:cs="Times New Roman"/>
      <w:szCs w:val="24"/>
    </w:rPr>
  </w:style>
  <w:style w:type="paragraph" w:customStyle="1" w:styleId="130">
    <w:name w:val="_Style 42"/>
    <w:basedOn w:val="1"/>
    <w:qFormat/>
    <w:uiPriority w:val="0"/>
    <w:rPr>
      <w:rFonts w:ascii="Times New Roman" w:hAnsi="Times New Roman" w:eastAsia="仿宋_GB2312" w:cs="Times New Roman"/>
      <w:szCs w:val="20"/>
    </w:rPr>
  </w:style>
  <w:style w:type="paragraph" w:customStyle="1" w:styleId="131">
    <w:name w:val="Char"/>
    <w:basedOn w:val="1"/>
    <w:qFormat/>
    <w:uiPriority w:val="0"/>
    <w:rPr>
      <w:rFonts w:ascii="Times New Roman" w:hAnsi="Times New Roman" w:eastAsia="宋体" w:cs="Times New Roman"/>
      <w:szCs w:val="24"/>
    </w:rPr>
  </w:style>
  <w:style w:type="paragraph" w:customStyle="1" w:styleId="132">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133">
    <w:name w:val="无间隔11"/>
    <w:qFormat/>
    <w:uiPriority w:val="0"/>
    <w:rPr>
      <w:rFonts w:ascii="Calibri" w:hAnsi="Calibri" w:eastAsia="宋体" w:cs="Times New Roman"/>
      <w:sz w:val="22"/>
      <w:szCs w:val="22"/>
      <w:lang w:val="en-US" w:eastAsia="zh-CN" w:bidi="ar-SA"/>
    </w:rPr>
  </w:style>
  <w:style w:type="paragraph" w:customStyle="1" w:styleId="134">
    <w:name w:val="Char Char Char Char Char Char Char Char Char Char Char Char1 Char Char Char Char Char Char Char1"/>
    <w:basedOn w:val="1"/>
    <w:qFormat/>
    <w:uiPriority w:val="0"/>
    <w:rPr>
      <w:rFonts w:ascii="Times New Roman" w:hAnsi="Times New Roman" w:eastAsia="仿宋_GB2312" w:cs="Times New Roman"/>
      <w:szCs w:val="20"/>
    </w:rPr>
  </w:style>
  <w:style w:type="paragraph" w:customStyle="1" w:styleId="135">
    <w:name w:val="Char Char Char Char Char Char Char Char Char Char Char Char1 Char Char Char Char Char Char Char"/>
    <w:basedOn w:val="1"/>
    <w:qFormat/>
    <w:uiPriority w:val="0"/>
    <w:rPr>
      <w:rFonts w:ascii="Times New Roman" w:hAnsi="Times New Roman" w:eastAsia="仿宋_GB2312" w:cs="Times New Roman"/>
      <w:szCs w:val="20"/>
    </w:rPr>
  </w:style>
  <w:style w:type="paragraph" w:customStyle="1" w:styleId="136">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0"/>
      <w:szCs w:val="20"/>
    </w:rPr>
  </w:style>
  <w:style w:type="paragraph" w:customStyle="1" w:styleId="137">
    <w:name w:val="纯文本1"/>
    <w:basedOn w:val="1"/>
    <w:qFormat/>
    <w:uiPriority w:val="0"/>
    <w:pPr>
      <w:adjustRightInd w:val="0"/>
      <w:textAlignment w:val="baseline"/>
    </w:pPr>
    <w:rPr>
      <w:rFonts w:ascii="宋体" w:hAnsi="Courier New" w:eastAsia="宋体" w:cs="Times New Roman"/>
      <w:szCs w:val="20"/>
    </w:rPr>
  </w:style>
  <w:style w:type="paragraph" w:customStyle="1" w:styleId="138">
    <w:name w:val="1"/>
    <w:basedOn w:val="81"/>
    <w:qFormat/>
    <w:uiPriority w:val="0"/>
    <w:pPr>
      <w:ind w:firstLine="0" w:firstLineChars="0"/>
      <w:jc w:val="center"/>
    </w:pPr>
    <w:rPr>
      <w:rFonts w:ascii="黑体" w:eastAsia="黑体"/>
      <w:b w:val="0"/>
      <w:sz w:val="30"/>
      <w:szCs w:val="30"/>
    </w:rPr>
  </w:style>
  <w:style w:type="paragraph" w:customStyle="1" w:styleId="139">
    <w:name w:val="xl27"/>
    <w:basedOn w:val="1"/>
    <w:qFormat/>
    <w:uiPriority w:val="0"/>
    <w:pPr>
      <w:widowControl/>
      <w:pBdr>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 w:val="24"/>
      <w:szCs w:val="24"/>
    </w:rPr>
  </w:style>
  <w:style w:type="paragraph" w:customStyle="1" w:styleId="140">
    <w:name w:val="reader-word-layer"/>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142">
    <w:name w:val="样式 标题 2 + Times New Roman 小四 非加粗 段前: 0 磅 段后: 0 磅 行距: 1.5 倍行距"/>
    <w:basedOn w:val="4"/>
    <w:qFormat/>
    <w:uiPriority w:val="0"/>
    <w:pPr>
      <w:keepNext w:val="0"/>
      <w:keepLines w:val="0"/>
      <w:adjustRightInd/>
      <w:spacing w:before="0" w:after="0" w:afterLines="0" w:line="240" w:lineRule="auto"/>
      <w:jc w:val="both"/>
      <w:textAlignment w:val="auto"/>
    </w:pPr>
    <w:rPr>
      <w:rFonts w:ascii="Times New Roman" w:hAnsi="Times New Roman" w:eastAsia="仿宋_GB2312" w:cs="Times New Roman"/>
      <w:b w:val="0"/>
      <w:spacing w:val="20"/>
      <w:sz w:val="24"/>
      <w:szCs w:val="24"/>
    </w:rPr>
  </w:style>
  <w:style w:type="paragraph" w:customStyle="1" w:styleId="143">
    <w:name w:val="_Style 5"/>
    <w:basedOn w:val="1"/>
    <w:qFormat/>
    <w:uiPriority w:val="0"/>
    <w:rPr>
      <w:rFonts w:ascii="Times New Roman" w:hAnsi="Times New Roman" w:eastAsia="宋体" w:cs="Times New Roman"/>
      <w:szCs w:val="24"/>
    </w:rPr>
  </w:style>
  <w:style w:type="paragraph" w:customStyle="1" w:styleId="144">
    <w:name w:val="样式2"/>
    <w:basedOn w:val="18"/>
    <w:qFormat/>
    <w:uiPriority w:val="0"/>
    <w:pPr>
      <w:spacing w:line="800" w:lineRule="exact"/>
      <w:jc w:val="center"/>
    </w:pPr>
  </w:style>
  <w:style w:type="paragraph" w:customStyle="1" w:styleId="145">
    <w:name w:val="样式 标题 3 + Arial 小四 段前: 0 磅 段后: 0 磅 行距: 单倍行距"/>
    <w:basedOn w:val="5"/>
    <w:qFormat/>
    <w:uiPriority w:val="0"/>
    <w:rPr>
      <w:rFonts w:ascii="Arial" w:hAnsi="Arial"/>
      <w:kern w:val="24"/>
      <w:szCs w:val="20"/>
    </w:rPr>
  </w:style>
  <w:style w:type="paragraph" w:customStyle="1" w:styleId="146">
    <w:name w:val="纯文本3"/>
    <w:basedOn w:val="1"/>
    <w:qFormat/>
    <w:uiPriority w:val="0"/>
    <w:pPr>
      <w:adjustRightInd w:val="0"/>
      <w:textAlignment w:val="baseline"/>
    </w:pPr>
    <w:rPr>
      <w:rFonts w:ascii="宋体" w:hAnsi="Courier New" w:eastAsia="宋体" w:cs="Times New Roman"/>
      <w:szCs w:val="20"/>
    </w:rPr>
  </w:style>
  <w:style w:type="paragraph" w:customStyle="1" w:styleId="147">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kern w:val="0"/>
      <w:sz w:val="20"/>
      <w:szCs w:val="20"/>
    </w:rPr>
  </w:style>
  <w:style w:type="paragraph" w:customStyle="1" w:styleId="148">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149">
    <w:name w:val="样式 标题 3 + (中文) 黑体 小四 非加粗 段前: 7.8 磅 段后: 0 磅 行距: 固定值 20 磅"/>
    <w:basedOn w:val="5"/>
    <w:qFormat/>
    <w:uiPriority w:val="0"/>
    <w:pPr>
      <w:keepNext/>
      <w:keepLines/>
      <w:spacing w:line="400" w:lineRule="exact"/>
      <w:jc w:val="left"/>
    </w:pPr>
    <w:rPr>
      <w:rFonts w:ascii="宋体" w:hAnsi="宋体" w:eastAsia="黑体" w:cs="宋体"/>
      <w:spacing w:val="0"/>
      <w:sz w:val="24"/>
      <w:szCs w:val="20"/>
    </w:rPr>
  </w:style>
  <w:style w:type="paragraph" w:customStyle="1" w:styleId="150">
    <w:name w:val="contentarticl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1">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5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153">
    <w:name w:val="Table Paragraph"/>
    <w:basedOn w:val="1"/>
    <w:qFormat/>
    <w:uiPriority w:val="1"/>
    <w:rPr>
      <w:rFonts w:ascii="Times New Roman" w:hAnsi="Times New Roman" w:eastAsia="仿宋_GB2312" w:cs="Times New Roman"/>
      <w:spacing w:val="20"/>
      <w:sz w:val="32"/>
      <w:szCs w:val="24"/>
    </w:rPr>
  </w:style>
  <w:style w:type="paragraph" w:customStyle="1" w:styleId="154">
    <w:name w:val="xl30"/>
    <w:basedOn w:val="1"/>
    <w:qFormat/>
    <w:uiPriority w:val="0"/>
    <w:pPr>
      <w:widowControl/>
      <w:spacing w:before="100" w:beforeAutospacing="1" w:after="100" w:afterAutospacing="1"/>
      <w:jc w:val="center"/>
    </w:pPr>
    <w:rPr>
      <w:rFonts w:hint="eastAsia" w:ascii="黑体" w:hAnsi="宋体" w:eastAsia="黑体" w:cs="Times New Roman"/>
      <w:kern w:val="0"/>
      <w:sz w:val="32"/>
      <w:szCs w:val="32"/>
    </w:rPr>
  </w:style>
  <w:style w:type="paragraph" w:customStyle="1" w:styleId="155">
    <w:name w:val="xl31"/>
    <w:basedOn w:val="1"/>
    <w:qFormat/>
    <w:uiPriority w:val="0"/>
    <w:pPr>
      <w:widowControl/>
      <w:spacing w:before="100" w:beforeAutospacing="1" w:after="100" w:afterAutospacing="1"/>
      <w:jc w:val="center"/>
    </w:pPr>
    <w:rPr>
      <w:rFonts w:ascii="宋体" w:hAnsi="宋体" w:eastAsia="宋体" w:cs="Times New Roman"/>
      <w:kern w:val="0"/>
      <w:sz w:val="24"/>
      <w:szCs w:val="24"/>
    </w:rPr>
  </w:style>
  <w:style w:type="paragraph" w:customStyle="1" w:styleId="156">
    <w:name w:val="Char Char Char Char Char Char Char Char Char Char Char Char1 Char Char Char Char Char Char Char11"/>
    <w:basedOn w:val="1"/>
    <w:qFormat/>
    <w:uiPriority w:val="0"/>
    <w:rPr>
      <w:rFonts w:ascii="Times New Roman" w:hAnsi="Times New Roman" w:eastAsia="仿宋_GB2312" w:cs="Times New Roman"/>
      <w:szCs w:val="20"/>
    </w:rPr>
  </w:style>
  <w:style w:type="paragraph" w:customStyle="1" w:styleId="157">
    <w:name w:val="样式 标题 2 + 无下划线 段前: 0 磅 段后: 0 磅 行距: 单倍行距"/>
    <w:basedOn w:val="4"/>
    <w:qFormat/>
    <w:uiPriority w:val="0"/>
    <w:pPr>
      <w:keepNext w:val="0"/>
      <w:keepLines w:val="0"/>
      <w:adjustRightInd/>
      <w:spacing w:before="0" w:after="0" w:afterLines="0" w:line="240" w:lineRule="auto"/>
      <w:jc w:val="both"/>
      <w:textAlignment w:val="auto"/>
    </w:pPr>
    <w:rPr>
      <w:rFonts w:ascii="Arial" w:hAnsi="Arial" w:eastAsia="仿宋_GB2312" w:cs="Times New Roman"/>
      <w:b w:val="0"/>
      <w:spacing w:val="20"/>
      <w:sz w:val="24"/>
      <w:szCs w:val="20"/>
    </w:rPr>
  </w:style>
  <w:style w:type="paragraph" w:customStyle="1" w:styleId="158">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20"/>
      <w:szCs w:val="20"/>
    </w:rPr>
  </w:style>
  <w:style w:type="paragraph" w:customStyle="1" w:styleId="159">
    <w:name w:val="样式3"/>
    <w:basedOn w:val="1"/>
    <w:qFormat/>
    <w:uiPriority w:val="0"/>
    <w:rPr>
      <w:rFonts w:ascii="Times New Roman" w:hAnsi="Times New Roman" w:eastAsia="仿宋_GB2312" w:cs="Times New Roman"/>
      <w:spacing w:val="20"/>
      <w:sz w:val="24"/>
      <w:szCs w:val="24"/>
    </w:rPr>
  </w:style>
  <w:style w:type="paragraph" w:customStyle="1" w:styleId="16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161">
    <w:name w:val="列出段落3"/>
    <w:basedOn w:val="1"/>
    <w:qFormat/>
    <w:uiPriority w:val="34"/>
    <w:pPr>
      <w:ind w:firstLine="420" w:firstLineChars="200"/>
    </w:pPr>
    <w:rPr>
      <w:rFonts w:ascii="Times New Roman" w:hAnsi="Times New Roman" w:eastAsia="宋体" w:cs="Times New Roman"/>
      <w:szCs w:val="24"/>
    </w:rPr>
  </w:style>
  <w:style w:type="character" w:customStyle="1" w:styleId="162">
    <w:name w:val="font51"/>
    <w:qFormat/>
    <w:uiPriority w:val="0"/>
    <w:rPr>
      <w:rFonts w:hint="eastAsia" w:ascii="宋体" w:hAnsi="宋体" w:eastAsia="宋体" w:cs="宋体"/>
      <w:color w:val="000000"/>
      <w:sz w:val="20"/>
      <w:szCs w:val="20"/>
      <w:u w:val="single"/>
    </w:rPr>
  </w:style>
  <w:style w:type="character" w:customStyle="1" w:styleId="163">
    <w:name w:val="font61"/>
    <w:qFormat/>
    <w:uiPriority w:val="0"/>
    <w:rPr>
      <w:rFonts w:hint="eastAsia" w:ascii="宋体" w:hAnsi="宋体" w:eastAsia="宋体" w:cs="宋体"/>
      <w:color w:val="000000"/>
      <w:sz w:val="20"/>
      <w:szCs w:val="20"/>
      <w:u w:val="single"/>
    </w:rPr>
  </w:style>
  <w:style w:type="paragraph" w:customStyle="1" w:styleId="164">
    <w:name w:val="Char Char Char Char Char Char Char Char Char Char Char Char Char Char Char Char Char Char Char1"/>
    <w:basedOn w:val="1"/>
    <w:qFormat/>
    <w:uiPriority w:val="0"/>
    <w:rPr>
      <w:rFonts w:ascii="Times New Roman" w:hAnsi="Times New Roman" w:eastAsia="宋体" w:cs="Times New Roman"/>
      <w:szCs w:val="24"/>
    </w:rPr>
  </w:style>
  <w:style w:type="paragraph" w:customStyle="1" w:styleId="16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61</Pages>
  <Words>24609</Words>
  <Characters>26564</Characters>
  <Lines>429</Lines>
  <Paragraphs>120</Paragraphs>
  <TotalTime>5</TotalTime>
  <ScaleCrop>false</ScaleCrop>
  <LinksUpToDate>false</LinksUpToDate>
  <CharactersWithSpaces>26681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2024-09-14T05:55:00Z</dcterms:created>
  <dc:creator>王雅薇</dc:creator>
  <cp:lastModifiedBy>十一粑粑</cp:lastModifiedBy>
  <dcterms:modified xsi:type="dcterms:W3CDTF">2025-07-30T06:47:33Z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E1AB350602B04159A6ECC79BF787417D_12</vt:lpwstr>
  </property>
  <property fmtid="{D5CDD505-2E9C-101B-9397-08002B2CF9AE}" pid="4" name="KSOTemplateDocerSaveRecord">
    <vt:lpwstr>eyJoZGlkIjoiODhkNjBmYTdiNWRiZjQxMDQyZWM1NWVkZDllODNjOTkiLCJ1c2VySWQiOiI2OTI4Mzg2NTYifQ==</vt:lpwstr>
  </property>
</Properties>
</file>