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版本号：ZJZBSX-250724-1092020250730002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临潼校区骊山校园11栋教学楼消防设施设备更换维修工程采购项目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ZJZBSX-250724-10920</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临潼校区骊山校园11栋教学楼消防设施设备更换维修工程采购项目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ZJZBSX-250724-10920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临潼校区骊山校园11栋教学楼消防设施设备更换维修工程采购项目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学校消防安全建设水平，切实维护广大师生的人身财产安全，本次对西安科技大学临潼校区骊山校园11栋教学楼（应急照明灯具、疏散标识、消火栓启泵按钮、启泵线路、火灾自动报警系统及设备、排烟系统及设施、防火卷帘等消防设施设备）进行更换维修，系统联动调试确保正常运行。面积约为11万㎡。 10-17号教学楼原有火灾报警主机为海湾壁挂式，3号教学楼和18号教学楼原有火灾报警主机为北大青鸟壁挂式。 为确保维修或更换相关设备与消防系统充分匹配、正常联动，此类产品品牌型号均与原有设备配套兼容。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采购包1（临潼校区骊山校园11栋教学楼消防设施设备更换维修工程）：属于专门面向中小企业采购。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响应文件提交截止日不足一年的，也可提供在工商管理部门备案的公司章程（以上五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pPr>
        <w:pStyle w:val="null3"/>
      </w:pPr>
      <w:r>
        <w:rPr>
          <w:rFonts w:ascii="仿宋_GB2312" w:hAnsi="仿宋_GB2312" w:cs="仿宋_GB2312" w:eastAsia="仿宋_GB2312"/>
        </w:rPr>
        <w:t>5、税收缴纳证明：提供2025年1月1日至响应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项目经理：拟派项目经理须具备合法有效的机电工程专业二级及以上注册建造师执业资格资质证书，同时具备有效的安全生产考核合格证书（安全B证），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9、企业资质：供应商具备建设行政主管部门颁发合法有效的消防设施工程专业承包二级（含）以上资质，并具备有效的安全生产许可证。供应商需在项目电子化交易系统中按要求上传相应证明文件并进行电子签章。</w:t>
      </w:r>
    </w:p>
    <w:p>
      <w:pPr>
        <w:pStyle w:val="null3"/>
      </w:pPr>
      <w:r>
        <w:rPr>
          <w:rFonts w:ascii="仿宋_GB2312" w:hAnsi="仿宋_GB2312" w:cs="仿宋_GB2312" w:eastAsia="仿宋_GB2312"/>
        </w:rPr>
        <w:t>10、查询截图：陕西省省外企业须提供陕西省建筑市场监管与诚信信息一体化平台企业库查询截图（陕西省内公司需提供为本省企业的声明）。供应商需在项目电子化交易系统中按要求上传相应证明文件并进行电子签章。</w:t>
      </w:r>
    </w:p>
    <w:p>
      <w:pPr>
        <w:pStyle w:val="null3"/>
      </w:pPr>
      <w:r>
        <w:rPr>
          <w:rFonts w:ascii="仿宋_GB2312" w:hAnsi="仿宋_GB2312" w:cs="仿宋_GB2312" w:eastAsia="仿宋_GB2312"/>
        </w:rPr>
        <w:t>11、中小企业声明函：本项目为专门面向中小企业项目，供应商应为中型企业或小型、微型企或监狱企业或残疾人福利性单位。供应商需在项目电子化交易系统中按要求上传相应证明文件并进行电子签章。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王爱学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 8B 陕西省高速大厦 16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说明：供应商成交后凭成交通知书向采购人缴纳成交金额的3%作为履约保证金。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代理服务费收费标准：1、成交金额50万元以下，按定额收取4687.00元。 2、成交金额50万元以上，收费标准参照中华人民共和国国家计划委员会计价格[2002]1980号文的0.775折计算收取。 3、本项目论证费：2125.00元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踏勘时间：2025-08-09 10:00:00</w:t>
            </w:r>
          </w:p>
          <w:p>
            <w:pPr>
              <w:pStyle w:val="null3"/>
              <w:ind w:firstLine="975"/>
            </w:pPr>
            <w:r>
              <w:rPr>
                <w:rFonts w:ascii="仿宋_GB2312" w:hAnsi="仿宋_GB2312" w:cs="仿宋_GB2312" w:eastAsia="仿宋_GB2312"/>
              </w:rPr>
              <w:t>踏勘地点：西安科技大学临潼校区骊山校园大门口。供应商报名后统一组织现场踏勘，供应商自行承担踏勘中所产生的一切费用及安全责任，如未按要求进行现场踏勘，自行承担一切投标风险。踏勘期间不现场解决供应商所有疑问；2025年08月09日16：00时前各供应商将所需答疑（疑问）文件以电子版(PDF盖章版本及Word版本)发送至招标代理机构（243672304@qq.com），招标代理机构统一汇总解答后回复各供应商。</w:t>
            </w:r>
          </w:p>
          <w:p>
            <w:pPr>
              <w:pStyle w:val="null3"/>
              <w:ind w:firstLine="975"/>
            </w:pPr>
            <w:r>
              <w:rPr>
                <w:rFonts w:ascii="仿宋_GB2312" w:hAnsi="仿宋_GB2312" w:cs="仿宋_GB2312" w:eastAsia="仿宋_GB2312"/>
              </w:rPr>
              <w:t>联系人：祝清江</w:t>
            </w:r>
          </w:p>
          <w:p>
            <w:pPr>
              <w:pStyle w:val="null3"/>
              <w:ind w:firstLine="975"/>
            </w:pPr>
            <w:r>
              <w:rPr>
                <w:rFonts w:ascii="仿宋_GB2312" w:hAnsi="仿宋_GB2312" w:cs="仿宋_GB2312" w:eastAsia="仿宋_GB2312"/>
              </w:rPr>
              <w:t>联系电话号码：15619397236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地址：陕西省西安市碑林区长安北路8B陕西高速大厦16楼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骊山校园11栋教学楼消防设施设备更换维修工程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标的名称：骊山校园11栋教学楼消防设施设备更换维修工程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400"/>
            </w:pPr>
            <w:r>
              <w:rPr>
                <w:rFonts w:ascii="仿宋_GB2312" w:hAnsi="仿宋_GB2312" w:cs="仿宋_GB2312" w:eastAsia="仿宋_GB2312"/>
                <w:sz w:val="24"/>
              </w:rPr>
              <w:t>为提高学校消防安全建设水平，切实维护广大师生的人身财产安全，本次对西安科技大学临潼校区骊山校园11栋教学楼（应急照明灯具、疏散标识、消火栓启泵按钮、启泵线路、火灾自动报警系统及设备、排烟系统及设施、防火卷帘等消防设施设备）进行更换维修，系统联动调试确保正常运行。面积约为11万㎡。</w:t>
            </w:r>
          </w:p>
          <w:p>
            <w:pPr>
              <w:pStyle w:val="null3"/>
              <w:ind w:firstLine="400"/>
            </w:pPr>
            <w:r>
              <w:rPr>
                <w:rFonts w:ascii="仿宋_GB2312" w:hAnsi="仿宋_GB2312" w:cs="仿宋_GB2312" w:eastAsia="仿宋_GB2312"/>
                <w:sz w:val="24"/>
              </w:rPr>
              <w:t>10-17号教学楼原有火灾报警主机为海湾壁挂式，3号教学楼和18号教学楼原有火灾报警主机为北大青鸟壁挂式。</w:t>
            </w:r>
          </w:p>
          <w:p>
            <w:pPr>
              <w:pStyle w:val="null3"/>
              <w:jc w:val="both"/>
            </w:pPr>
            <w:r>
              <w:rPr>
                <w:rFonts w:ascii="仿宋_GB2312" w:hAnsi="仿宋_GB2312" w:cs="仿宋_GB2312" w:eastAsia="仿宋_GB2312"/>
                <w:sz w:val="24"/>
              </w:rPr>
              <w:t>为确保维修或更换相关设备与消防系统充分匹配、正常联动，此类产品品牌型号均与原有设备配套兼容。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二、工程内容和施工地点、工期、缺陷责任期、质量保修期</w:t>
            </w:r>
          </w:p>
          <w:p>
            <w:pPr>
              <w:pStyle w:val="null3"/>
            </w:pPr>
            <w:r>
              <w:rPr>
                <w:rFonts w:ascii="仿宋_GB2312" w:hAnsi="仿宋_GB2312" w:cs="仿宋_GB2312" w:eastAsia="仿宋_GB2312"/>
                <w:sz w:val="24"/>
              </w:rPr>
              <w:t>(一)工程内容：西安科技大学临潼校区11栋教学楼消防设施设备更换维修工程</w:t>
            </w:r>
          </w:p>
          <w:p>
            <w:pPr>
              <w:pStyle w:val="null3"/>
              <w:jc w:val="both"/>
            </w:pPr>
            <w:r>
              <w:rPr>
                <w:rFonts w:ascii="仿宋_GB2312" w:hAnsi="仿宋_GB2312" w:cs="仿宋_GB2312" w:eastAsia="仿宋_GB2312"/>
                <w:sz w:val="24"/>
              </w:rPr>
              <w:t>(二)工程地点：西安科技大学</w:t>
            </w:r>
          </w:p>
          <w:p>
            <w:pPr>
              <w:pStyle w:val="null3"/>
              <w:jc w:val="both"/>
            </w:pPr>
            <w:r>
              <w:rPr>
                <w:rFonts w:ascii="仿宋_GB2312" w:hAnsi="仿宋_GB2312" w:cs="仿宋_GB2312" w:eastAsia="仿宋_GB2312"/>
                <w:sz w:val="24"/>
              </w:rPr>
              <w:t>(三)工</w:t>
            </w:r>
            <w:r>
              <w:rPr>
                <w:rFonts w:ascii="仿宋_GB2312" w:hAnsi="仿宋_GB2312" w:cs="仿宋_GB2312" w:eastAsia="仿宋_GB2312"/>
                <w:sz w:val="24"/>
              </w:rPr>
              <w:t>期：工期30天，自接到甲方开工令为准，乙方需在8月31前完成11栋教学楼楼内消防设施设备维修更换项目，9月15日完成室外维修项目及本工程相关消防系统联动调试。</w:t>
            </w:r>
          </w:p>
          <w:p>
            <w:pPr>
              <w:pStyle w:val="null3"/>
            </w:pPr>
            <w:r>
              <w:rPr>
                <w:rFonts w:ascii="仿宋_GB2312" w:hAnsi="仿宋_GB2312" w:cs="仿宋_GB2312" w:eastAsia="仿宋_GB2312"/>
                <w:sz w:val="24"/>
              </w:rPr>
              <w:t>(四)质量保修期：按照国家质量保修相关条例执行，本项目质量保修期为</w:t>
            </w:r>
            <w:r>
              <w:rPr>
                <w:rFonts w:ascii="仿宋_GB2312" w:hAnsi="仿宋_GB2312" w:cs="仿宋_GB2312" w:eastAsia="仿宋_GB2312"/>
                <w:sz w:val="24"/>
                <w:u w:val="single"/>
              </w:rPr>
              <w:t xml:space="preserve"> 2 </w:t>
            </w:r>
            <w:r>
              <w:rPr>
                <w:rFonts w:ascii="仿宋_GB2312" w:hAnsi="仿宋_GB2312" w:cs="仿宋_GB2312" w:eastAsia="仿宋_GB2312"/>
                <w:sz w:val="24"/>
              </w:rPr>
              <w:t>年，质量保修期从工程竣工验收合格之日起计算。</w:t>
            </w:r>
          </w:p>
          <w:p>
            <w:pPr>
              <w:pStyle w:val="null3"/>
              <w:jc w:val="both"/>
            </w:pPr>
            <w:r>
              <w:rPr>
                <w:rFonts w:ascii="仿宋_GB2312" w:hAnsi="仿宋_GB2312" w:cs="仿宋_GB2312" w:eastAsia="仿宋_GB2312"/>
                <w:sz w:val="24"/>
              </w:rPr>
              <w:t>1.属于保修范围和内容的项目，承包人应在接到维修通知后，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_GB2312" w:hAnsi="仿宋_GB2312" w:cs="仿宋_GB2312" w:eastAsia="仿宋_GB2312"/>
                <w:sz w:val="24"/>
              </w:rPr>
              <w:t>2.其他要求：承包人在维修及抢修期间，必须采取必要措施保证施工安全，同时提供应急措施，保证消防设施设备应急运行。承包人在维修及抢修期间，如发生安全事故，与甲方无关，供应商应承担全部责任。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三、施工要求</w:t>
            </w:r>
          </w:p>
          <w:p>
            <w:pPr>
              <w:pStyle w:val="null3"/>
              <w:ind w:firstLine="400"/>
              <w:jc w:val="both"/>
            </w:pPr>
            <w:r>
              <w:rPr>
                <w:rFonts w:ascii="仿宋_GB2312" w:hAnsi="仿宋_GB2312" w:cs="仿宋_GB2312" w:eastAsia="仿宋_GB2312"/>
                <w:sz w:val="24"/>
              </w:rPr>
              <w:t>1、办公场所要求：</w:t>
            </w:r>
          </w:p>
          <w:p>
            <w:pPr>
              <w:pStyle w:val="null3"/>
              <w:ind w:firstLine="400"/>
              <w:jc w:val="both"/>
            </w:pPr>
            <w:r>
              <w:rPr>
                <w:rFonts w:ascii="仿宋_GB2312" w:hAnsi="仿宋_GB2312" w:cs="仿宋_GB2312" w:eastAsia="仿宋_GB2312"/>
                <w:sz w:val="24"/>
              </w:rPr>
              <w:t>为保证服务的质量及便捷性，乙方应在西安科技大学设置固定项目管理部，必须配备满足项目开展的办公室、物资材料仓储室、机械设备停放场以及相应的生活区。</w:t>
            </w:r>
          </w:p>
          <w:p>
            <w:pPr>
              <w:pStyle w:val="null3"/>
              <w:ind w:firstLine="400"/>
              <w:jc w:val="both"/>
            </w:pPr>
            <w:r>
              <w:rPr>
                <w:rFonts w:ascii="仿宋_GB2312" w:hAnsi="仿宋_GB2312" w:cs="仿宋_GB2312" w:eastAsia="仿宋_GB2312"/>
                <w:sz w:val="24"/>
              </w:rPr>
              <w:t>2、项目团队成员配备要求：</w:t>
            </w:r>
          </w:p>
          <w:p>
            <w:pPr>
              <w:pStyle w:val="null3"/>
              <w:ind w:firstLine="400"/>
              <w:jc w:val="both"/>
            </w:pPr>
            <w:r>
              <w:rPr>
                <w:rFonts w:ascii="仿宋_GB2312" w:hAnsi="仿宋_GB2312" w:cs="仿宋_GB2312" w:eastAsia="仿宋_GB2312"/>
                <w:sz w:val="24"/>
              </w:rPr>
              <w:t>乙方应成立项目管理组织机构，要求项目组成员结构合理、分工明确，并保证项目组成员具有相应资格或职称证书，持证上岗。项目所需的机械设备及工具都为乙方自备，甲方不提供任何机械设备及工具。</w:t>
            </w:r>
          </w:p>
          <w:p>
            <w:pPr>
              <w:pStyle w:val="null3"/>
              <w:ind w:firstLine="400"/>
              <w:jc w:val="both"/>
            </w:pPr>
            <w:r>
              <w:rPr>
                <w:rFonts w:ascii="仿宋_GB2312" w:hAnsi="仿宋_GB2312" w:cs="仿宋_GB2312" w:eastAsia="仿宋_GB2312"/>
                <w:sz w:val="24"/>
              </w:rPr>
              <w:t>3、安全文明施工要求：</w:t>
            </w:r>
          </w:p>
          <w:p>
            <w:pPr>
              <w:pStyle w:val="null3"/>
              <w:ind w:firstLine="400"/>
              <w:jc w:val="both"/>
            </w:pPr>
            <w:r>
              <w:rPr>
                <w:rFonts w:ascii="仿宋_GB2312" w:hAnsi="仿宋_GB2312" w:cs="仿宋_GB2312" w:eastAsia="仿宋_GB2312"/>
                <w:sz w:val="24"/>
              </w:rPr>
              <w:t>必须作好施工现场组织管理、文明施工，维护现场秩序，做到工完场清、道路畅通。根据施工现场采取不同的围挡方式进行围挡作业，严禁用土头垃圾堆做防护。改造过程中土堆、废渣、垃圾等应在结束后清理完毕，做到工完料尽场地清。建筑垃圾不得随意倾倒，由乙方自行联系运至辖区地以外的建筑垃圾堆放场所并承担相应的费用。夜间应尽量减少噪音对周边居民以及企业的影响。</w:t>
            </w:r>
          </w:p>
          <w:p>
            <w:pPr>
              <w:pStyle w:val="null3"/>
              <w:jc w:val="both"/>
            </w:pPr>
            <w:r>
              <w:rPr>
                <w:rFonts w:ascii="仿宋_GB2312" w:hAnsi="仿宋_GB2312" w:cs="仿宋_GB2312" w:eastAsia="仿宋_GB2312"/>
                <w:sz w:val="24"/>
              </w:rPr>
              <w:t>乙方对自有的施工人员人身及财产安全负责，对自己的人和机械设备购买保险及相应的劳保用具。维修作业人员需穿有印制统一样式的橘色醒目制服，并根据实际情况穿戴反光服、高温鞋、安全帽等安全防护用品。施工人员均应严格按照相关技术规范进行施工，做到安全施工且不影响交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四、关键产品需求表</w:t>
            </w:r>
          </w:p>
          <w:tbl>
            <w:tblPr>
              <w:tblBorders>
                <w:top w:val="none" w:color="000000" w:sz="4"/>
                <w:left w:val="none" w:color="000000" w:sz="4"/>
                <w:bottom w:val="none" w:color="000000" w:sz="4"/>
                <w:right w:val="none" w:color="000000" w:sz="4"/>
                <w:insideH w:val="none"/>
                <w:insideV w:val="none"/>
              </w:tblBorders>
            </w:tblPr>
            <w:tblGrid>
              <w:gridCol w:w="187"/>
              <w:gridCol w:w="342"/>
              <w:gridCol w:w="764"/>
              <w:gridCol w:w="295"/>
              <w:gridCol w:w="258"/>
              <w:gridCol w:w="328"/>
              <w:gridCol w:w="379"/>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关键产品名称</w:t>
                  </w:r>
                </w:p>
              </w:tc>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75"/>
                    <w:jc w:val="center"/>
                  </w:pPr>
                  <w:r>
                    <w:rPr>
                      <w:rFonts w:ascii="仿宋_GB2312" w:hAnsi="仿宋_GB2312" w:cs="仿宋_GB2312" w:eastAsia="仿宋_GB2312"/>
                      <w:sz w:val="24"/>
                      <w:b/>
                      <w:color w:val="000000"/>
                    </w:rPr>
                    <w:t>技术参数</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应急灯</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应急工作时间：</w:t>
                  </w:r>
                </w:p>
                <w:p>
                  <w:pPr>
                    <w:pStyle w:val="null3"/>
                    <w:jc w:val="both"/>
                  </w:pPr>
                  <w:r>
                    <w:rPr>
                      <w:rFonts w:ascii="仿宋_GB2312" w:hAnsi="仿宋_GB2312" w:cs="仿宋_GB2312" w:eastAsia="仿宋_GB2312"/>
                      <w:sz w:val="24"/>
                      <w:color w:val="000000"/>
                    </w:rPr>
                    <w:t>≥90min</w:t>
                  </w:r>
                </w:p>
                <w:p>
                  <w:pPr>
                    <w:pStyle w:val="null3"/>
                    <w:jc w:val="both"/>
                  </w:pPr>
                  <w:r>
                    <w:rPr>
                      <w:rFonts w:ascii="仿宋_GB2312" w:hAnsi="仿宋_GB2312" w:cs="仿宋_GB2312" w:eastAsia="仿宋_GB2312"/>
                      <w:sz w:val="24"/>
                      <w:color w:val="000000"/>
                    </w:rPr>
                    <w:t>光源名称及参数：LED  DC3.0V</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1259</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安全出口</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应急工作时间：</w:t>
                  </w:r>
                </w:p>
                <w:p>
                  <w:pPr>
                    <w:pStyle w:val="null3"/>
                    <w:jc w:val="both"/>
                  </w:pPr>
                  <w:r>
                    <w:rPr>
                      <w:rFonts w:ascii="仿宋_GB2312" w:hAnsi="仿宋_GB2312" w:cs="仿宋_GB2312" w:eastAsia="仿宋_GB2312"/>
                      <w:sz w:val="24"/>
                      <w:color w:val="000000"/>
                    </w:rPr>
                    <w:t>≥90min</w:t>
                  </w:r>
                </w:p>
                <w:p>
                  <w:pPr>
                    <w:pStyle w:val="null3"/>
                    <w:jc w:val="both"/>
                  </w:pPr>
                  <w:r>
                    <w:rPr>
                      <w:rFonts w:ascii="仿宋_GB2312" w:hAnsi="仿宋_GB2312" w:cs="仿宋_GB2312" w:eastAsia="仿宋_GB2312"/>
                      <w:sz w:val="24"/>
                      <w:color w:val="000000"/>
                    </w:rPr>
                    <w:t>光源名称及参数：LED  DC3.0V</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左向疏散指示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应急工作时间：</w:t>
                  </w:r>
                </w:p>
                <w:p>
                  <w:pPr>
                    <w:pStyle w:val="null3"/>
                    <w:jc w:val="both"/>
                  </w:pPr>
                  <w:r>
                    <w:rPr>
                      <w:rFonts w:ascii="仿宋_GB2312" w:hAnsi="仿宋_GB2312" w:cs="仿宋_GB2312" w:eastAsia="仿宋_GB2312"/>
                      <w:sz w:val="24"/>
                      <w:color w:val="000000"/>
                    </w:rPr>
                    <w:t>≥90min</w:t>
                  </w:r>
                </w:p>
                <w:p>
                  <w:pPr>
                    <w:pStyle w:val="null3"/>
                    <w:jc w:val="both"/>
                  </w:pPr>
                  <w:r>
                    <w:rPr>
                      <w:rFonts w:ascii="仿宋_GB2312" w:hAnsi="仿宋_GB2312" w:cs="仿宋_GB2312" w:eastAsia="仿宋_GB2312"/>
                      <w:sz w:val="24"/>
                      <w:color w:val="000000"/>
                    </w:rPr>
                    <w:t>光源名称及参数：LED  DC3.0V</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右向疏散指示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应急工作时间：</w:t>
                  </w:r>
                </w:p>
                <w:p>
                  <w:pPr>
                    <w:pStyle w:val="null3"/>
                    <w:jc w:val="both"/>
                  </w:pPr>
                  <w:r>
                    <w:rPr>
                      <w:rFonts w:ascii="仿宋_GB2312" w:hAnsi="仿宋_GB2312" w:cs="仿宋_GB2312" w:eastAsia="仿宋_GB2312"/>
                      <w:sz w:val="24"/>
                      <w:color w:val="000000"/>
                    </w:rPr>
                    <w:t>≥90min</w:t>
                  </w:r>
                </w:p>
                <w:p>
                  <w:pPr>
                    <w:pStyle w:val="null3"/>
                    <w:jc w:val="both"/>
                  </w:pPr>
                  <w:r>
                    <w:rPr>
                      <w:rFonts w:ascii="仿宋_GB2312" w:hAnsi="仿宋_GB2312" w:cs="仿宋_GB2312" w:eastAsia="仿宋_GB2312"/>
                      <w:sz w:val="24"/>
                      <w:color w:val="000000"/>
                    </w:rPr>
                    <w:t>光源名称及参数：LED  DC3.0V</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金属穿线管</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φ15mm</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r>
                    <w:rPr>
                      <w:rFonts w:ascii="仿宋_GB2312" w:hAnsi="仿宋_GB2312" w:cs="仿宋_GB2312" w:eastAsia="仿宋_GB2312"/>
                      <w:sz w:val="24"/>
                    </w:rPr>
                    <w:t xml:space="preserve"> </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23212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电源线</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WDZN-BYJ 2.5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阻燃电线</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49424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消火栓按钮</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原产品北大青鸟JBF-3332A</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启泵线路</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ZR-RVS-2*1.5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RVS电线</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壁挂式报警主机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原产品海湾JB-QB-GST200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双面带箭头疏散灯</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金属材质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排烟风机软连接</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硅橡胶防火布</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排烟风机标识</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25cm*12.5cm</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不锈钢永久标识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排烟防火阀</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符合排烟防火阀施工和验收规范</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排烟防火阀连锁停风机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符合排烟防火阀施工和验收规范</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排烟风机控制柜</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符合排烟防火阀施工和验收规范</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壁挂式报警主机</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原产品北大青鸟JB-TB-JBF-11SF-S</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感烟探测器</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原产品北大青鸟JTY-GD-JBF-4100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感温探测器</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原产品北大青鸟JTY-H-JBF-VDC1382A</w:t>
                  </w:r>
                </w:p>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手动火灾报警按钮</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原产品北大青鸟J-SAP-JBF-301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声光报警器</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原产品北大青鸟JBF-3372D</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报警线路</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ZR.RVS-2*1.5mm2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自救卷盘</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JPS0.8-19/25型消防软管卷盘</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防火卷帘控制器</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FJK-SF-AL008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防火卷帘手动控制按钮</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SXD-G2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楼层显示灯</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c>
                <w:tcPr>
                  <w:tcW w:type="dxa" w:w="202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1.凡国家强制认证的产品须提供3C证书，符合消防规范要求。</w:t>
                  </w:r>
                </w:p>
                <w:p>
                  <w:pPr>
                    <w:pStyle w:val="null3"/>
                    <w:jc w:val="left"/>
                  </w:pPr>
                  <w:r>
                    <w:rPr>
                      <w:rFonts w:ascii="仿宋_GB2312" w:hAnsi="仿宋_GB2312" w:cs="仿宋_GB2312" w:eastAsia="仿宋_GB2312"/>
                      <w:sz w:val="24"/>
                    </w:rPr>
                    <w:t>2.为确保维修或更换相关设备与原消防系统充分匹配，正常联动，此类产品品牌型号均与原有设备保持配套兼容。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五、质量保证</w:t>
            </w:r>
          </w:p>
          <w:p>
            <w:pPr>
              <w:pStyle w:val="null3"/>
              <w:ind w:firstLine="400"/>
              <w:jc w:val="both"/>
            </w:pPr>
            <w:r>
              <w:rPr>
                <w:rFonts w:ascii="仿宋_GB2312" w:hAnsi="仿宋_GB2312" w:cs="仿宋_GB2312" w:eastAsia="仿宋_GB2312"/>
                <w:sz w:val="24"/>
                <w:color w:val="000000"/>
              </w:rPr>
              <w:t>1、供应商必须依据磋商要求，按照有关规范施工，确保工程优良，一次性验收交接。</w:t>
            </w:r>
          </w:p>
          <w:p>
            <w:pPr>
              <w:pStyle w:val="null3"/>
              <w:ind w:firstLine="400"/>
              <w:jc w:val="both"/>
            </w:pPr>
            <w:r>
              <w:rPr>
                <w:rFonts w:ascii="仿宋_GB2312" w:hAnsi="仿宋_GB2312" w:cs="仿宋_GB2312" w:eastAsia="仿宋_GB2312"/>
                <w:sz w:val="24"/>
                <w:color w:val="000000"/>
              </w:rPr>
              <w:t>2、选用的主材、设备、辅材需为国家名优产品，并明确其品牌、规格、型号、产地，并附鉴定证书，</w:t>
            </w:r>
            <w:r>
              <w:rPr>
                <w:rFonts w:ascii="仿宋_GB2312" w:hAnsi="仿宋_GB2312" w:cs="仿宋_GB2312" w:eastAsia="仿宋_GB2312"/>
                <w:sz w:val="24"/>
                <w:color w:val="000000"/>
              </w:rPr>
              <w:t>不得使用未经检验或不合格的设备、材料，若发生此种情况，将追究相关人员责任，并赔偿由此造成的一切经济损失。</w:t>
            </w:r>
          </w:p>
          <w:p>
            <w:pPr>
              <w:pStyle w:val="null3"/>
              <w:ind w:firstLine="400"/>
              <w:jc w:val="both"/>
            </w:pPr>
            <w:r>
              <w:rPr>
                <w:rFonts w:ascii="仿宋_GB2312" w:hAnsi="仿宋_GB2312" w:cs="仿宋_GB2312" w:eastAsia="仿宋_GB2312"/>
                <w:sz w:val="24"/>
                <w:color w:val="000000"/>
              </w:rPr>
              <w:t>3、供应商必须向采购人及时提供合格证及材料检验单。在征得有关方面认可后，方可进行施工，并做好相应的检验环节。</w:t>
            </w:r>
          </w:p>
          <w:p>
            <w:pPr>
              <w:pStyle w:val="null3"/>
              <w:ind w:firstLine="400"/>
              <w:jc w:val="both"/>
            </w:pPr>
            <w:r>
              <w:rPr>
                <w:rFonts w:ascii="仿宋_GB2312" w:hAnsi="仿宋_GB2312" w:cs="仿宋_GB2312" w:eastAsia="仿宋_GB2312"/>
                <w:sz w:val="24"/>
                <w:color w:val="000000"/>
              </w:rPr>
              <w:t>4、质量保证期为各供应商承诺的期限。施工单位的售后服务要完善、可靠、及时，并派遣相关技术人员配合采购人检查、维修。</w:t>
            </w:r>
          </w:p>
          <w:p>
            <w:pPr>
              <w:pStyle w:val="null3"/>
              <w:ind w:firstLine="400"/>
              <w:jc w:val="both"/>
            </w:pPr>
            <w:r>
              <w:rPr>
                <w:rFonts w:ascii="仿宋_GB2312" w:hAnsi="仿宋_GB2312" w:cs="仿宋_GB2312" w:eastAsia="仿宋_GB2312"/>
                <w:sz w:val="24"/>
                <w:color w:val="000000"/>
              </w:rPr>
              <w:t>5、质量验收标准或规范</w:t>
            </w:r>
          </w:p>
          <w:p>
            <w:pPr>
              <w:pStyle w:val="null3"/>
              <w:jc w:val="both"/>
            </w:pPr>
            <w:r>
              <w:rPr>
                <w:rFonts w:ascii="仿宋_GB2312" w:hAnsi="仿宋_GB2312" w:cs="仿宋_GB2312" w:eastAsia="仿宋_GB2312"/>
                <w:sz w:val="24"/>
                <w:color w:val="000000"/>
              </w:rPr>
              <w:t>国家及行业相关标准或规范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六、其他要求</w:t>
            </w:r>
          </w:p>
          <w:p>
            <w:pPr>
              <w:pStyle w:val="null3"/>
            </w:pPr>
            <w:r>
              <w:rPr>
                <w:rFonts w:ascii="仿宋_GB2312" w:hAnsi="仿宋_GB2312" w:cs="仿宋_GB2312" w:eastAsia="仿宋_GB2312"/>
                <w:sz w:val="24"/>
              </w:rPr>
              <w:t>(一)质量验收标准或规范</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国家及行业相关标准或规范</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《建筑工程施工及验收规范》和相关技术规程</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消防应急照明和疏散指示系统技术标准GB51309-2018</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火灾自动报警系统施工及验收标准GB50166-2019</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GBJ16-1987(2001版)建筑设计防火规范</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GB50016-2006建筑设计防火规范</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GB50166-2019火灾自动报警系统施工及验收标准</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GB50974-2014消防给水及消火栓系统技术规范</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GB50877-2014防火卷帘、防火门、防火窗施工及验收规范</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GB51251-2017建筑防烟、排烟系统技术</w:t>
            </w:r>
          </w:p>
          <w:p>
            <w:pPr>
              <w:pStyle w:val="null3"/>
            </w:pPr>
            <w:r>
              <w:rPr>
                <w:rFonts w:ascii="仿宋_GB2312" w:hAnsi="仿宋_GB2312" w:cs="仿宋_GB2312" w:eastAsia="仿宋_GB2312"/>
                <w:sz w:val="24"/>
              </w:rPr>
              <w:t>(二)违约责任</w:t>
            </w:r>
          </w:p>
          <w:p>
            <w:pPr>
              <w:pStyle w:val="null3"/>
              <w:ind w:firstLine="400"/>
            </w:pPr>
            <w:r>
              <w:rPr>
                <w:rFonts w:ascii="仿宋_GB2312" w:hAnsi="仿宋_GB2312" w:cs="仿宋_GB2312" w:eastAsia="仿宋_GB2312"/>
                <w:sz w:val="24"/>
              </w:rPr>
              <w:t>依据《中华人民共和国民法典》、《中华人民共和国政府采购法》的相关条款约定执行。</w:t>
            </w:r>
          </w:p>
          <w:p>
            <w:pPr>
              <w:pStyle w:val="null3"/>
              <w:ind w:firstLine="400"/>
            </w:pPr>
            <w:r>
              <w:rPr>
                <w:rFonts w:ascii="仿宋_GB2312" w:hAnsi="仿宋_GB2312" w:cs="仿宋_GB2312" w:eastAsia="仿宋_GB2312"/>
                <w:sz w:val="24"/>
              </w:rPr>
              <w:t>1、发包人违约。当发生下列情况时：</w:t>
            </w:r>
          </w:p>
          <w:p>
            <w:pPr>
              <w:pStyle w:val="null3"/>
              <w:ind w:firstLine="400"/>
            </w:pPr>
            <w:r>
              <w:rPr>
                <w:rFonts w:ascii="仿宋_GB2312" w:hAnsi="仿宋_GB2312" w:cs="仿宋_GB2312" w:eastAsia="仿宋_GB2312"/>
                <w:sz w:val="24"/>
              </w:rPr>
              <w:t>（1）发包人不按合同约定支付工程款，导致施工无法进行；</w:t>
            </w:r>
          </w:p>
          <w:p>
            <w:pPr>
              <w:pStyle w:val="null3"/>
              <w:ind w:firstLine="400"/>
            </w:pPr>
            <w:r>
              <w:rPr>
                <w:rFonts w:ascii="仿宋_GB2312" w:hAnsi="仿宋_GB2312" w:cs="仿宋_GB2312" w:eastAsia="仿宋_GB2312"/>
                <w:sz w:val="24"/>
              </w:rPr>
              <w:t>（2）发包人不履行合同义务或不按合同约定履行义务的其他情况。</w:t>
            </w:r>
          </w:p>
          <w:p>
            <w:pPr>
              <w:pStyle w:val="null3"/>
              <w:ind w:firstLine="400"/>
            </w:pPr>
            <w:r>
              <w:rPr>
                <w:rFonts w:ascii="仿宋_GB2312" w:hAnsi="仿宋_GB2312" w:cs="仿宋_GB2312" w:eastAsia="仿宋_GB2312"/>
                <w:sz w:val="24"/>
              </w:rPr>
              <w:t>发包人承担违约责任，赔偿因其违约给承包人造成的经济损失，顺延延误的工期。双方在专用条款内约定发包人赔偿承包人损失的计算方法或者发包人应当支付违约金的数额和计算方法。</w:t>
            </w:r>
          </w:p>
          <w:p>
            <w:pPr>
              <w:pStyle w:val="null3"/>
              <w:ind w:firstLine="400"/>
            </w:pPr>
            <w:r>
              <w:rPr>
                <w:rFonts w:ascii="仿宋_GB2312" w:hAnsi="仿宋_GB2312" w:cs="仿宋_GB2312" w:eastAsia="仿宋_GB2312"/>
                <w:sz w:val="24"/>
              </w:rPr>
              <w:t>2、承包人违约。当发生下列情况时：</w:t>
            </w:r>
          </w:p>
          <w:p>
            <w:pPr>
              <w:pStyle w:val="null3"/>
              <w:ind w:firstLine="400"/>
            </w:pPr>
            <w:r>
              <w:rPr>
                <w:rFonts w:ascii="仿宋_GB2312" w:hAnsi="仿宋_GB2312" w:cs="仿宋_GB2312" w:eastAsia="仿宋_GB2312"/>
                <w:sz w:val="24"/>
              </w:rPr>
              <w:t>（1）因承包人原因不能按照协议书约定的竣工日期或工程师同意顺延的工期竣工；</w:t>
            </w:r>
          </w:p>
          <w:p>
            <w:pPr>
              <w:pStyle w:val="null3"/>
              <w:ind w:firstLine="400"/>
            </w:pPr>
            <w:r>
              <w:rPr>
                <w:rFonts w:ascii="仿宋_GB2312" w:hAnsi="仿宋_GB2312" w:cs="仿宋_GB2312" w:eastAsia="仿宋_GB2312"/>
                <w:sz w:val="24"/>
              </w:rPr>
              <w:t>（2）因承包人原因工程质量达不到协议书约定的质量标准；</w:t>
            </w:r>
          </w:p>
          <w:p>
            <w:pPr>
              <w:pStyle w:val="null3"/>
              <w:ind w:firstLine="400"/>
            </w:pPr>
            <w:r>
              <w:rPr>
                <w:rFonts w:ascii="仿宋_GB2312" w:hAnsi="仿宋_GB2312" w:cs="仿宋_GB2312" w:eastAsia="仿宋_GB2312"/>
                <w:sz w:val="24"/>
              </w:rPr>
              <w:t>（3）承包人不履行合同义务或不按合同约定履行义务的其他情况。</w:t>
            </w:r>
          </w:p>
          <w:p>
            <w:pPr>
              <w:pStyle w:val="null3"/>
              <w:ind w:firstLine="400"/>
            </w:pPr>
            <w:r>
              <w:rPr>
                <w:rFonts w:ascii="仿宋_GB2312" w:hAnsi="仿宋_GB2312" w:cs="仿宋_GB2312" w:eastAsia="仿宋_GB2312"/>
                <w:sz w:val="24"/>
              </w:rPr>
              <w:t>承包人承担违约责任，赔偿因其违约给发包人造成的损失。双方在专用条款内约定承包人赔偿发包人损失的计算方法或者承包人应当支付违约金的数额和计算方法。一方违约后，另一方要求违约方继续履行合同时，违约方承担上述违约责任后仍应继续履行合同。</w:t>
            </w:r>
          </w:p>
          <w:p>
            <w:pPr>
              <w:pStyle w:val="null3"/>
              <w:jc w:val="both"/>
            </w:pPr>
            <w:r>
              <w:rPr>
                <w:rFonts w:ascii="仿宋_GB2312" w:hAnsi="仿宋_GB2312" w:cs="仿宋_GB2312" w:eastAsia="仿宋_GB2312"/>
                <w:sz w:val="24"/>
              </w:rPr>
              <w:t>（三）因不可抗力导致的工程终止，由施工单位承担相应损失。</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rPr>
              <w:t>七、</w:t>
            </w:r>
            <w:r>
              <w:rPr>
                <w:rFonts w:ascii="仿宋_GB2312" w:hAnsi="仿宋_GB2312" w:cs="仿宋_GB2312" w:eastAsia="仿宋_GB2312"/>
                <w:sz w:val="24"/>
                <w:b/>
                <w:color w:val="000000"/>
              </w:rPr>
              <w:t>说明：</w:t>
            </w:r>
          </w:p>
          <w:p>
            <w:pPr>
              <w:pStyle w:val="null3"/>
              <w:ind w:firstLine="400"/>
            </w:pPr>
            <w:r>
              <w:rPr>
                <w:rFonts w:ascii="仿宋_GB2312" w:hAnsi="仿宋_GB2312" w:cs="仿宋_GB2312" w:eastAsia="仿宋_GB2312"/>
                <w:sz w:val="24"/>
                <w:color w:val="000000"/>
              </w:rPr>
              <w:t>本项目施工过程和成果必须符合国家有关本项目建设标准强制性条文和国家或有关部门关于本项目施工方面现行的标准、规范、规程、定额、办法、示例，以及陕西省关于工程施工方面的文件、规定。</w:t>
            </w:r>
          </w:p>
          <w:p>
            <w:pPr>
              <w:pStyle w:val="null3"/>
              <w:ind w:firstLine="400"/>
            </w:pPr>
            <w:r>
              <w:rPr>
                <w:rFonts w:ascii="仿宋_GB2312" w:hAnsi="仿宋_GB2312" w:cs="仿宋_GB2312" w:eastAsia="仿宋_GB2312"/>
                <w:sz w:val="24"/>
                <w:color w:val="000000"/>
              </w:rPr>
              <w:t>承包人在施工过程中使用或参考上述标准、规范以外的技术标准、规范时，应征得发包人或发包人指定代表人的同意。</w:t>
            </w:r>
          </w:p>
          <w:p>
            <w:pPr>
              <w:pStyle w:val="null3"/>
              <w:jc w:val="both"/>
            </w:pPr>
            <w:r>
              <w:rPr>
                <w:rFonts w:ascii="仿宋_GB2312" w:hAnsi="仿宋_GB2312" w:cs="仿宋_GB2312" w:eastAsia="仿宋_GB2312"/>
                <w:sz w:val="24"/>
                <w:color w:val="000000"/>
              </w:rPr>
              <w:t>在施工过程中，如果国家或有关部门颁布了新的技术标准或规范，则承包人应采用新的标准或规范进行施工。</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b/>
                <w:color w:val="000000"/>
              </w:rPr>
              <w:t>八、图纸</w:t>
            </w:r>
          </w:p>
          <w:p>
            <w:pPr>
              <w:pStyle w:val="null3"/>
            </w:pPr>
            <w:r>
              <w:rPr>
                <w:rFonts w:ascii="仿宋_GB2312" w:hAnsi="仿宋_GB2312" w:cs="仿宋_GB2312" w:eastAsia="仿宋_GB2312"/>
                <w:sz w:val="24"/>
                <w:color w:val="000000"/>
              </w:rPr>
              <w:t>1.甲方不保证提供所有建筑物图纸。</w:t>
            </w:r>
          </w:p>
          <w:p>
            <w:pPr>
              <w:pStyle w:val="null3"/>
              <w:jc w:val="both"/>
            </w:pPr>
            <w:r>
              <w:rPr>
                <w:rFonts w:ascii="仿宋_GB2312" w:hAnsi="仿宋_GB2312" w:cs="仿宋_GB2312" w:eastAsia="仿宋_GB2312"/>
                <w:sz w:val="24"/>
                <w:color w:val="000000"/>
              </w:rPr>
              <w:t>2．如有新增和变更原有建筑消防设计时，乙方需在施工前提供设计图纸及图审。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b/>
                <w:color w:val="000000"/>
              </w:rPr>
              <w:t>九、工程量清单和采购清单要求</w:t>
            </w:r>
          </w:p>
          <w:p>
            <w:pPr>
              <w:pStyle w:val="null3"/>
              <w:ind w:firstLine="400"/>
            </w:pPr>
            <w:r>
              <w:rPr>
                <w:rFonts w:ascii="仿宋_GB2312" w:hAnsi="仿宋_GB2312" w:cs="仿宋_GB2312" w:eastAsia="仿宋_GB2312"/>
                <w:sz w:val="24"/>
                <w:color w:val="000000"/>
              </w:rPr>
              <w:t>1.工程量清单：详见“附件1：工程量清单”；</w:t>
            </w:r>
          </w:p>
          <w:p>
            <w:pPr>
              <w:pStyle w:val="null3"/>
              <w:ind w:firstLine="400"/>
            </w:pPr>
            <w:r>
              <w:rPr>
                <w:rFonts w:ascii="仿宋_GB2312" w:hAnsi="仿宋_GB2312" w:cs="仿宋_GB2312" w:eastAsia="仿宋_GB2312"/>
                <w:sz w:val="24"/>
                <w:color w:val="000000"/>
              </w:rPr>
              <w:t>2.图纸：详见“附件2：图纸”</w:t>
            </w:r>
          </w:p>
          <w:p>
            <w:pPr>
              <w:pStyle w:val="null3"/>
              <w:ind w:firstLine="400"/>
            </w:pPr>
            <w:r>
              <w:rPr>
                <w:rFonts w:ascii="仿宋_GB2312" w:hAnsi="仿宋_GB2312" w:cs="仿宋_GB2312" w:eastAsia="仿宋_GB2312"/>
                <w:sz w:val="24"/>
                <w:color w:val="000000"/>
              </w:rPr>
              <w:t>3.供应商提供的《工程量清单》编制单位名称、印章、签字完整，同时提供电子版（正版广联达系统生成）和《采购清单》一份，编制单位名称、印章、签字完整，同时提供电子版。</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rPr>
              <w:t>十、付款方式</w:t>
            </w:r>
          </w:p>
          <w:p>
            <w:pPr>
              <w:pStyle w:val="null3"/>
              <w:ind w:firstLine="400"/>
            </w:pPr>
            <w:r>
              <w:rPr>
                <w:rFonts w:ascii="仿宋_GB2312" w:hAnsi="仿宋_GB2312" w:cs="仿宋_GB2312" w:eastAsia="仿宋_GB2312"/>
                <w:sz w:val="24"/>
              </w:rPr>
              <w:t>1.付款方式要求</w:t>
            </w:r>
          </w:p>
          <w:p>
            <w:pPr>
              <w:pStyle w:val="null3"/>
              <w:ind w:firstLine="400"/>
            </w:pPr>
            <w:r>
              <w:rPr>
                <w:rFonts w:ascii="仿宋_GB2312" w:hAnsi="仿宋_GB2312" w:cs="仿宋_GB2312" w:eastAsia="仿宋_GB2312"/>
                <w:sz w:val="24"/>
              </w:rPr>
              <w:t>签订合同前向学校缴纳3%的履约保证金，合同签订后采购人支付40%合同金额的预付款。工程完工经学校验收合格后支付20%工程款，经工程审计，支付至审定价的100%。</w:t>
            </w:r>
          </w:p>
          <w:p>
            <w:pPr>
              <w:pStyle w:val="null3"/>
              <w:ind w:firstLine="400"/>
            </w:pPr>
            <w:r>
              <w:rPr>
                <w:rFonts w:ascii="仿宋_GB2312" w:hAnsi="仿宋_GB2312" w:cs="仿宋_GB2312" w:eastAsia="仿宋_GB2312"/>
                <w:sz w:val="24"/>
              </w:rPr>
              <w:t>2.履约保证金要求</w:t>
            </w:r>
          </w:p>
          <w:p>
            <w:pPr>
              <w:pStyle w:val="null3"/>
              <w:jc w:val="both"/>
            </w:pPr>
            <w:r>
              <w:rPr>
                <w:rFonts w:ascii="仿宋_GB2312" w:hAnsi="仿宋_GB2312" w:cs="仿宋_GB2312" w:eastAsia="仿宋_GB2312"/>
                <w:sz w:val="24"/>
              </w:rPr>
              <w:t>履约保证金基本要求：供应商成交后凭成交通知书向采购人缴纳成交金额的3%作为履约保证金，项目验收合格后履约保证金转为质保金，待质保期满后无息退还。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满足采购人要求及施工要求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叁份、电子版（U盘1个）壹份（包含word及PDF格式响应文件所有内容。）纸质响应文件建议A4纸双面打印，装订成册并编制目录和页码，单独密封并加盖公章。邮寄或现场提交均可。若电子响应文件与纸质响应文件不一致的，以电子响应文件为准。纸质响应文件可邮件递交，收件人：赵薇；联系电话：029-87888602转8013；收件地址：西安市碑林区长安北路8陕西高速大厦16楼；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响应文件提交截止日不足一年的，也可提供在工商管理部门备案的公司章程（以上五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合法有效的机电工程专业二级及以上注册建造师执业资格资质证书，同时具备有效的安全生产考核合格证书（安全B证），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供应商具备建设行政主管部门颁发合法有效的消防设施工程专业承包二级（含）以上资质，并具备有效的安全生产许可证。供应商需在项目电子化交易系统中按要求上传相应证明文件并进行电子签章。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陕西省省外企业须提供陕西省建筑市场监管与诚信信息一体化平台企业库查询截图（陕西省内公司需提供为本省企业的声明）。供应商需在项目电子化交易系统中按要求上传相应证明文件并进行电子签章。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本项目为专门面向中小企业项目，供应商应为中型企业或小型、微型企或监狱企业或残疾人福利性单位。供应商需在项目电子化交易系统中按要求上传相应证明文件并进行电子签章。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名称字章</w:t>
            </w:r>
          </w:p>
        </w:tc>
        <w:tc>
          <w:tcPr>
            <w:tcW w:type="dxa" w:w="3322"/>
          </w:tcPr>
          <w:p>
            <w:pPr>
              <w:pStyle w:val="null3"/>
            </w:pPr>
            <w:r>
              <w:rPr>
                <w:rFonts w:ascii="仿宋_GB2312" w:hAnsi="仿宋_GB2312" w:cs="仿宋_GB2312" w:eastAsia="仿宋_GB2312"/>
              </w:rPr>
              <w:t>供应商名称字章是一致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1供应商基本信息.docx 强制优先采购产品承诺函 2资格审查格式附件.docx 响应文件封面 项目管理机构组成表 残疾人福利性单位声明函 报价函 标的清单 供应商类似项目业绩一览表 3分项报价表（备用）.docx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供应商响应文件的签字盖章是否按照招标文件要求进行的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1供应商基本信息.docx 强制优先采购产品承诺函 2资格审查格式附件.docx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磋商有效期是否满足磋商文件最低要求90天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磋商报价是否唯一有效且报价未超过采购预算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商务和技术要求是否满足实质性要求</w:t>
            </w:r>
          </w:p>
        </w:tc>
        <w:tc>
          <w:tcPr>
            <w:tcW w:type="dxa" w:w="3322"/>
          </w:tcPr>
          <w:p>
            <w:pPr>
              <w:pStyle w:val="null3"/>
            </w:pPr>
            <w:r>
              <w:rPr>
                <w:rFonts w:ascii="仿宋_GB2312" w:hAnsi="仿宋_GB2312" w:cs="仿宋_GB2312" w:eastAsia="仿宋_GB2312"/>
              </w:rPr>
              <w:t>质保期、付款方式、工期是否响应招标要求。</w:t>
            </w:r>
          </w:p>
        </w:tc>
        <w:tc>
          <w:tcPr>
            <w:tcW w:type="dxa" w:w="1661"/>
          </w:tcPr>
          <w:p>
            <w:pPr>
              <w:pStyle w:val="null3"/>
            </w:pPr>
            <w:r>
              <w:rPr>
                <w:rFonts w:ascii="仿宋_GB2312" w:hAnsi="仿宋_GB2312" w:cs="仿宋_GB2312" w:eastAsia="仿宋_GB2312"/>
              </w:rPr>
              <w:t>项目管理机构组成表 技术服务合同条款及其他商务要求应答表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 1.提供的方案内容完全满足采购需求，思路清晰，逻辑缜密，科学高效每项计2.5分； 2.提供的方案内容基本满足需求，思路清晰，科学合理每项计2分； 3.提供的方案内容基本满足需求，描述完整每项计1.5分； 4.提供的方案内容简单，描述较完整每项计1分； 5.提供的方案内容不详尽或不适用于本项目，每项计0.5分；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供应商提供针对本项目的安全管理方案，包含：①安全管理体系与措施②安全文明施工措施③安全教育及培训计划④安全防护措施。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环保方案</w:t>
            </w:r>
          </w:p>
        </w:tc>
        <w:tc>
          <w:tcPr>
            <w:tcW w:type="dxa" w:w="2492"/>
          </w:tcPr>
          <w:p>
            <w:pPr>
              <w:pStyle w:val="null3"/>
            </w:pPr>
            <w:r>
              <w:rPr>
                <w:rFonts w:ascii="仿宋_GB2312" w:hAnsi="仿宋_GB2312" w:cs="仿宋_GB2312" w:eastAsia="仿宋_GB2312"/>
              </w:rPr>
              <w:t xml:space="preserve"> 供应商提供针对本项目的环保方案，包含：①环境保护管理体系与措施②污染物处理及排放符合国家及地方环境保护标准性③现场扬尘预防措施。 1.提供的方案内容完全满足采购需求，思路清晰，逻辑缜密，科学高效每项计1分； 2.提供的方案内容简单，描述较完整每项计0.5分； 3.未提供不计分。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 xml:space="preserve"> 供应商提供针对本项目的质量管理方案，包含：①质量管理体系②质量保证措施.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主要关键设备来源渠道</w:t>
            </w:r>
          </w:p>
        </w:tc>
        <w:tc>
          <w:tcPr>
            <w:tcW w:type="dxa" w:w="2492"/>
          </w:tcPr>
          <w:p>
            <w:pPr>
              <w:pStyle w:val="null3"/>
            </w:pPr>
            <w:r>
              <w:rPr>
                <w:rFonts w:ascii="仿宋_GB2312" w:hAnsi="仿宋_GB2312" w:cs="仿宋_GB2312" w:eastAsia="仿宋_GB2312"/>
              </w:rPr>
              <w:t xml:space="preserve"> 供应商提供应急灯、电源线、壁挂式报警主机、自救卷盘、疏散指示标识、安全出口标识、感烟探测器、感温探测器来源渠道证明材料（制造商直接投标的提供与投标设备品牌和型号相同的商标证明或检测证明或设备技术说明书等技术文件；非制造商投标的需提供产品制造商授权或销售协议或代理协议或原厂授权等来源渠道证明资料）每提供1种证明材料计0.5分，最多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工期进度</w:t>
            </w:r>
          </w:p>
        </w:tc>
        <w:tc>
          <w:tcPr>
            <w:tcW w:type="dxa" w:w="2492"/>
          </w:tcPr>
          <w:p>
            <w:pPr>
              <w:pStyle w:val="null3"/>
            </w:pPr>
            <w:r>
              <w:rPr>
                <w:rFonts w:ascii="仿宋_GB2312" w:hAnsi="仿宋_GB2312" w:cs="仿宋_GB2312" w:eastAsia="仿宋_GB2312"/>
              </w:rPr>
              <w:t xml:space="preserve"> 供应商提供针对本项目的工期进度安排计划，包含：①保证工期实施措施方案②施工进度表或施工网络图。 1.提供的方案内容完全满足采购需求，思路清晰，逻辑缜密，科学高效每项计3.5分； 2.提供的方案内容基本满足需求，思路清晰，科学合理每项计2.5分； 3.提供的方案内容基本满足需求，描述完整每项计1.5分；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 xml:space="preserve"> 拟派驻场技术负责人为一级注册消防工程师，计2分；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项目组成员1</w:t>
            </w:r>
          </w:p>
        </w:tc>
        <w:tc>
          <w:tcPr>
            <w:tcW w:type="dxa" w:w="2492"/>
          </w:tcPr>
          <w:p>
            <w:pPr>
              <w:pStyle w:val="null3"/>
            </w:pPr>
            <w:r>
              <w:rPr>
                <w:rFonts w:ascii="仿宋_GB2312" w:hAnsi="仿宋_GB2312" w:cs="仿宋_GB2312" w:eastAsia="仿宋_GB2312"/>
              </w:rPr>
              <w:t xml:space="preserve"> 驻场成员组（不含项目经理、技术负责人）中每增加一名机电工程专业贰级（含贰级）及以上注册建造师计0.5分，最多得2分。附人员证书资料。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项目组成员2</w:t>
            </w:r>
          </w:p>
        </w:tc>
        <w:tc>
          <w:tcPr>
            <w:tcW w:type="dxa" w:w="2492"/>
          </w:tcPr>
          <w:p>
            <w:pPr>
              <w:pStyle w:val="null3"/>
            </w:pPr>
            <w:r>
              <w:rPr>
                <w:rFonts w:ascii="仿宋_GB2312" w:hAnsi="仿宋_GB2312" w:cs="仿宋_GB2312" w:eastAsia="仿宋_GB2312"/>
              </w:rPr>
              <w:t xml:space="preserve"> 驻场成员组（不含项目经理、技术负责人）中每增加一名一级注册消防工程师计1分最多得2分。附人员证书资料。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项目组成员3</w:t>
            </w:r>
          </w:p>
        </w:tc>
        <w:tc>
          <w:tcPr>
            <w:tcW w:type="dxa" w:w="2492"/>
          </w:tcPr>
          <w:p>
            <w:pPr>
              <w:pStyle w:val="null3"/>
            </w:pPr>
            <w:r>
              <w:rPr>
                <w:rFonts w:ascii="仿宋_GB2312" w:hAnsi="仿宋_GB2312" w:cs="仿宋_GB2312" w:eastAsia="仿宋_GB2312"/>
              </w:rPr>
              <w:t xml:space="preserve"> 针对本项目提供项目组人员，包含岗位设置，人员专业技术能力等进行赋分。 1.提供的项目组人员方案内容完全满足采购需求，岗位设置科学、合理，专业人员证书齐全计5分； 2.提供的项目组人员方案内容完全满足采购需求，岗位设置合理，提供部分专业人员证书计3分； 3.提供的项目组人员方案较简单计1分；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项目组成员4</w:t>
            </w:r>
          </w:p>
        </w:tc>
        <w:tc>
          <w:tcPr>
            <w:tcW w:type="dxa" w:w="2492"/>
          </w:tcPr>
          <w:p>
            <w:pPr>
              <w:pStyle w:val="null3"/>
            </w:pPr>
            <w:r>
              <w:rPr>
                <w:rFonts w:ascii="仿宋_GB2312" w:hAnsi="仿宋_GB2312" w:cs="仿宋_GB2312" w:eastAsia="仿宋_GB2312"/>
              </w:rPr>
              <w:t xml:space="preserve"> 进场人数不少于20人，计1分；进场人数不少于25人，计2分。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现场成品保护措施</w:t>
            </w:r>
          </w:p>
        </w:tc>
        <w:tc>
          <w:tcPr>
            <w:tcW w:type="dxa" w:w="2492"/>
          </w:tcPr>
          <w:p>
            <w:pPr>
              <w:pStyle w:val="null3"/>
            </w:pPr>
            <w:r>
              <w:rPr>
                <w:rFonts w:ascii="仿宋_GB2312" w:hAnsi="仿宋_GB2312" w:cs="仿宋_GB2312" w:eastAsia="仿宋_GB2312"/>
              </w:rPr>
              <w:t xml:space="preserve"> 供应商提供针对本项目的现场成品保护措施方案，包含：①原有设施保护措施②已完工成品保护措施。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w:t>
            </w:r>
          </w:p>
        </w:tc>
        <w:tc>
          <w:tcPr>
            <w:tcW w:type="dxa" w:w="2492"/>
          </w:tcPr>
          <w:p>
            <w:pPr>
              <w:pStyle w:val="null3"/>
            </w:pPr>
            <w:r>
              <w:rPr>
                <w:rFonts w:ascii="仿宋_GB2312" w:hAnsi="仿宋_GB2312" w:cs="仿宋_GB2312" w:eastAsia="仿宋_GB2312"/>
              </w:rPr>
              <w:t>供应商提供针对本项目的施工机械及材料投入计划，包含：①施工机械投入②施工材料投入计划。 1.提供的方案内容完全满足采购需求，思路清晰，逻辑缜密，科学高效每项计1.5分； 2.提供的方案内容基本满足需求，思路清晰，科学合理每项计1分； 3.提供的方案内容不详尽或不适用于本项目，每项计0.5分； 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 xml:space="preserve"> 针对本项目提供应急方案，应急方案内容包含①应急服务承诺②后期实施中可能发生的突发状况制定预案。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质保、售后服务方案1</w:t>
            </w:r>
          </w:p>
        </w:tc>
        <w:tc>
          <w:tcPr>
            <w:tcW w:type="dxa" w:w="2492"/>
          </w:tcPr>
          <w:p>
            <w:pPr>
              <w:pStyle w:val="null3"/>
            </w:pPr>
            <w:r>
              <w:rPr>
                <w:rFonts w:ascii="仿宋_GB2312" w:hAnsi="仿宋_GB2312" w:cs="仿宋_GB2312" w:eastAsia="仿宋_GB2312"/>
              </w:rPr>
              <w:t xml:space="preserve"> 供应商提供针对本项目质保期间的质保措施。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质保、售后服务方案2</w:t>
            </w:r>
          </w:p>
        </w:tc>
        <w:tc>
          <w:tcPr>
            <w:tcW w:type="dxa" w:w="2492"/>
          </w:tcPr>
          <w:p>
            <w:pPr>
              <w:pStyle w:val="null3"/>
            </w:pPr>
            <w:r>
              <w:rPr>
                <w:rFonts w:ascii="仿宋_GB2312" w:hAnsi="仿宋_GB2312" w:cs="仿宋_GB2312" w:eastAsia="仿宋_GB2312"/>
              </w:rPr>
              <w:t xml:space="preserve"> 针对本项目提供售后服务方案，①根据方案的详细程度及其售后服务人员的组成与经验；②根据对处理质保问题时效性；③根据验收方案的可实施性。 1.提供的方案内容完全满足采购需求，思路清晰，逻辑缜密，科学高效每项计2分； 2.提供的方案内容基本满足需求，思路清晰，科学合理每项计1.5分； 3.提供的方案内容基本满足需求，描述完整每项计1分； 4.提供的方案内容不详尽或不适用于本项目，每项计0.5分； 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供应商自2022年1月1日至今以来完成的同类项目每个计1分，最多计5分（以完整合同和中标（成交）通知书为准，提供合同复印件加盖供应商公章。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详见附件：2资格审查格式附件.docx</w:t>
      </w:r>
    </w:p>
    <w:p>
      <w:pPr>
        <w:pStyle w:val="null3"/>
        <w:ind w:firstLine="960"/>
      </w:pPr>
      <w:r>
        <w:rPr>
          <w:rFonts w:ascii="仿宋_GB2312" w:hAnsi="仿宋_GB2312" w:cs="仿宋_GB2312" w:eastAsia="仿宋_GB2312"/>
        </w:rPr>
        <w:t>详见附件：3分项报价表（备用）.docx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详见附件：4合同协议书（10920）.docx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