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版本号：ZX2025-06-1420250703001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重点人群信息系统运维项目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ZX2025-06-14</w:t>
      </w:r>
      <w:r>
        <w:br/>
      </w:r>
      <w:r>
        <w:br/>
      </w:r>
      <w:r>
        <w:br/>
      </w:r>
    </w:p>
    <w:p>
      <w:pPr>
        <w:pStyle w:val="null3"/>
        <w:jc w:val="center"/>
        <w:outlineLvl w:val="2"/>
      </w:pPr>
      <w:r>
        <w:rPr>
          <w:rFonts w:ascii="仿宋_GB2312" w:hAnsi="仿宋_GB2312" w:cs="仿宋_GB2312" w:eastAsia="仿宋_GB2312"/>
          <w:sz w:val="28"/>
          <w:b/>
        </w:rPr>
        <w:t>陕西省卫生健康信息中心</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陕西省卫生健康信息中心</w:t>
      </w:r>
      <w:r>
        <w:rPr>
          <w:rFonts w:ascii="仿宋_GB2312" w:hAnsi="仿宋_GB2312" w:cs="仿宋_GB2312" w:eastAsia="仿宋_GB2312"/>
        </w:rPr>
        <w:t>委托，拟对</w:t>
      </w:r>
      <w:r>
        <w:rPr>
          <w:rFonts w:ascii="仿宋_GB2312" w:hAnsi="仿宋_GB2312" w:cs="仿宋_GB2312" w:eastAsia="仿宋_GB2312"/>
        </w:rPr>
        <w:t>重点人群信息系统运维项目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ZX2025-06-14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重点人群信息系统运维项目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重点人群信息系统运维项目，共分为三个采购包。具体采购需求详见磋商文件第三章。 本项目兼投不兼中，供应商可投多个包但最多只能中一个包。评审按照“采购包1、采购包2、采购包3”顺序进行评审，如供应商已经被推荐为前述包第一成交候选人，可参与后续其他采购包评审，但不再被推荐为成交候选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采购包1（省老龄健康信息系统（即老龄健康主题库）运维）：属于专门面向中小企业采购。</w:t>
      </w:r>
    </w:p>
    <w:p>
      <w:pPr>
        <w:pStyle w:val="null3"/>
      </w:pPr>
      <w:r>
        <w:rPr>
          <w:rFonts w:ascii="仿宋_GB2312" w:hAnsi="仿宋_GB2312" w:cs="仿宋_GB2312" w:eastAsia="仿宋_GB2312"/>
        </w:rPr>
        <w:t>采购包2（省妇幼健康信息系统运维）：属于专门面向中小企业采购。</w:t>
      </w:r>
    </w:p>
    <w:p>
      <w:pPr>
        <w:pStyle w:val="null3"/>
      </w:pPr>
      <w:r>
        <w:rPr>
          <w:rFonts w:ascii="仿宋_GB2312" w:hAnsi="仿宋_GB2312" w:cs="仿宋_GB2312" w:eastAsia="仿宋_GB2312"/>
        </w:rPr>
        <w:t>采购包3（省职业健康工作信息平台运维）：属于专门面向中小企业采购。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2、不接受联合体投标，不允许分包：本项目不接受联合体投标，不允许分包。供应商应提供《非联合体不分包投标声明》。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2、不接受联合体投标，不允许分包：本项目不接受联合体投标，不允许分包。供应商应提供《非联合体不分包投标声明》。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2、不接受联合体投标，不允许分包：本项目不接受联合体投标，不允许分包。供应商应提供《非联合体不分包投标声明》。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陕西省卫生健康信息中心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西安市莲湖区顺城北路西段38号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苏老师、郭老师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029-87315993、029-89621430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罗永山 王琦 曹婷 马演 王宇轩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采购包1：100,000.00元</w:t>
            </w:r>
          </w:p>
          <w:p>
            <w:pPr>
              <w:pStyle w:val="null3"/>
            </w:pPr>
            <w:r>
              <w:rPr>
                <w:rFonts w:ascii="仿宋_GB2312" w:hAnsi="仿宋_GB2312" w:cs="仿宋_GB2312" w:eastAsia="仿宋_GB2312"/>
              </w:rPr>
              <w:t>采购包2：250,000.00元</w:t>
            </w:r>
          </w:p>
          <w:p>
            <w:pPr>
              <w:pStyle w:val="null3"/>
            </w:pPr>
            <w:r>
              <w:rPr>
                <w:rFonts w:ascii="仿宋_GB2312" w:hAnsi="仿宋_GB2312" w:cs="仿宋_GB2312" w:eastAsia="仿宋_GB2312"/>
              </w:rPr>
              <w:t>采购包3：280,000.00元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采购包1保证金金额：1,061.40元</w:t>
            </w:r>
          </w:p>
          <w:p>
            <w:pPr>
              <w:pStyle w:val="null3"/>
            </w:pPr>
            <w:r>
              <w:rPr>
                <w:rFonts w:ascii="仿宋_GB2312" w:hAnsi="仿宋_GB2312" w:cs="仿宋_GB2312" w:eastAsia="仿宋_GB2312"/>
              </w:rPr>
              <w:t>采购包2保证金金额：4,061.40元</w:t>
            </w:r>
          </w:p>
          <w:p>
            <w:pPr>
              <w:pStyle w:val="null3"/>
            </w:pPr>
            <w:r>
              <w:rPr>
                <w:rFonts w:ascii="仿宋_GB2312" w:hAnsi="仿宋_GB2312" w:cs="仿宋_GB2312" w:eastAsia="仿宋_GB2312"/>
              </w:rPr>
              <w:t>采购包3保证金金额：5,061.40元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开户名称：陕西正信招标有限公司（资金性质：保证金专用账户）</w:t>
            </w:r>
          </w:p>
          <w:p>
            <w:pPr>
              <w:pStyle w:val="null3"/>
            </w:pPr>
            <w:r>
              <w:rPr>
                <w:rFonts w:ascii="仿宋_GB2312" w:hAnsi="仿宋_GB2312" w:cs="仿宋_GB2312" w:eastAsia="仿宋_GB2312"/>
              </w:rPr>
              <w:t>开户银行：中国银行西安四府街支行</w:t>
            </w:r>
          </w:p>
          <w:p>
            <w:pPr>
              <w:pStyle w:val="null3"/>
            </w:pPr>
            <w:r>
              <w:rPr>
                <w:rFonts w:ascii="仿宋_GB2312" w:hAnsi="仿宋_GB2312" w:cs="仿宋_GB2312" w:eastAsia="仿宋_GB2312"/>
              </w:rPr>
              <w:t>银行账号：102500641590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陕西省卫生健康信息中心</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陕西省卫生健康信息中心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陕西省卫生健康信息中心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按照磋商文件、供应商响应文件及合同文本执行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按照磋商文件、供应商响应文件及合同文本执行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按照磋商文件、供应商响应文件及合同文本执行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联系人：王琦、罗永山</w:t>
      </w:r>
    </w:p>
    <w:p>
      <w:pPr>
        <w:pStyle w:val="null3"/>
      </w:pPr>
      <w:r>
        <w:rPr>
          <w:rFonts w:ascii="仿宋_GB2312" w:hAnsi="仿宋_GB2312" w:cs="仿宋_GB2312" w:eastAsia="仿宋_GB2312"/>
        </w:rPr>
        <w:t>联系电话：029-88110800转8026（2416573385@qq.com）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重点人群信息系统运维项目，共分为三个采购包。具体采购需求详见技术参数与性能指标。 本项目兼投不兼中，供应商可投多个包但最多只能中一个包。评审按照“采购包1、采购包2、采购包3”顺序进行评审，如供应商已经被推荐为前述包第一成交候选人，可参与后续其他采购包评审，但不再被推荐为成交候选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省老龄健康信息系统（即老龄健康主题库）运维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省妇幼健康信息系统运维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省职业健康工作信息平台运维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标的名称：省老龄健康信息系统（即老龄健康主题库）运维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一、总体要求</w:t>
            </w:r>
          </w:p>
          <w:p>
            <w:pPr>
              <w:pStyle w:val="null3"/>
            </w:pPr>
            <w:r>
              <w:rPr>
                <w:rFonts w:ascii="仿宋_GB2312" w:hAnsi="仿宋_GB2312" w:cs="仿宋_GB2312" w:eastAsia="仿宋_GB2312"/>
              </w:rPr>
              <w:t>按照陕西省卫生健康委老龄健康处对老龄工作的要求，通过项目运维，完成如下内容：一是按照国家卫健委老龄健康司、省卫健委老龄健康处相关要求，按时、保质保量完成全国老龄健康数据上报工作。二是做好老龄健康数据的展示。三是按照干系人需求，做好老龄健康主题库数据与基本公卫、人口库等其他系统的互联互通。四是根据老龄主题库数据情况编写2025年度老龄主题库数据报告。五是做好网络安全和系统运行维护管理工作。</w:t>
            </w:r>
          </w:p>
          <w:p>
            <w:pPr>
              <w:pStyle w:val="null3"/>
            </w:pPr>
            <w:r>
              <w:rPr>
                <w:rFonts w:ascii="仿宋_GB2312" w:hAnsi="仿宋_GB2312" w:cs="仿宋_GB2312" w:eastAsia="仿宋_GB2312"/>
              </w:rPr>
              <w:t>二、运维范围及服务期</w:t>
            </w:r>
          </w:p>
          <w:p>
            <w:pPr>
              <w:pStyle w:val="null3"/>
            </w:pPr>
            <w:r>
              <w:rPr>
                <w:rFonts w:ascii="仿宋_GB2312" w:hAnsi="仿宋_GB2312" w:cs="仿宋_GB2312" w:eastAsia="仿宋_GB2312"/>
              </w:rPr>
              <w:t>1.运维范围：陕西省老龄健康信息系统（即老龄健康主题库）的运维。</w:t>
            </w:r>
          </w:p>
          <w:p>
            <w:pPr>
              <w:pStyle w:val="null3"/>
            </w:pPr>
            <w:r>
              <w:rPr>
                <w:rFonts w:ascii="仿宋_GB2312" w:hAnsi="仿宋_GB2312" w:cs="仿宋_GB2312" w:eastAsia="仿宋_GB2312"/>
              </w:rPr>
              <w:t>2.服务期：2025年8月27日至2026年8月26日。</w:t>
            </w:r>
          </w:p>
          <w:p>
            <w:pPr>
              <w:pStyle w:val="null3"/>
            </w:pPr>
            <w:r>
              <w:rPr>
                <w:rFonts w:ascii="仿宋_GB2312" w:hAnsi="仿宋_GB2312" w:cs="仿宋_GB2312" w:eastAsia="仿宋_GB2312"/>
              </w:rPr>
              <w:t>三、软件运维服务和要求</w:t>
            </w:r>
          </w:p>
          <w:p>
            <w:pPr>
              <w:pStyle w:val="null3"/>
            </w:pPr>
            <w:r>
              <w:rPr>
                <w:rFonts w:ascii="仿宋_GB2312" w:hAnsi="仿宋_GB2312" w:cs="仿宋_GB2312" w:eastAsia="仿宋_GB2312"/>
              </w:rPr>
              <w:t>（一）全国老龄健康数据上报</w:t>
            </w:r>
          </w:p>
          <w:p>
            <w:pPr>
              <w:pStyle w:val="null3"/>
            </w:pPr>
            <w:r>
              <w:rPr>
                <w:rFonts w:ascii="仿宋_GB2312" w:hAnsi="仿宋_GB2312" w:cs="仿宋_GB2312" w:eastAsia="仿宋_GB2312"/>
              </w:rPr>
              <w:t>1.按照国家卫健委老龄健康司、省卫健委老龄健康处相关要求相关要求，按时、保质保量完成全国老龄健康数据上报工作。</w:t>
            </w:r>
          </w:p>
          <w:p>
            <w:pPr>
              <w:pStyle w:val="null3"/>
            </w:pPr>
            <w:r>
              <w:rPr>
                <w:rFonts w:ascii="仿宋_GB2312" w:hAnsi="仿宋_GB2312" w:cs="仿宋_GB2312" w:eastAsia="仿宋_GB2312"/>
              </w:rPr>
              <w:t>2.统计各市（区）、各县（区）基本公卫、家医签约等数据的上报时效、质量等情况，并及时反馈。</w:t>
            </w:r>
          </w:p>
          <w:p>
            <w:pPr>
              <w:pStyle w:val="null3"/>
            </w:pPr>
            <w:r>
              <w:rPr>
                <w:rFonts w:ascii="仿宋_GB2312" w:hAnsi="仿宋_GB2312" w:cs="仿宋_GB2312" w:eastAsia="仿宋_GB2312"/>
              </w:rPr>
              <w:t>（二）数据展示</w:t>
            </w:r>
          </w:p>
          <w:p>
            <w:pPr>
              <w:pStyle w:val="null3"/>
            </w:pPr>
            <w:r>
              <w:rPr>
                <w:rFonts w:ascii="仿宋_GB2312" w:hAnsi="仿宋_GB2312" w:cs="仿宋_GB2312" w:eastAsia="仿宋_GB2312"/>
              </w:rPr>
              <w:t>在本系统展示清洗、推送后的老龄健康数据，包括个案展示与统计展示，个案展示需从省级逐级下钻至县级。</w:t>
            </w:r>
          </w:p>
          <w:p>
            <w:pPr>
              <w:pStyle w:val="null3"/>
            </w:pPr>
            <w:r>
              <w:rPr>
                <w:rFonts w:ascii="仿宋_GB2312" w:hAnsi="仿宋_GB2312" w:cs="仿宋_GB2312" w:eastAsia="仿宋_GB2312"/>
              </w:rPr>
              <w:t>（三）编写2025年度老龄主题库数据报告</w:t>
            </w:r>
          </w:p>
          <w:p>
            <w:pPr>
              <w:pStyle w:val="null3"/>
            </w:pPr>
            <w:r>
              <w:rPr>
                <w:rFonts w:ascii="仿宋_GB2312" w:hAnsi="仿宋_GB2312" w:cs="仿宋_GB2312" w:eastAsia="仿宋_GB2312"/>
              </w:rPr>
              <w:t>根据全国老龄健康数据上报的结果及2025年度数据收集情况，编写2025年度老龄主题库数据报告。</w:t>
            </w:r>
          </w:p>
          <w:p>
            <w:pPr>
              <w:pStyle w:val="null3"/>
            </w:pPr>
            <w:r>
              <w:rPr>
                <w:rFonts w:ascii="仿宋_GB2312" w:hAnsi="仿宋_GB2312" w:cs="仿宋_GB2312" w:eastAsia="仿宋_GB2312"/>
              </w:rPr>
              <w:t>（四）技术支持</w:t>
            </w:r>
          </w:p>
          <w:p>
            <w:pPr>
              <w:pStyle w:val="null3"/>
            </w:pPr>
            <w:r>
              <w:rPr>
                <w:rFonts w:ascii="仿宋_GB2312" w:hAnsi="仿宋_GB2312" w:cs="仿宋_GB2312" w:eastAsia="仿宋_GB2312"/>
              </w:rPr>
              <w:t>1.提供专业的系统维护服务、软件服务、功能完善、性能调优等相关工作，保障系统7×24小时应用不中断，对系统运行情况进行监控和记录，及时发现和解决潜在的隐患，保障系统正常运行、解答和解决用户遇到各类问题。</w:t>
            </w:r>
          </w:p>
          <w:p>
            <w:pPr>
              <w:pStyle w:val="null3"/>
            </w:pPr>
            <w:r>
              <w:rPr>
                <w:rFonts w:ascii="仿宋_GB2312" w:hAnsi="仿宋_GB2312" w:cs="仿宋_GB2312" w:eastAsia="仿宋_GB2312"/>
              </w:rPr>
              <w:t>2.供应商需提供平台故障技术支持，对软件问题2小时响应，在遇到问题无法远程操作解决时，应在48小时内到指定现场处理问题，并及时反馈相关服务信息，遇特殊情况双方协商解决。</w:t>
            </w:r>
          </w:p>
          <w:p>
            <w:pPr>
              <w:pStyle w:val="null3"/>
            </w:pPr>
            <w:r>
              <w:rPr>
                <w:rFonts w:ascii="仿宋_GB2312" w:hAnsi="仿宋_GB2312" w:cs="仿宋_GB2312" w:eastAsia="仿宋_GB2312"/>
              </w:rPr>
              <w:t>3.维护内容主要包括由于平台软件本身问题引起的不能使系统正常运行的相关内容，即软件缺陷、故障的修改和完善。</w:t>
            </w:r>
          </w:p>
          <w:p>
            <w:pPr>
              <w:pStyle w:val="null3"/>
            </w:pPr>
            <w:r>
              <w:rPr>
                <w:rFonts w:ascii="仿宋_GB2312" w:hAnsi="仿宋_GB2312" w:cs="仿宋_GB2312" w:eastAsia="仿宋_GB2312"/>
              </w:rPr>
              <w:t>4.安全巡检及系统监控：定制应用系统相关巡检计划，定期进行巡检，严格执行系统巡检工作并填写巡检记录表。</w:t>
            </w:r>
          </w:p>
          <w:p>
            <w:pPr>
              <w:pStyle w:val="null3"/>
            </w:pPr>
            <w:r>
              <w:rPr>
                <w:rFonts w:ascii="仿宋_GB2312" w:hAnsi="仿宋_GB2312" w:cs="仿宋_GB2312" w:eastAsia="仿宋_GB2312"/>
              </w:rPr>
              <w:t>5.安全漏洞修复与反馈：遇有检出安全漏洞，供应商须在2小时响应，在双方约定时间内完成安全漏洞修复并确认漏洞修复报告。</w:t>
            </w:r>
          </w:p>
          <w:p>
            <w:pPr>
              <w:pStyle w:val="null3"/>
            </w:pPr>
            <w:r>
              <w:rPr>
                <w:rFonts w:ascii="仿宋_GB2312" w:hAnsi="仿宋_GB2312" w:cs="仿宋_GB2312" w:eastAsia="仿宋_GB2312"/>
              </w:rPr>
              <w:t>6.完成系统的数据备份管理，不定期开展数据的还原和验证工作。</w:t>
            </w:r>
          </w:p>
          <w:p>
            <w:pPr>
              <w:pStyle w:val="null3"/>
            </w:pPr>
            <w:r>
              <w:rPr>
                <w:rFonts w:ascii="仿宋_GB2312" w:hAnsi="仿宋_GB2312" w:cs="仿宋_GB2312" w:eastAsia="仿宋_GB2312"/>
              </w:rPr>
              <w:t>7.按照省卫生健康信息中心的要求，基于项目范围进行适配性响应。</w:t>
            </w:r>
          </w:p>
          <w:p>
            <w:pPr>
              <w:pStyle w:val="null3"/>
            </w:pPr>
            <w:r>
              <w:rPr>
                <w:rFonts w:ascii="仿宋_GB2312" w:hAnsi="仿宋_GB2312" w:cs="仿宋_GB2312" w:eastAsia="仿宋_GB2312"/>
              </w:rPr>
              <w:t>（五）指导和培训</w:t>
            </w:r>
          </w:p>
          <w:p>
            <w:pPr>
              <w:pStyle w:val="null3"/>
            </w:pPr>
            <w:r>
              <w:rPr>
                <w:rFonts w:ascii="仿宋_GB2312" w:hAnsi="仿宋_GB2312" w:cs="仿宋_GB2312" w:eastAsia="仿宋_GB2312"/>
              </w:rPr>
              <w:t>1.及时提供系统的操作指导、培训、业务咨询等服务。如遇突发事件则快速响应，及时与客户联系并配合工作。</w:t>
            </w:r>
          </w:p>
          <w:p>
            <w:pPr>
              <w:pStyle w:val="null3"/>
            </w:pPr>
            <w:r>
              <w:rPr>
                <w:rFonts w:ascii="仿宋_GB2312" w:hAnsi="仿宋_GB2312" w:cs="仿宋_GB2312" w:eastAsia="仿宋_GB2312"/>
              </w:rPr>
              <w:t>2.需提供平台所有功能模块的详细操作手册，在系统功能产生变化时及时更新材料，并及时公布。</w:t>
            </w:r>
          </w:p>
          <w:p>
            <w:pPr>
              <w:pStyle w:val="null3"/>
            </w:pPr>
            <w:r>
              <w:rPr>
                <w:rFonts w:ascii="仿宋_GB2312" w:hAnsi="仿宋_GB2312" w:cs="仿宋_GB2312" w:eastAsia="仿宋_GB2312"/>
              </w:rPr>
              <w:t>（六）互联互通要求</w:t>
            </w:r>
          </w:p>
          <w:p>
            <w:pPr>
              <w:pStyle w:val="null3"/>
            </w:pPr>
            <w:r>
              <w:rPr>
                <w:rFonts w:ascii="仿宋_GB2312" w:hAnsi="仿宋_GB2312" w:cs="仿宋_GB2312" w:eastAsia="仿宋_GB2312"/>
              </w:rPr>
              <w:t>1.与陕西省老龄工作管理信息系统对接，收集老年人基本信息、老年人死亡信息、老年人复审认证信息、老年人自理能力自评估数据、老年人居住情况数据。</w:t>
            </w:r>
          </w:p>
          <w:p>
            <w:pPr>
              <w:pStyle w:val="null3"/>
            </w:pPr>
            <w:r>
              <w:rPr>
                <w:rFonts w:ascii="仿宋_GB2312" w:hAnsi="仿宋_GB2312" w:cs="仿宋_GB2312" w:eastAsia="仿宋_GB2312"/>
              </w:rPr>
              <w:t>2.对接省级家医签约监管平台、省人口库，收集汇总老年人基本情况和老年人健康服务信息。</w:t>
            </w:r>
          </w:p>
          <w:p>
            <w:pPr>
              <w:pStyle w:val="null3"/>
            </w:pPr>
            <w:r>
              <w:rPr>
                <w:rFonts w:ascii="仿宋_GB2312" w:hAnsi="仿宋_GB2312" w:cs="仿宋_GB2312" w:eastAsia="仿宋_GB2312"/>
              </w:rPr>
              <w:t>3.对各市（区）、县（区）家医签约系统和基本公卫系统，收集汇总老年人健康服务信息。</w:t>
            </w:r>
          </w:p>
          <w:p>
            <w:pPr>
              <w:pStyle w:val="null3"/>
            </w:pPr>
            <w:r>
              <w:rPr>
                <w:rFonts w:ascii="仿宋_GB2312" w:hAnsi="仿宋_GB2312" w:cs="仿宋_GB2312" w:eastAsia="仿宋_GB2312"/>
              </w:rPr>
              <w:t>4.老龄健康主题库数据通过全民健康平台的共享交换枢纽对基本公卫系统、人口库的数据反哺。提升基本公卫系统、人口库中老龄健康管理的效率和水平。</w:t>
            </w:r>
          </w:p>
          <w:p>
            <w:pPr>
              <w:pStyle w:val="null3"/>
            </w:pPr>
            <w:r>
              <w:rPr>
                <w:rFonts w:ascii="仿宋_GB2312" w:hAnsi="仿宋_GB2312" w:cs="仿宋_GB2312" w:eastAsia="仿宋_GB2312"/>
              </w:rPr>
              <w:t>5.按照陕西省卫生健康委员会或陕西省卫生健康信息中心的规划和要求，做好省老龄健康信息系统（即老龄健康主题库）与省全民健康平台、“三秦智医助理”系统的互联互通。</w:t>
            </w:r>
          </w:p>
          <w:p>
            <w:pPr>
              <w:pStyle w:val="null3"/>
            </w:pPr>
            <w:r>
              <w:rPr>
                <w:rFonts w:ascii="仿宋_GB2312" w:hAnsi="仿宋_GB2312" w:cs="仿宋_GB2312" w:eastAsia="仿宋_GB2312"/>
              </w:rPr>
              <w:t>6.按照省民政厅和委老龄处的需求，将老龄健康主题库数据反哺民政相关系统。</w:t>
            </w:r>
          </w:p>
          <w:p>
            <w:pPr>
              <w:pStyle w:val="null3"/>
            </w:pPr>
            <w:r>
              <w:rPr>
                <w:rFonts w:ascii="仿宋_GB2312" w:hAnsi="仿宋_GB2312" w:cs="仿宋_GB2312" w:eastAsia="仿宋_GB2312"/>
              </w:rPr>
              <w:t>四、规范和标准要求</w:t>
            </w:r>
          </w:p>
          <w:p>
            <w:pPr>
              <w:pStyle w:val="null3"/>
            </w:pPr>
            <w:r>
              <w:rPr>
                <w:rFonts w:ascii="仿宋_GB2312" w:hAnsi="仿宋_GB2312" w:cs="仿宋_GB2312" w:eastAsia="仿宋_GB2312"/>
              </w:rPr>
              <w:t>完善和修订陕西省老龄中间库的接口规范和数据标准。完善老龄健康数据清洗的流程和方案，完善数据清洗标准。</w:t>
            </w:r>
          </w:p>
          <w:p>
            <w:pPr>
              <w:pStyle w:val="null3"/>
            </w:pPr>
            <w:r>
              <w:rPr>
                <w:rFonts w:ascii="仿宋_GB2312" w:hAnsi="仿宋_GB2312" w:cs="仿宋_GB2312" w:eastAsia="仿宋_GB2312"/>
              </w:rPr>
              <w:t>五、信息安全要求</w:t>
            </w:r>
          </w:p>
          <w:p>
            <w:pPr>
              <w:pStyle w:val="null3"/>
            </w:pPr>
            <w:r>
              <w:rPr>
                <w:rFonts w:ascii="仿宋_GB2312" w:hAnsi="仿宋_GB2312" w:cs="仿宋_GB2312" w:eastAsia="仿宋_GB2312"/>
              </w:rPr>
              <w:t>1.符合截止开标之日还在生效期内的所有跟网络安全有关的法律法规文件的要求；</w:t>
            </w:r>
          </w:p>
          <w:p>
            <w:pPr>
              <w:pStyle w:val="null3"/>
            </w:pPr>
            <w:r>
              <w:rPr>
                <w:rFonts w:ascii="仿宋_GB2312" w:hAnsi="仿宋_GB2312" w:cs="仿宋_GB2312" w:eastAsia="仿宋_GB2312"/>
              </w:rPr>
              <w:t>2.如有出台新的网络安全方面的法律法规，在项目运维期内，投标单位无条件免费进行升级，满足法律法规要求。</w:t>
            </w:r>
          </w:p>
          <w:p>
            <w:pPr>
              <w:pStyle w:val="null3"/>
            </w:pPr>
            <w:r>
              <w:rPr>
                <w:rFonts w:ascii="仿宋_GB2312" w:hAnsi="仿宋_GB2312" w:cs="仿宋_GB2312" w:eastAsia="仿宋_GB2312"/>
              </w:rPr>
              <w:t>3.不得使用国家或者行业相关法律法规等政策性文件明令禁止的安全硬件和软件产品、算法、服务等相关内容。</w:t>
            </w:r>
          </w:p>
          <w:p>
            <w:pPr>
              <w:pStyle w:val="null3"/>
            </w:pPr>
            <w:r>
              <w:rPr>
                <w:rFonts w:ascii="仿宋_GB2312" w:hAnsi="仿宋_GB2312" w:cs="仿宋_GB2312" w:eastAsia="仿宋_GB2312"/>
              </w:rPr>
              <w:t>4.建设项目符合等级保护（三级）要求，并配合建设单位完成本项目有关的安全建设、测评、等级保护（三级）等相关工作。</w:t>
            </w:r>
          </w:p>
          <w:p>
            <w:pPr>
              <w:pStyle w:val="null3"/>
            </w:pPr>
            <w:r>
              <w:rPr>
                <w:rFonts w:ascii="仿宋_GB2312" w:hAnsi="仿宋_GB2312" w:cs="仿宋_GB2312" w:eastAsia="仿宋_GB2312"/>
              </w:rPr>
              <w:t>5.配合建设单位做好日常、重大时期网络安全工作。</w:t>
            </w:r>
          </w:p>
          <w:p>
            <w:pPr>
              <w:pStyle w:val="null3"/>
            </w:pPr>
            <w:r>
              <w:rPr>
                <w:rFonts w:ascii="仿宋_GB2312" w:hAnsi="仿宋_GB2312" w:cs="仿宋_GB2312" w:eastAsia="仿宋_GB2312"/>
              </w:rPr>
              <w:t>6.配合建设单位做好数据保密工作，签订数据安全保密协议。</w:t>
            </w:r>
          </w:p>
          <w:p>
            <w:pPr>
              <w:pStyle w:val="null3"/>
            </w:pPr>
            <w:r>
              <w:rPr>
                <w:rFonts w:ascii="仿宋_GB2312" w:hAnsi="仿宋_GB2312" w:cs="仿宋_GB2312" w:eastAsia="仿宋_GB2312"/>
              </w:rPr>
              <w:t>六、知识产权归属要求</w:t>
            </w:r>
          </w:p>
          <w:p>
            <w:pPr>
              <w:pStyle w:val="null3"/>
            </w:pPr>
            <w:r>
              <w:rPr>
                <w:rFonts w:ascii="仿宋_GB2312" w:hAnsi="仿宋_GB2312" w:cs="仿宋_GB2312" w:eastAsia="仿宋_GB2312"/>
              </w:rPr>
              <w:t>系统软件、通用软件是具有在中国境内的合法使用权或版权的正版软件，对于系统中涉及到的核心技术，应不侵犯第三方的知识产权，涉及到第三方提出侵权或知识产权的起诉及支付版税等费用由乙方承担所有责任及费用，由此给甲方造成的一切损失均由乙方承担。</w:t>
            </w:r>
          </w:p>
          <w:p>
            <w:pPr>
              <w:pStyle w:val="null3"/>
            </w:pPr>
            <w:r>
              <w:rPr>
                <w:rFonts w:ascii="仿宋_GB2312" w:hAnsi="仿宋_GB2312" w:cs="仿宋_GB2312" w:eastAsia="仿宋_GB2312"/>
              </w:rPr>
              <w:t>七、信息化建议</w:t>
            </w:r>
          </w:p>
          <w:p>
            <w:pPr>
              <w:pStyle w:val="null3"/>
            </w:pPr>
            <w:r>
              <w:rPr>
                <w:rFonts w:ascii="仿宋_GB2312" w:hAnsi="仿宋_GB2312" w:cs="仿宋_GB2312" w:eastAsia="仿宋_GB2312"/>
              </w:rPr>
              <w:t>根据陕西省老龄健康信息系统（即老龄健康主题库）（即老龄健康主题库）和“三秦智医助理”系统的建设应用现状，结合本省政策要求，提出跟信息化相关的建设、应用、互联互通等方面合理性的建议。</w:t>
            </w:r>
          </w:p>
          <w:p>
            <w:pPr>
              <w:pStyle w:val="null3"/>
            </w:pPr>
            <w:r>
              <w:rPr>
                <w:rFonts w:ascii="仿宋_GB2312" w:hAnsi="仿宋_GB2312" w:cs="仿宋_GB2312" w:eastAsia="仿宋_GB2312"/>
              </w:rPr>
              <w:t>八、项目验收交付物</w:t>
            </w:r>
          </w:p>
          <w:p>
            <w:pPr>
              <w:pStyle w:val="null3"/>
            </w:pPr>
            <w:r>
              <w:rPr>
                <w:rFonts w:ascii="仿宋_GB2312" w:hAnsi="仿宋_GB2312" w:cs="仿宋_GB2312" w:eastAsia="仿宋_GB2312"/>
              </w:rPr>
              <w:t>根据项目的实际情况而定，需要提交的内容包括但不限于以下内容：</w:t>
            </w:r>
          </w:p>
          <w:p>
            <w:pPr>
              <w:pStyle w:val="null3"/>
            </w:pPr>
            <w:r>
              <w:rPr>
                <w:rFonts w:ascii="仿宋_GB2312" w:hAnsi="仿宋_GB2312" w:cs="仿宋_GB2312" w:eastAsia="仿宋_GB2312"/>
              </w:rPr>
              <w:t>1.各信息系统的数据库表结构说明文档；</w:t>
            </w:r>
          </w:p>
          <w:p>
            <w:pPr>
              <w:pStyle w:val="null3"/>
            </w:pPr>
            <w:r>
              <w:rPr>
                <w:rFonts w:ascii="仿宋_GB2312" w:hAnsi="仿宋_GB2312" w:cs="仿宋_GB2312" w:eastAsia="仿宋_GB2312"/>
              </w:rPr>
              <w:t>2.软件信息的安装部署手册、用户手册；</w:t>
            </w:r>
          </w:p>
          <w:p>
            <w:pPr>
              <w:pStyle w:val="null3"/>
            </w:pPr>
            <w:r>
              <w:rPr>
                <w:rFonts w:ascii="仿宋_GB2312" w:hAnsi="仿宋_GB2312" w:cs="仿宋_GB2312" w:eastAsia="仿宋_GB2312"/>
              </w:rPr>
              <w:t>3.项目涉及的规范和标准；</w:t>
            </w:r>
          </w:p>
          <w:p>
            <w:pPr>
              <w:pStyle w:val="null3"/>
            </w:pPr>
            <w:r>
              <w:rPr>
                <w:rFonts w:ascii="仿宋_GB2312" w:hAnsi="仿宋_GB2312" w:cs="仿宋_GB2312" w:eastAsia="仿宋_GB2312"/>
              </w:rPr>
              <w:t>4.建设单位要求的其它资料。</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标的名称：省妇幼健康信息系统运维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一、总体要求</w:t>
            </w:r>
          </w:p>
          <w:p>
            <w:pPr>
              <w:pStyle w:val="null3"/>
            </w:pPr>
            <w:r>
              <w:rPr>
                <w:rFonts w:ascii="仿宋_GB2312" w:hAnsi="仿宋_GB2312" w:cs="仿宋_GB2312" w:eastAsia="仿宋_GB2312"/>
              </w:rPr>
              <w:t>紧密围绕陕西省妇幼健康工作业务需求，通过陕西省妇幼健康信息系统运维项目完成以下内容：一是升级完善系统功能；二是配合业务做好数据统计核查；三是做好与国家相关业务系统、全民健康平台等国省级系统的互联互通工作；四是完善、修订对接标准，配合做好与市级业务管理系统的对接工作；五是做好网络安全和系统运行维护管理工作。</w:t>
            </w:r>
          </w:p>
          <w:p>
            <w:pPr>
              <w:pStyle w:val="null3"/>
            </w:pPr>
            <w:r>
              <w:rPr>
                <w:rFonts w:ascii="仿宋_GB2312" w:hAnsi="仿宋_GB2312" w:cs="仿宋_GB2312" w:eastAsia="仿宋_GB2312"/>
              </w:rPr>
              <w:t>二、运维范围及服务期</w:t>
            </w:r>
          </w:p>
          <w:p>
            <w:pPr>
              <w:pStyle w:val="null3"/>
            </w:pPr>
            <w:r>
              <w:rPr>
                <w:rFonts w:ascii="仿宋_GB2312" w:hAnsi="仿宋_GB2312" w:cs="仿宋_GB2312" w:eastAsia="仿宋_GB2312"/>
              </w:rPr>
              <w:t>1.运维范围：陕西省妇幼健康信息系统的运维。</w:t>
            </w:r>
          </w:p>
          <w:p>
            <w:pPr>
              <w:pStyle w:val="null3"/>
            </w:pPr>
            <w:r>
              <w:rPr>
                <w:rFonts w:ascii="仿宋_GB2312" w:hAnsi="仿宋_GB2312" w:cs="仿宋_GB2312" w:eastAsia="仿宋_GB2312"/>
              </w:rPr>
              <w:t>2.服务期：2025年8月27日至2026年8月26日。</w:t>
            </w:r>
          </w:p>
          <w:p>
            <w:pPr>
              <w:pStyle w:val="null3"/>
            </w:pPr>
            <w:r>
              <w:rPr>
                <w:rFonts w:ascii="仿宋_GB2312" w:hAnsi="仿宋_GB2312" w:cs="仿宋_GB2312" w:eastAsia="仿宋_GB2312"/>
              </w:rPr>
              <w:t>三、软件运维服务和要求</w:t>
            </w:r>
          </w:p>
          <w:p>
            <w:pPr>
              <w:pStyle w:val="null3"/>
            </w:pPr>
            <w:r>
              <w:rPr>
                <w:rFonts w:ascii="仿宋_GB2312" w:hAnsi="仿宋_GB2312" w:cs="仿宋_GB2312" w:eastAsia="仿宋_GB2312"/>
              </w:rPr>
              <w:t>（一）完善系统功能</w:t>
            </w:r>
          </w:p>
          <w:p>
            <w:pPr>
              <w:pStyle w:val="null3"/>
            </w:pPr>
            <w:r>
              <w:rPr>
                <w:rFonts w:ascii="仿宋_GB2312" w:hAnsi="仿宋_GB2312" w:cs="仿宋_GB2312" w:eastAsia="仿宋_GB2312"/>
              </w:rPr>
              <w:t>1.在出生医学证明管理模块中增加出生医学证明信息向国家推送情况的查询功能。</w:t>
            </w:r>
          </w:p>
          <w:p>
            <w:pPr>
              <w:pStyle w:val="null3"/>
            </w:pPr>
            <w:r>
              <w:rPr>
                <w:rFonts w:ascii="仿宋_GB2312" w:hAnsi="仿宋_GB2312" w:cs="仿宋_GB2312" w:eastAsia="仿宋_GB2312"/>
              </w:rPr>
              <w:t>2.在出生医学证明台账报表中增加向国家出生证系统推送不成功的统计表、增加母亲分娩年龄大于等于50岁、小于等于12岁签发情况统计表。</w:t>
            </w:r>
          </w:p>
          <w:p>
            <w:pPr>
              <w:pStyle w:val="null3"/>
            </w:pPr>
            <w:r>
              <w:rPr>
                <w:rFonts w:ascii="仿宋_GB2312" w:hAnsi="仿宋_GB2312" w:cs="仿宋_GB2312" w:eastAsia="仿宋_GB2312"/>
              </w:rPr>
              <w:t>3.按照业务处室要求，对系统内的专业名词进行订正。</w:t>
            </w:r>
          </w:p>
          <w:p>
            <w:pPr>
              <w:pStyle w:val="null3"/>
            </w:pPr>
            <w:r>
              <w:rPr>
                <w:rFonts w:ascii="仿宋_GB2312" w:hAnsi="仿宋_GB2312" w:cs="仿宋_GB2312" w:eastAsia="仿宋_GB2312"/>
              </w:rPr>
              <w:t>4.增加出生医学证明编号字母限制功能。</w:t>
            </w:r>
          </w:p>
          <w:p>
            <w:pPr>
              <w:pStyle w:val="null3"/>
            </w:pPr>
            <w:r>
              <w:rPr>
                <w:rFonts w:ascii="仿宋_GB2312" w:hAnsi="仿宋_GB2312" w:cs="仿宋_GB2312" w:eastAsia="仿宋_GB2312"/>
              </w:rPr>
              <w:t>（二）协助业务处室和用户单位做好数据统计、核查，并配合业务排查结果进行数据修订</w:t>
            </w:r>
          </w:p>
          <w:p>
            <w:pPr>
              <w:pStyle w:val="null3"/>
            </w:pPr>
            <w:r>
              <w:rPr>
                <w:rFonts w:ascii="仿宋_GB2312" w:hAnsi="仿宋_GB2312" w:cs="仿宋_GB2312" w:eastAsia="仿宋_GB2312"/>
              </w:rPr>
              <w:t>1.按照业务处室要求提供身份证号码不符合校验规则、助产机构签发量过少、分娩机构与签发机构不一致等“异常”数据。</w:t>
            </w:r>
          </w:p>
          <w:p>
            <w:pPr>
              <w:pStyle w:val="null3"/>
            </w:pPr>
            <w:r>
              <w:rPr>
                <w:rFonts w:ascii="仿宋_GB2312" w:hAnsi="仿宋_GB2312" w:cs="仿宋_GB2312" w:eastAsia="仿宋_GB2312"/>
              </w:rPr>
              <w:t>2.按照业务处室要求，提供危重孕产妇救治体系技术评估数据。</w:t>
            </w:r>
          </w:p>
          <w:p>
            <w:pPr>
              <w:pStyle w:val="null3"/>
            </w:pPr>
            <w:r>
              <w:rPr>
                <w:rFonts w:ascii="仿宋_GB2312" w:hAnsi="仿宋_GB2312" w:cs="仿宋_GB2312" w:eastAsia="仿宋_GB2312"/>
              </w:rPr>
              <w:t>3.按照业务要求，提供其他核查需要的统计数据或个案数据。</w:t>
            </w:r>
          </w:p>
          <w:p>
            <w:pPr>
              <w:pStyle w:val="null3"/>
            </w:pPr>
            <w:r>
              <w:rPr>
                <w:rFonts w:ascii="仿宋_GB2312" w:hAnsi="仿宋_GB2312" w:cs="仿宋_GB2312" w:eastAsia="仿宋_GB2312"/>
              </w:rPr>
              <w:t>4.按照业务处室或业务指导部门的排查结果或需求，在后台修订数据。</w:t>
            </w:r>
          </w:p>
          <w:p>
            <w:pPr>
              <w:pStyle w:val="null3"/>
            </w:pPr>
            <w:r>
              <w:rPr>
                <w:rFonts w:ascii="仿宋_GB2312" w:hAnsi="仿宋_GB2312" w:cs="仿宋_GB2312" w:eastAsia="仿宋_GB2312"/>
              </w:rPr>
              <w:t>5.按照用户单位的核查反馈，合并重复的儿童建卡档案。</w:t>
            </w:r>
          </w:p>
          <w:p>
            <w:pPr>
              <w:pStyle w:val="null3"/>
            </w:pPr>
            <w:r>
              <w:rPr>
                <w:rFonts w:ascii="仿宋_GB2312" w:hAnsi="仿宋_GB2312" w:cs="仿宋_GB2312" w:eastAsia="仿宋_GB2312"/>
              </w:rPr>
              <w:t>（三）做好向国家出生证系统推送数据的技术支撑工作</w:t>
            </w:r>
          </w:p>
          <w:p>
            <w:pPr>
              <w:pStyle w:val="null3"/>
            </w:pPr>
            <w:r>
              <w:rPr>
                <w:rFonts w:ascii="仿宋_GB2312" w:hAnsi="仿宋_GB2312" w:cs="仿宋_GB2312" w:eastAsia="仿宋_GB2312"/>
              </w:rPr>
              <w:t>每日按照“技术原因导致”和“业务原因导致”反馈推送结果。由“技术原因导致”推送失败的数据，由供应商修订BUG后重新推送；由“业务原因导致”推送失败的，将排查结果反馈给干系人，按照业务排查结果在后台修订后重新推送。</w:t>
            </w:r>
          </w:p>
          <w:p>
            <w:pPr>
              <w:pStyle w:val="null3"/>
            </w:pPr>
            <w:r>
              <w:rPr>
                <w:rFonts w:ascii="仿宋_GB2312" w:hAnsi="仿宋_GB2312" w:cs="仿宋_GB2312" w:eastAsia="仿宋_GB2312"/>
              </w:rPr>
              <w:t>（四）培训及指导</w:t>
            </w:r>
          </w:p>
          <w:p>
            <w:pPr>
              <w:pStyle w:val="null3"/>
            </w:pPr>
            <w:r>
              <w:rPr>
                <w:rFonts w:ascii="仿宋_GB2312" w:hAnsi="仿宋_GB2312" w:cs="仿宋_GB2312" w:eastAsia="仿宋_GB2312"/>
              </w:rPr>
              <w:t>1.根据实际咨询量，合并整理原有的QQ或微信客服群。做好客服群的人员管理，提醒群成员及时修改在群名称，每周清理一次不明单位不明姓名的人员。QQ客服群或微信客服群内的技术支持服务，工作时间内实时响应和答疑，其他非工作时间当天响应和答疑。</w:t>
            </w:r>
          </w:p>
          <w:p>
            <w:pPr>
              <w:pStyle w:val="null3"/>
            </w:pPr>
            <w:r>
              <w:rPr>
                <w:rFonts w:ascii="仿宋_GB2312" w:hAnsi="仿宋_GB2312" w:cs="仿宋_GB2312" w:eastAsia="仿宋_GB2312"/>
              </w:rPr>
              <w:t>2.线下配合采购人做好系统培训工作，培训内容覆盖所有模块，并提供培训材料。</w:t>
            </w:r>
          </w:p>
          <w:p>
            <w:pPr>
              <w:pStyle w:val="null3"/>
            </w:pPr>
            <w:r>
              <w:rPr>
                <w:rFonts w:ascii="仿宋_GB2312" w:hAnsi="仿宋_GB2312" w:cs="仿宋_GB2312" w:eastAsia="仿宋_GB2312"/>
              </w:rPr>
              <w:t>3.供应商自主组织线上培训，每季度提供不少于1次的系统操作培训，全年的培训内容要覆盖所有模块，并提供培训材料。</w:t>
            </w:r>
          </w:p>
          <w:p>
            <w:pPr>
              <w:pStyle w:val="null3"/>
            </w:pPr>
            <w:r>
              <w:rPr>
                <w:rFonts w:ascii="仿宋_GB2312" w:hAnsi="仿宋_GB2312" w:cs="仿宋_GB2312" w:eastAsia="仿宋_GB2312"/>
              </w:rPr>
              <w:t>4.及时提供系统的操作指导、培训、业务咨询等服务。如遇突发事件则快速响应，及时与客户联系并配合工作。</w:t>
            </w:r>
          </w:p>
          <w:p>
            <w:pPr>
              <w:pStyle w:val="null3"/>
            </w:pPr>
            <w:r>
              <w:rPr>
                <w:rFonts w:ascii="仿宋_GB2312" w:hAnsi="仿宋_GB2312" w:cs="仿宋_GB2312" w:eastAsia="仿宋_GB2312"/>
              </w:rPr>
              <w:t>5.需提供平台所有功能模块的详细操作手册，在系统功能产生变化时及时更新材料，并及时公布。</w:t>
            </w:r>
          </w:p>
          <w:p>
            <w:pPr>
              <w:pStyle w:val="null3"/>
            </w:pPr>
            <w:r>
              <w:rPr>
                <w:rFonts w:ascii="仿宋_GB2312" w:hAnsi="仿宋_GB2312" w:cs="仿宋_GB2312" w:eastAsia="仿宋_GB2312"/>
              </w:rPr>
              <w:t>（五）技术支持</w:t>
            </w:r>
          </w:p>
          <w:p>
            <w:pPr>
              <w:pStyle w:val="null3"/>
            </w:pPr>
            <w:r>
              <w:rPr>
                <w:rFonts w:ascii="仿宋_GB2312" w:hAnsi="仿宋_GB2312" w:cs="仿宋_GB2312" w:eastAsia="仿宋_GB2312"/>
              </w:rPr>
              <w:t>1.提供专业的系统维护服务、软件服务、功能完善、性能调优等相关工作，保障系统7×24小时应用不中断，对系统运行情况进行监控和记录，及时发现和解决潜在的隐患，保障系统正常运行、解答和解决用户遇到各类问题。</w:t>
            </w:r>
          </w:p>
          <w:p>
            <w:pPr>
              <w:pStyle w:val="null3"/>
            </w:pPr>
            <w:r>
              <w:rPr>
                <w:rFonts w:ascii="仿宋_GB2312" w:hAnsi="仿宋_GB2312" w:cs="仿宋_GB2312" w:eastAsia="仿宋_GB2312"/>
              </w:rPr>
              <w:t>2.供应商需提供平台故障技术支持，对软件问题2小时响应，在遇到问题无法远程操作解决时，应在48小时内到指定现场处理问题，并及时反馈相关服务信息，遇特殊情况双方协商解决。</w:t>
            </w:r>
          </w:p>
          <w:p>
            <w:pPr>
              <w:pStyle w:val="null3"/>
            </w:pPr>
            <w:r>
              <w:rPr>
                <w:rFonts w:ascii="仿宋_GB2312" w:hAnsi="仿宋_GB2312" w:cs="仿宋_GB2312" w:eastAsia="仿宋_GB2312"/>
              </w:rPr>
              <w:t>3.维护内容主要包括由于平台软件本身问题引起的不能使系统正常运行的相关内容，即软件缺陷、故障的修改和完善。</w:t>
            </w:r>
          </w:p>
          <w:p>
            <w:pPr>
              <w:pStyle w:val="null3"/>
            </w:pPr>
            <w:r>
              <w:rPr>
                <w:rFonts w:ascii="仿宋_GB2312" w:hAnsi="仿宋_GB2312" w:cs="仿宋_GB2312" w:eastAsia="仿宋_GB2312"/>
              </w:rPr>
              <w:t>4.安全巡检及系统监控：定制应用系统相关巡检计划，定期进行巡检，严格执行系统巡检工作并填写巡检记录表。</w:t>
            </w:r>
          </w:p>
          <w:p>
            <w:pPr>
              <w:pStyle w:val="null3"/>
            </w:pPr>
            <w:r>
              <w:rPr>
                <w:rFonts w:ascii="仿宋_GB2312" w:hAnsi="仿宋_GB2312" w:cs="仿宋_GB2312" w:eastAsia="仿宋_GB2312"/>
              </w:rPr>
              <w:t>5.安全漏洞修复与反馈：遇有检出安全漏洞，供应商须在2小时响应，在双方约定时间内完成安全漏洞修复并确认漏洞修复报告。</w:t>
            </w:r>
          </w:p>
          <w:p>
            <w:pPr>
              <w:pStyle w:val="null3"/>
            </w:pPr>
            <w:r>
              <w:rPr>
                <w:rFonts w:ascii="仿宋_GB2312" w:hAnsi="仿宋_GB2312" w:cs="仿宋_GB2312" w:eastAsia="仿宋_GB2312"/>
              </w:rPr>
              <w:t>6.完成系统的数据备份管理，不定期开展数据的还原和验证工作，</w:t>
            </w:r>
          </w:p>
          <w:p>
            <w:pPr>
              <w:pStyle w:val="null3"/>
            </w:pPr>
            <w:r>
              <w:rPr>
                <w:rFonts w:ascii="仿宋_GB2312" w:hAnsi="仿宋_GB2312" w:cs="仿宋_GB2312" w:eastAsia="仿宋_GB2312"/>
              </w:rPr>
              <w:t>7.按照省卫生健康信息中心的要求，基于项目范围进行适配性响应。</w:t>
            </w:r>
          </w:p>
          <w:p>
            <w:pPr>
              <w:pStyle w:val="null3"/>
            </w:pPr>
            <w:r>
              <w:rPr>
                <w:rFonts w:ascii="仿宋_GB2312" w:hAnsi="仿宋_GB2312" w:cs="仿宋_GB2312" w:eastAsia="仿宋_GB2312"/>
              </w:rPr>
              <w:t>四、完善规范和标准</w:t>
            </w:r>
          </w:p>
          <w:p>
            <w:pPr>
              <w:pStyle w:val="null3"/>
            </w:pPr>
            <w:r>
              <w:rPr>
                <w:rFonts w:ascii="仿宋_GB2312" w:hAnsi="仿宋_GB2312" w:cs="仿宋_GB2312" w:eastAsia="仿宋_GB2312"/>
              </w:rPr>
              <w:t>按照建设单位要求，完善和修订陕西省妇幼健康信息系统技术和功能规范，完善和修订陕西省省妇幼健康信息系统与市级妇幼健康信息系统的接口规范和数据标准。</w:t>
            </w:r>
          </w:p>
          <w:p>
            <w:pPr>
              <w:pStyle w:val="null3"/>
            </w:pPr>
            <w:r>
              <w:rPr>
                <w:rFonts w:ascii="仿宋_GB2312" w:hAnsi="仿宋_GB2312" w:cs="仿宋_GB2312" w:eastAsia="仿宋_GB2312"/>
              </w:rPr>
              <w:t>五、互联互通要求</w:t>
            </w:r>
          </w:p>
          <w:p>
            <w:pPr>
              <w:pStyle w:val="null3"/>
            </w:pPr>
            <w:r>
              <w:rPr>
                <w:rFonts w:ascii="仿宋_GB2312" w:hAnsi="仿宋_GB2312" w:cs="仿宋_GB2312" w:eastAsia="仿宋_GB2312"/>
              </w:rPr>
              <w:t>1.督促配合各市级系统按照技术功能规范和接口规范标准完成孕产妇保健、儿童保健（含0-6岁儿童眼保健及视力筛查）、出生证管理、叶酸管理、两癌筛查的数据对接，实现数据定时足量对接。</w:t>
            </w:r>
          </w:p>
          <w:p>
            <w:pPr>
              <w:pStyle w:val="null3"/>
            </w:pPr>
            <w:r>
              <w:rPr>
                <w:rFonts w:ascii="仿宋_GB2312" w:hAnsi="仿宋_GB2312" w:cs="仿宋_GB2312" w:eastAsia="仿宋_GB2312"/>
              </w:rPr>
              <w:t>2.做好与国家出生证系统互联互通的技术支撑工作。</w:t>
            </w:r>
          </w:p>
          <w:p>
            <w:pPr>
              <w:pStyle w:val="null3"/>
            </w:pPr>
            <w:r>
              <w:rPr>
                <w:rFonts w:ascii="仿宋_GB2312" w:hAnsi="仿宋_GB2312" w:cs="仿宋_GB2312" w:eastAsia="仿宋_GB2312"/>
              </w:rPr>
              <w:t>3.按照陕西省卫生健康委员会或陕西省卫生健康信息中心的规划和要求，做好陕西省妇幼健康信息系统与省全民健康平台、“三秦智医助理”系统的互联互通。</w:t>
            </w:r>
          </w:p>
          <w:p>
            <w:pPr>
              <w:pStyle w:val="null3"/>
            </w:pPr>
            <w:r>
              <w:rPr>
                <w:rFonts w:ascii="仿宋_GB2312" w:hAnsi="仿宋_GB2312" w:cs="仿宋_GB2312" w:eastAsia="仿宋_GB2312"/>
              </w:rPr>
              <w:t>六、信息安全要求</w:t>
            </w:r>
          </w:p>
          <w:p>
            <w:pPr>
              <w:pStyle w:val="null3"/>
            </w:pPr>
            <w:r>
              <w:rPr>
                <w:rFonts w:ascii="仿宋_GB2312" w:hAnsi="仿宋_GB2312" w:cs="仿宋_GB2312" w:eastAsia="仿宋_GB2312"/>
              </w:rPr>
              <w:t>1.符合截止开标之日还在生效期内的所有跟网络安全有关的法律法规文件的要求；</w:t>
            </w:r>
          </w:p>
          <w:p>
            <w:pPr>
              <w:pStyle w:val="null3"/>
            </w:pPr>
            <w:r>
              <w:rPr>
                <w:rFonts w:ascii="仿宋_GB2312" w:hAnsi="仿宋_GB2312" w:cs="仿宋_GB2312" w:eastAsia="仿宋_GB2312"/>
              </w:rPr>
              <w:t>2.如有出台新的网络安全方面的法律法规，在项目运维期内，投标单位无条件负责进行升级，满足法律法规要求。</w:t>
            </w:r>
          </w:p>
          <w:p>
            <w:pPr>
              <w:pStyle w:val="null3"/>
            </w:pPr>
            <w:r>
              <w:rPr>
                <w:rFonts w:ascii="仿宋_GB2312" w:hAnsi="仿宋_GB2312" w:cs="仿宋_GB2312" w:eastAsia="仿宋_GB2312"/>
              </w:rPr>
              <w:t>3.不得使用国家或者行业相关法律法规等政策性文件明令禁止的安全硬件和软件产品、算法、服务等相关内容。</w:t>
            </w:r>
          </w:p>
          <w:p>
            <w:pPr>
              <w:pStyle w:val="null3"/>
            </w:pPr>
            <w:r>
              <w:rPr>
                <w:rFonts w:ascii="仿宋_GB2312" w:hAnsi="仿宋_GB2312" w:cs="仿宋_GB2312" w:eastAsia="仿宋_GB2312"/>
              </w:rPr>
              <w:t>4.建设项目符合等级保护（三级）要求，并配合建设单位完成本项目有关的安全建设、测评、等级保护（三级）等相关工作。</w:t>
            </w:r>
          </w:p>
          <w:p>
            <w:pPr>
              <w:pStyle w:val="null3"/>
            </w:pPr>
            <w:r>
              <w:rPr>
                <w:rFonts w:ascii="仿宋_GB2312" w:hAnsi="仿宋_GB2312" w:cs="仿宋_GB2312" w:eastAsia="仿宋_GB2312"/>
              </w:rPr>
              <w:t>5.配合建设单位做好日常、重大时期网络安全工作。</w:t>
            </w:r>
          </w:p>
          <w:p>
            <w:pPr>
              <w:pStyle w:val="null3"/>
            </w:pPr>
            <w:r>
              <w:rPr>
                <w:rFonts w:ascii="仿宋_GB2312" w:hAnsi="仿宋_GB2312" w:cs="仿宋_GB2312" w:eastAsia="仿宋_GB2312"/>
              </w:rPr>
              <w:t>6.配合建设单位做好数据保密工作，签订数据安全保密协议。</w:t>
            </w:r>
          </w:p>
          <w:p>
            <w:pPr>
              <w:pStyle w:val="null3"/>
            </w:pPr>
            <w:r>
              <w:rPr>
                <w:rFonts w:ascii="仿宋_GB2312" w:hAnsi="仿宋_GB2312" w:cs="仿宋_GB2312" w:eastAsia="仿宋_GB2312"/>
              </w:rPr>
              <w:t>七、知识产权归属要求</w:t>
            </w:r>
          </w:p>
          <w:p>
            <w:pPr>
              <w:pStyle w:val="null3"/>
            </w:pPr>
            <w:r>
              <w:rPr>
                <w:rFonts w:ascii="仿宋_GB2312" w:hAnsi="仿宋_GB2312" w:cs="仿宋_GB2312" w:eastAsia="仿宋_GB2312"/>
              </w:rPr>
              <w:t>系统软件、通用软件是具有在中国境内的合法使用权或版权的正版软件，对于系统中涉及到的核心技术，应不侵犯第三方的知识产权，涉及到第三方提出侵权或知识产权的起诉及支付版税等费用由乙方承担所有责任及费用，由此给甲方造成的一切损失均由乙方承担。</w:t>
            </w:r>
          </w:p>
          <w:p>
            <w:pPr>
              <w:pStyle w:val="null3"/>
            </w:pPr>
            <w:r>
              <w:rPr>
                <w:rFonts w:ascii="仿宋_GB2312" w:hAnsi="仿宋_GB2312" w:cs="仿宋_GB2312" w:eastAsia="仿宋_GB2312"/>
              </w:rPr>
              <w:t>八、信息化建议</w:t>
            </w:r>
          </w:p>
          <w:p>
            <w:pPr>
              <w:pStyle w:val="null3"/>
            </w:pPr>
            <w:r>
              <w:rPr>
                <w:rFonts w:ascii="仿宋_GB2312" w:hAnsi="仿宋_GB2312" w:cs="仿宋_GB2312" w:eastAsia="仿宋_GB2312"/>
              </w:rPr>
              <w:t>根据陕西省妇幼健康信息系统项目的信息化建设及应用现状，结合本省政策要求，提出跟信息化相关的建设、应用、互联互通等方面合理性的建议。</w:t>
            </w:r>
          </w:p>
          <w:p>
            <w:pPr>
              <w:pStyle w:val="null3"/>
            </w:pPr>
            <w:r>
              <w:rPr>
                <w:rFonts w:ascii="仿宋_GB2312" w:hAnsi="仿宋_GB2312" w:cs="仿宋_GB2312" w:eastAsia="仿宋_GB2312"/>
              </w:rPr>
              <w:t>九、项目验收交付物</w:t>
            </w:r>
          </w:p>
          <w:p>
            <w:pPr>
              <w:pStyle w:val="null3"/>
            </w:pPr>
            <w:r>
              <w:rPr>
                <w:rFonts w:ascii="仿宋_GB2312" w:hAnsi="仿宋_GB2312" w:cs="仿宋_GB2312" w:eastAsia="仿宋_GB2312"/>
              </w:rPr>
              <w:t>1.项目运维保障方案及运维人员备案；</w:t>
            </w:r>
          </w:p>
          <w:p>
            <w:pPr>
              <w:pStyle w:val="null3"/>
            </w:pPr>
            <w:r>
              <w:rPr>
                <w:rFonts w:ascii="仿宋_GB2312" w:hAnsi="仿宋_GB2312" w:cs="仿宋_GB2312" w:eastAsia="仿宋_GB2312"/>
              </w:rPr>
              <w:t>2.项目应急预案；</w:t>
            </w:r>
          </w:p>
          <w:p>
            <w:pPr>
              <w:pStyle w:val="null3"/>
            </w:pPr>
            <w:r>
              <w:rPr>
                <w:rFonts w:ascii="仿宋_GB2312" w:hAnsi="仿宋_GB2312" w:cs="仿宋_GB2312" w:eastAsia="仿宋_GB2312"/>
              </w:rPr>
              <w:t>3.项目涉及的各种规范和标准（技术规范、功能规范、接口规范和数据标准）；</w:t>
            </w:r>
          </w:p>
          <w:p>
            <w:pPr>
              <w:pStyle w:val="null3"/>
            </w:pPr>
            <w:r>
              <w:rPr>
                <w:rFonts w:ascii="仿宋_GB2312" w:hAnsi="仿宋_GB2312" w:cs="仿宋_GB2312" w:eastAsia="仿宋_GB2312"/>
              </w:rPr>
              <w:t>4.系统培训资料（图、文）；</w:t>
            </w:r>
          </w:p>
          <w:p>
            <w:pPr>
              <w:pStyle w:val="null3"/>
            </w:pPr>
            <w:r>
              <w:rPr>
                <w:rFonts w:ascii="仿宋_GB2312" w:hAnsi="仿宋_GB2312" w:cs="仿宋_GB2312" w:eastAsia="仿宋_GB2312"/>
              </w:rPr>
              <w:t>5.运维月报和巡检记录单（签字确认版）；</w:t>
            </w:r>
          </w:p>
          <w:p>
            <w:pPr>
              <w:pStyle w:val="null3"/>
            </w:pPr>
            <w:r>
              <w:rPr>
                <w:rFonts w:ascii="仿宋_GB2312" w:hAnsi="仿宋_GB2312" w:cs="仿宋_GB2312" w:eastAsia="仿宋_GB2312"/>
              </w:rPr>
              <w:t>6.项目建设及运维总结报告；</w:t>
            </w:r>
          </w:p>
          <w:p>
            <w:pPr>
              <w:pStyle w:val="null3"/>
            </w:pPr>
            <w:r>
              <w:rPr>
                <w:rFonts w:ascii="仿宋_GB2312" w:hAnsi="仿宋_GB2312" w:cs="仿宋_GB2312" w:eastAsia="仿宋_GB2312"/>
              </w:rPr>
              <w:t>7.保密协议（签字确认版）；</w:t>
            </w:r>
          </w:p>
          <w:p>
            <w:pPr>
              <w:pStyle w:val="null3"/>
            </w:pPr>
            <w:r>
              <w:rPr>
                <w:rFonts w:ascii="仿宋_GB2312" w:hAnsi="仿宋_GB2312" w:cs="仿宋_GB2312" w:eastAsia="仿宋_GB2312"/>
              </w:rPr>
              <w:t>8.数据治理情况汇总表（签字确认版）；</w:t>
            </w:r>
          </w:p>
          <w:p>
            <w:pPr>
              <w:pStyle w:val="null3"/>
            </w:pPr>
            <w:r>
              <w:rPr>
                <w:rFonts w:ascii="仿宋_GB2312" w:hAnsi="仿宋_GB2312" w:cs="仿宋_GB2312" w:eastAsia="仿宋_GB2312"/>
              </w:rPr>
              <w:t>9.建设单位要求的其它资料。</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标的名称：省职业健康工作信息平台运维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一、总体要求</w:t>
            </w:r>
          </w:p>
          <w:p>
            <w:pPr>
              <w:pStyle w:val="null3"/>
            </w:pPr>
            <w:r>
              <w:rPr>
                <w:rFonts w:ascii="仿宋_GB2312" w:hAnsi="仿宋_GB2312" w:cs="仿宋_GB2312" w:eastAsia="仿宋_GB2312"/>
              </w:rPr>
              <w:t>利用专业运维服务的社会资源，利用专业服务人员提供的技术支持和运维服务，实现应用系统高质量、高效率、规范化管理，保障用户系统的正常稳定运行，保障应用系统服务的连续性，保障数据及时、准确、完整、安全，满足业务工作管理和信息管理需求。</w:t>
            </w:r>
          </w:p>
          <w:p>
            <w:pPr>
              <w:pStyle w:val="null3"/>
            </w:pPr>
            <w:r>
              <w:rPr>
                <w:rFonts w:ascii="仿宋_GB2312" w:hAnsi="仿宋_GB2312" w:cs="仿宋_GB2312" w:eastAsia="仿宋_GB2312"/>
              </w:rPr>
              <w:t>二、运维范围及服务期</w:t>
            </w:r>
          </w:p>
          <w:p>
            <w:pPr>
              <w:pStyle w:val="null3"/>
            </w:pPr>
            <w:r>
              <w:rPr>
                <w:rFonts w:ascii="仿宋_GB2312" w:hAnsi="仿宋_GB2312" w:cs="仿宋_GB2312" w:eastAsia="仿宋_GB2312"/>
              </w:rPr>
              <w:t>1.运维范围：陕西省职业健康工作信息平台（含陕西省职业健康在线培训系统）的运维。</w:t>
            </w:r>
          </w:p>
          <w:p>
            <w:pPr>
              <w:pStyle w:val="null3"/>
            </w:pPr>
            <w:r>
              <w:rPr>
                <w:rFonts w:ascii="仿宋_GB2312" w:hAnsi="仿宋_GB2312" w:cs="仿宋_GB2312" w:eastAsia="仿宋_GB2312"/>
              </w:rPr>
              <w:t>2.服务期：2025年8月27日至2026年8月26日。</w:t>
            </w:r>
          </w:p>
          <w:p>
            <w:pPr>
              <w:pStyle w:val="null3"/>
            </w:pPr>
            <w:r>
              <w:rPr>
                <w:rFonts w:ascii="仿宋_GB2312" w:hAnsi="仿宋_GB2312" w:cs="仿宋_GB2312" w:eastAsia="仿宋_GB2312"/>
              </w:rPr>
              <w:t>三、软件运维服务内容要求</w:t>
            </w:r>
          </w:p>
          <w:p>
            <w:pPr>
              <w:pStyle w:val="null3"/>
            </w:pPr>
            <w:r>
              <w:rPr>
                <w:rFonts w:ascii="仿宋_GB2312" w:hAnsi="仿宋_GB2312" w:cs="仿宋_GB2312" w:eastAsia="仿宋_GB2312"/>
              </w:rPr>
              <w:t>（一）优化陕西省职业健康在线培训系统界面，提升用户友好性。</w:t>
            </w:r>
          </w:p>
          <w:p>
            <w:pPr>
              <w:pStyle w:val="null3"/>
            </w:pPr>
            <w:r>
              <w:rPr>
                <w:rFonts w:ascii="仿宋_GB2312" w:hAnsi="仿宋_GB2312" w:cs="仿宋_GB2312" w:eastAsia="仿宋_GB2312"/>
              </w:rPr>
              <w:t>（二）系统技术支持</w:t>
            </w:r>
          </w:p>
          <w:p>
            <w:pPr>
              <w:pStyle w:val="null3"/>
            </w:pPr>
            <w:r>
              <w:rPr>
                <w:rFonts w:ascii="仿宋_GB2312" w:hAnsi="仿宋_GB2312" w:cs="仿宋_GB2312" w:eastAsia="仿宋_GB2312"/>
              </w:rPr>
              <w:t>1.提供专业的系统维护服务、软件服务、功能完善、性能调优等相关工作，保障系统7×24小时应用不中断，对系统运行情况进行监控和记录，及时发现和解决潜在的隐患，保障系统正常运行、解答和解决用户遇到各类问题。</w:t>
            </w:r>
          </w:p>
          <w:p>
            <w:pPr>
              <w:pStyle w:val="null3"/>
            </w:pPr>
            <w:r>
              <w:rPr>
                <w:rFonts w:ascii="仿宋_GB2312" w:hAnsi="仿宋_GB2312" w:cs="仿宋_GB2312" w:eastAsia="仿宋_GB2312"/>
              </w:rPr>
              <w:t>2.供应商需提供平台故障技术支持，对软件问题2小时响应，在遇到问题无法远程操作解决时，应在48小时内到指定现场处理问题，并及时反馈相关服务信息，遇特殊情况双方协商解决。</w:t>
            </w:r>
          </w:p>
          <w:p>
            <w:pPr>
              <w:pStyle w:val="null3"/>
            </w:pPr>
            <w:r>
              <w:rPr>
                <w:rFonts w:ascii="仿宋_GB2312" w:hAnsi="仿宋_GB2312" w:cs="仿宋_GB2312" w:eastAsia="仿宋_GB2312"/>
              </w:rPr>
              <w:t>3.维护内容主要包括由于平台软件本身问题引起的不能使系统正常运行的相关内容，即软件缺陷、故障的修改和完善。</w:t>
            </w:r>
          </w:p>
          <w:p>
            <w:pPr>
              <w:pStyle w:val="null3"/>
            </w:pPr>
            <w:r>
              <w:rPr>
                <w:rFonts w:ascii="仿宋_GB2312" w:hAnsi="仿宋_GB2312" w:cs="仿宋_GB2312" w:eastAsia="仿宋_GB2312"/>
              </w:rPr>
              <w:t>4.安全巡检及系统监控：定制应用系统相关巡检计划，定期进行巡检，严格执行系统巡检工作并填写巡检记录表。</w:t>
            </w:r>
          </w:p>
          <w:p>
            <w:pPr>
              <w:pStyle w:val="null3"/>
            </w:pPr>
            <w:r>
              <w:rPr>
                <w:rFonts w:ascii="仿宋_GB2312" w:hAnsi="仿宋_GB2312" w:cs="仿宋_GB2312" w:eastAsia="仿宋_GB2312"/>
              </w:rPr>
              <w:t>5.安全漏洞修复与反馈：遇有检出安全漏洞，供应商须在2小时响应，在双方约定时间内完成安全漏洞修复并确认漏洞修复报告。</w:t>
            </w:r>
          </w:p>
          <w:p>
            <w:pPr>
              <w:pStyle w:val="null3"/>
            </w:pPr>
            <w:r>
              <w:rPr>
                <w:rFonts w:ascii="仿宋_GB2312" w:hAnsi="仿宋_GB2312" w:cs="仿宋_GB2312" w:eastAsia="仿宋_GB2312"/>
              </w:rPr>
              <w:t>6.完成系统的数据备份管理，不定期开展数据的还原和验证工作。</w:t>
            </w:r>
          </w:p>
          <w:p>
            <w:pPr>
              <w:pStyle w:val="null3"/>
            </w:pPr>
            <w:r>
              <w:rPr>
                <w:rFonts w:ascii="仿宋_GB2312" w:hAnsi="仿宋_GB2312" w:cs="仿宋_GB2312" w:eastAsia="仿宋_GB2312"/>
              </w:rPr>
              <w:t>（三）操作培训及指导</w:t>
            </w:r>
          </w:p>
          <w:p>
            <w:pPr>
              <w:pStyle w:val="null3"/>
            </w:pPr>
            <w:r>
              <w:rPr>
                <w:rFonts w:ascii="仿宋_GB2312" w:hAnsi="仿宋_GB2312" w:cs="仿宋_GB2312" w:eastAsia="仿宋_GB2312"/>
              </w:rPr>
              <w:t>1.及时提供系统的操作指导、培训、业务咨询等服务。如遇突发事件则快速响应，及时与客户联系并配合工作。</w:t>
            </w:r>
          </w:p>
          <w:p>
            <w:pPr>
              <w:pStyle w:val="null3"/>
            </w:pPr>
            <w:r>
              <w:rPr>
                <w:rFonts w:ascii="仿宋_GB2312" w:hAnsi="仿宋_GB2312" w:cs="仿宋_GB2312" w:eastAsia="仿宋_GB2312"/>
              </w:rPr>
              <w:t>2.需提供平台所有功能模块的详细操作手册，在系统功能产生变化时及时更新材料，并及时公布。</w:t>
            </w:r>
          </w:p>
          <w:p>
            <w:pPr>
              <w:pStyle w:val="null3"/>
            </w:pPr>
            <w:r>
              <w:rPr>
                <w:rFonts w:ascii="仿宋_GB2312" w:hAnsi="仿宋_GB2312" w:cs="仿宋_GB2312" w:eastAsia="仿宋_GB2312"/>
              </w:rPr>
              <w:t>3.线下配合采购人做好系统培训工作，培训内容覆盖所有模块，并提供培训材料。</w:t>
            </w:r>
          </w:p>
          <w:p>
            <w:pPr>
              <w:pStyle w:val="null3"/>
            </w:pPr>
            <w:r>
              <w:rPr>
                <w:rFonts w:ascii="仿宋_GB2312" w:hAnsi="仿宋_GB2312" w:cs="仿宋_GB2312" w:eastAsia="仿宋_GB2312"/>
              </w:rPr>
              <w:t>4.供应商自主组织线上培训，每季度提供不少于1次的系统操作培训，全年的培训内容要覆盖所有模块，并提供培训材料。</w:t>
            </w:r>
          </w:p>
          <w:p>
            <w:pPr>
              <w:pStyle w:val="null3"/>
            </w:pPr>
            <w:r>
              <w:rPr>
                <w:rFonts w:ascii="仿宋_GB2312" w:hAnsi="仿宋_GB2312" w:cs="仿宋_GB2312" w:eastAsia="仿宋_GB2312"/>
              </w:rPr>
              <w:t>5.做好客服群的人员管理，提醒群成员及时修改在群名称，每周清理一次不明单位不明姓名的人员。QQ客服群或微信客服群内的技术支持服务，工作时间内实时响应和答疑，其他非工作时间当天响应和答疑。</w:t>
            </w:r>
          </w:p>
          <w:p>
            <w:pPr>
              <w:pStyle w:val="null3"/>
            </w:pPr>
            <w:r>
              <w:rPr>
                <w:rFonts w:ascii="仿宋_GB2312" w:hAnsi="仿宋_GB2312" w:cs="仿宋_GB2312" w:eastAsia="仿宋_GB2312"/>
              </w:rPr>
              <w:t>（四）系统更新保障</w:t>
            </w:r>
          </w:p>
          <w:p>
            <w:pPr>
              <w:pStyle w:val="null3"/>
            </w:pPr>
            <w:r>
              <w:rPr>
                <w:rFonts w:ascii="仿宋_GB2312" w:hAnsi="仿宋_GB2312" w:cs="仿宋_GB2312" w:eastAsia="仿宋_GB2312"/>
              </w:rPr>
              <w:t>1.需提供系统应用字典的更新服务，协助完成系统编码维护或转换，确保系统编码数据的准确性。如进行系统编码调整时，及时提供最新系统编码并发布。</w:t>
            </w:r>
          </w:p>
          <w:p>
            <w:pPr>
              <w:pStyle w:val="null3"/>
            </w:pPr>
            <w:r>
              <w:rPr>
                <w:rFonts w:ascii="仿宋_GB2312" w:hAnsi="仿宋_GB2312" w:cs="仿宋_GB2312" w:eastAsia="仿宋_GB2312"/>
              </w:rPr>
              <w:t>2.系统运行期间，若因国家政策变化或国家系统要求调整，导致系统现有软件接口调优或改动时，供应商需免费提供所采购业务模块的软件修改及系统更新服务。</w:t>
            </w:r>
          </w:p>
          <w:p>
            <w:pPr>
              <w:pStyle w:val="null3"/>
            </w:pPr>
            <w:r>
              <w:rPr>
                <w:rFonts w:ascii="仿宋_GB2312" w:hAnsi="仿宋_GB2312" w:cs="仿宋_GB2312" w:eastAsia="仿宋_GB2312"/>
              </w:rPr>
              <w:t>（五）业务响应</w:t>
            </w:r>
          </w:p>
          <w:p>
            <w:pPr>
              <w:pStyle w:val="null3"/>
            </w:pPr>
            <w:r>
              <w:rPr>
                <w:rFonts w:ascii="仿宋_GB2312" w:hAnsi="仿宋_GB2312" w:cs="仿宋_GB2312" w:eastAsia="仿宋_GB2312"/>
              </w:rPr>
              <w:t>按照省卫健委职业健康处的要求，基于项目范围进行适配性响应。</w:t>
            </w:r>
          </w:p>
          <w:p>
            <w:pPr>
              <w:pStyle w:val="null3"/>
            </w:pPr>
            <w:r>
              <w:rPr>
                <w:rFonts w:ascii="仿宋_GB2312" w:hAnsi="仿宋_GB2312" w:cs="仿宋_GB2312" w:eastAsia="仿宋_GB2312"/>
              </w:rPr>
              <w:t>四、互联互通要求</w:t>
            </w:r>
          </w:p>
          <w:p>
            <w:pPr>
              <w:pStyle w:val="null3"/>
            </w:pPr>
            <w:r>
              <w:rPr>
                <w:rFonts w:ascii="仿宋_GB2312" w:hAnsi="仿宋_GB2312" w:cs="仿宋_GB2312" w:eastAsia="仿宋_GB2312"/>
              </w:rPr>
              <w:t>（一）做好向国家级职业健康相关系统推送数据的技术支撑工作</w:t>
            </w:r>
          </w:p>
          <w:p>
            <w:pPr>
              <w:pStyle w:val="null3"/>
            </w:pPr>
            <w:r>
              <w:rPr>
                <w:rFonts w:ascii="仿宋_GB2312" w:hAnsi="仿宋_GB2312" w:cs="仿宋_GB2312" w:eastAsia="仿宋_GB2312"/>
              </w:rPr>
              <w:t>1.与国家级系统做好职业健康检查档案、职业性有害因素监测卡档案、职业卫生技术服务报告卡、放射卫生技术服务报告卡对接。</w:t>
            </w:r>
          </w:p>
          <w:p>
            <w:pPr>
              <w:pStyle w:val="null3"/>
            </w:pPr>
            <w:r>
              <w:rPr>
                <w:rFonts w:ascii="仿宋_GB2312" w:hAnsi="仿宋_GB2312" w:cs="仿宋_GB2312" w:eastAsia="仿宋_GB2312"/>
              </w:rPr>
              <w:t>2.对照国家级职业健康相关系统的最新标准，优化和完善本系统。</w:t>
            </w:r>
          </w:p>
          <w:p>
            <w:pPr>
              <w:pStyle w:val="null3"/>
            </w:pPr>
            <w:r>
              <w:rPr>
                <w:rFonts w:ascii="仿宋_GB2312" w:hAnsi="仿宋_GB2312" w:cs="仿宋_GB2312" w:eastAsia="仿宋_GB2312"/>
              </w:rPr>
              <w:t>3.国家级职业健康相关系统包括但不限于《职业病及健康危害因素监测系统》、《职业卫生技术服务机构管理信息系统》，具体对接清单以国家级系统开发接口目录动态调整，费用包含在本项目中。</w:t>
            </w:r>
          </w:p>
          <w:p>
            <w:pPr>
              <w:pStyle w:val="null3"/>
            </w:pPr>
            <w:r>
              <w:rPr>
                <w:rFonts w:ascii="仿宋_GB2312" w:hAnsi="仿宋_GB2312" w:cs="仿宋_GB2312" w:eastAsia="仿宋_GB2312"/>
              </w:rPr>
              <w:t>4.及时反馈上传结果，包括但不限于已上传、上传成功、上传失败的详细档案信息，分析和排查上传失败的原因，支持数据修订后，由承建单位批量重新上传。</w:t>
            </w:r>
          </w:p>
          <w:p>
            <w:pPr>
              <w:pStyle w:val="null3"/>
            </w:pPr>
            <w:r>
              <w:rPr>
                <w:rFonts w:ascii="仿宋_GB2312" w:hAnsi="仿宋_GB2312" w:cs="仿宋_GB2312" w:eastAsia="仿宋_GB2312"/>
              </w:rPr>
              <w:t>（二）数据交换标准及互联互通要求</w:t>
            </w:r>
          </w:p>
          <w:p>
            <w:pPr>
              <w:pStyle w:val="null3"/>
            </w:pPr>
            <w:r>
              <w:rPr>
                <w:rFonts w:ascii="仿宋_GB2312" w:hAnsi="仿宋_GB2312" w:cs="仿宋_GB2312" w:eastAsia="仿宋_GB2312"/>
              </w:rPr>
              <w:t>1.按照建设单位的要求，完善和修订陕西省职业病防治综合管理平台数据交换方案规范。</w:t>
            </w:r>
          </w:p>
          <w:p>
            <w:pPr>
              <w:pStyle w:val="null3"/>
            </w:pPr>
            <w:r>
              <w:rPr>
                <w:rFonts w:ascii="仿宋_GB2312" w:hAnsi="仿宋_GB2312" w:cs="仿宋_GB2312" w:eastAsia="仿宋_GB2312"/>
              </w:rPr>
              <w:t>2.提供全省职业健康检查机构数据对接接口方案方面的技术支持配套服务工作，保障职业健康检查数据交换正常进行，包含数据采集标准变更后的说明，变更后的对接标准、对接过程中的问题解答与处理等。</w:t>
            </w:r>
          </w:p>
          <w:p>
            <w:pPr>
              <w:pStyle w:val="null3"/>
            </w:pPr>
            <w:r>
              <w:rPr>
                <w:rFonts w:ascii="仿宋_GB2312" w:hAnsi="仿宋_GB2312" w:cs="仿宋_GB2312" w:eastAsia="仿宋_GB2312"/>
              </w:rPr>
              <w:t>（三）与省级平台互联互通</w:t>
            </w:r>
          </w:p>
          <w:p>
            <w:pPr>
              <w:pStyle w:val="null3"/>
            </w:pPr>
            <w:r>
              <w:rPr>
                <w:rFonts w:ascii="仿宋_GB2312" w:hAnsi="仿宋_GB2312" w:cs="仿宋_GB2312" w:eastAsia="仿宋_GB2312"/>
              </w:rPr>
              <w:t>按照陕西省卫生健康委员会或陕西省卫生健康信息中心的规划和要求，做好陕西省职业健康工作信息平台（含陕西省职业健康在线培训系统）与省全民健康平台、“三秦智医助理”系统的互联互通。</w:t>
            </w:r>
          </w:p>
          <w:p>
            <w:pPr>
              <w:pStyle w:val="null3"/>
            </w:pPr>
            <w:r>
              <w:rPr>
                <w:rFonts w:ascii="仿宋_GB2312" w:hAnsi="仿宋_GB2312" w:cs="仿宋_GB2312" w:eastAsia="仿宋_GB2312"/>
              </w:rPr>
              <w:t>五、信息安全要求</w:t>
            </w:r>
          </w:p>
          <w:p>
            <w:pPr>
              <w:pStyle w:val="null3"/>
            </w:pPr>
            <w:r>
              <w:rPr>
                <w:rFonts w:ascii="仿宋_GB2312" w:hAnsi="仿宋_GB2312" w:cs="仿宋_GB2312" w:eastAsia="仿宋_GB2312"/>
              </w:rPr>
              <w:t>1.系统软件解决方案符合截止开标之日还在生效期内的所有跟网络安全有关的法律法规文件的要求；</w:t>
            </w:r>
          </w:p>
          <w:p>
            <w:pPr>
              <w:pStyle w:val="null3"/>
            </w:pPr>
            <w:r>
              <w:rPr>
                <w:rFonts w:ascii="仿宋_GB2312" w:hAnsi="仿宋_GB2312" w:cs="仿宋_GB2312" w:eastAsia="仿宋_GB2312"/>
              </w:rPr>
              <w:t>2.如有出台新的网络安全方面的法律法规，在项目运维期内，投标单位无条件免费进行软件关于安全管控的优化改造，满足法律法规要求。</w:t>
            </w:r>
          </w:p>
          <w:p>
            <w:pPr>
              <w:pStyle w:val="null3"/>
            </w:pPr>
            <w:r>
              <w:rPr>
                <w:rFonts w:ascii="仿宋_GB2312" w:hAnsi="仿宋_GB2312" w:cs="仿宋_GB2312" w:eastAsia="仿宋_GB2312"/>
              </w:rPr>
              <w:t>3.不得使用国家或者行业相关法律法规等政策性文件明令禁止的硬件和软件产品、算法、服务等相关内容。</w:t>
            </w:r>
          </w:p>
          <w:p>
            <w:pPr>
              <w:pStyle w:val="null3"/>
            </w:pPr>
            <w:r>
              <w:rPr>
                <w:rFonts w:ascii="仿宋_GB2312" w:hAnsi="仿宋_GB2312" w:cs="仿宋_GB2312" w:eastAsia="仿宋_GB2312"/>
              </w:rPr>
              <w:t>4.建设项目符合等级保护（三级）要求，并配合建设单位完成本项目有关的安全建设、测评、等级保护（三级）等相关工作。</w:t>
            </w:r>
          </w:p>
          <w:p>
            <w:pPr>
              <w:pStyle w:val="null3"/>
            </w:pPr>
            <w:r>
              <w:rPr>
                <w:rFonts w:ascii="仿宋_GB2312" w:hAnsi="仿宋_GB2312" w:cs="仿宋_GB2312" w:eastAsia="仿宋_GB2312"/>
              </w:rPr>
              <w:t>5.配合建设单位做好日常、重大时期软件相关安全工作。</w:t>
            </w:r>
          </w:p>
          <w:p>
            <w:pPr>
              <w:pStyle w:val="null3"/>
            </w:pPr>
            <w:r>
              <w:rPr>
                <w:rFonts w:ascii="仿宋_GB2312" w:hAnsi="仿宋_GB2312" w:cs="仿宋_GB2312" w:eastAsia="仿宋_GB2312"/>
              </w:rPr>
              <w:t>6.配合建设单位做好数据保密工作，签订数据安全保密协议。</w:t>
            </w:r>
          </w:p>
          <w:p>
            <w:pPr>
              <w:pStyle w:val="null3"/>
            </w:pPr>
            <w:r>
              <w:rPr>
                <w:rFonts w:ascii="仿宋_GB2312" w:hAnsi="仿宋_GB2312" w:cs="仿宋_GB2312" w:eastAsia="仿宋_GB2312"/>
              </w:rPr>
              <w:t>六、知识产权归属要求</w:t>
            </w:r>
          </w:p>
          <w:p>
            <w:pPr>
              <w:pStyle w:val="null3"/>
            </w:pPr>
            <w:r>
              <w:rPr>
                <w:rFonts w:ascii="仿宋_GB2312" w:hAnsi="仿宋_GB2312" w:cs="仿宋_GB2312" w:eastAsia="仿宋_GB2312"/>
              </w:rPr>
              <w:t>系统软件、通用软件是具有在中国境内的合法使用权或版权的正版软件，对于系统中涉及到的核心技术，应不侵犯第三方的知识产权，涉及到第三方提出侵权或知识产权的起诉及支付版税等费用由乙方承担所有责任及费用，由此给甲方造成的一切损失均由乙方承担。</w:t>
            </w:r>
          </w:p>
          <w:p>
            <w:pPr>
              <w:pStyle w:val="null3"/>
            </w:pPr>
            <w:r>
              <w:rPr>
                <w:rFonts w:ascii="仿宋_GB2312" w:hAnsi="仿宋_GB2312" w:cs="仿宋_GB2312" w:eastAsia="仿宋_GB2312"/>
              </w:rPr>
              <w:t>七、信息化建议</w:t>
            </w:r>
          </w:p>
          <w:p>
            <w:pPr>
              <w:pStyle w:val="null3"/>
            </w:pPr>
            <w:r>
              <w:rPr>
                <w:rFonts w:ascii="仿宋_GB2312" w:hAnsi="仿宋_GB2312" w:cs="仿宋_GB2312" w:eastAsia="仿宋_GB2312"/>
              </w:rPr>
              <w:t>根据陕西省职业健康工作信息平台（含陕西省职业健康在线培训系统）的建设应用现状，结合本省职业健康信息化建设情况和政策要求，提出信息化建设、应用、互联互通等方面合理性的建议。</w:t>
            </w:r>
          </w:p>
          <w:p>
            <w:pPr>
              <w:pStyle w:val="null3"/>
            </w:pPr>
            <w:r>
              <w:rPr>
                <w:rFonts w:ascii="仿宋_GB2312" w:hAnsi="仿宋_GB2312" w:cs="仿宋_GB2312" w:eastAsia="仿宋_GB2312"/>
              </w:rPr>
              <w:t>八、项目验收交付物</w:t>
            </w:r>
          </w:p>
          <w:p>
            <w:pPr>
              <w:pStyle w:val="null3"/>
            </w:pPr>
            <w:r>
              <w:rPr>
                <w:rFonts w:ascii="仿宋_GB2312" w:hAnsi="仿宋_GB2312" w:cs="仿宋_GB2312" w:eastAsia="仿宋_GB2312"/>
              </w:rPr>
              <w:t>项目交付物包括但不限于如下内容：</w:t>
            </w:r>
          </w:p>
          <w:p>
            <w:pPr>
              <w:pStyle w:val="null3"/>
            </w:pPr>
            <w:r>
              <w:rPr>
                <w:rFonts w:ascii="仿宋_GB2312" w:hAnsi="仿宋_GB2312" w:cs="仿宋_GB2312" w:eastAsia="仿宋_GB2312"/>
              </w:rPr>
              <w:t>1.项目运维保障方案及运维人员备案；</w:t>
            </w:r>
          </w:p>
          <w:p>
            <w:pPr>
              <w:pStyle w:val="null3"/>
            </w:pPr>
            <w:r>
              <w:rPr>
                <w:rFonts w:ascii="仿宋_GB2312" w:hAnsi="仿宋_GB2312" w:cs="仿宋_GB2312" w:eastAsia="仿宋_GB2312"/>
              </w:rPr>
              <w:t>2.项目应急预案；</w:t>
            </w:r>
          </w:p>
          <w:p>
            <w:pPr>
              <w:pStyle w:val="null3"/>
            </w:pPr>
            <w:r>
              <w:rPr>
                <w:rFonts w:ascii="仿宋_GB2312" w:hAnsi="仿宋_GB2312" w:cs="仿宋_GB2312" w:eastAsia="仿宋_GB2312"/>
              </w:rPr>
              <w:t>3.项目涉及接口方案、操作手册；</w:t>
            </w:r>
          </w:p>
          <w:p>
            <w:pPr>
              <w:pStyle w:val="null3"/>
            </w:pPr>
            <w:r>
              <w:rPr>
                <w:rFonts w:ascii="仿宋_GB2312" w:hAnsi="仿宋_GB2312" w:cs="仿宋_GB2312" w:eastAsia="仿宋_GB2312"/>
              </w:rPr>
              <w:t>4.系统培训资料；</w:t>
            </w:r>
          </w:p>
          <w:p>
            <w:pPr>
              <w:pStyle w:val="null3"/>
            </w:pPr>
            <w:r>
              <w:rPr>
                <w:rFonts w:ascii="仿宋_GB2312" w:hAnsi="仿宋_GB2312" w:cs="仿宋_GB2312" w:eastAsia="仿宋_GB2312"/>
              </w:rPr>
              <w:t>5.项目巡检记录单；</w:t>
            </w:r>
          </w:p>
          <w:p>
            <w:pPr>
              <w:pStyle w:val="null3"/>
            </w:pPr>
            <w:r>
              <w:rPr>
                <w:rFonts w:ascii="仿宋_GB2312" w:hAnsi="仿宋_GB2312" w:cs="仿宋_GB2312" w:eastAsia="仿宋_GB2312"/>
              </w:rPr>
              <w:t>6.项目运维总结报告；</w:t>
            </w:r>
          </w:p>
          <w:p>
            <w:pPr>
              <w:pStyle w:val="null3"/>
            </w:pPr>
            <w:r>
              <w:rPr>
                <w:rFonts w:ascii="仿宋_GB2312" w:hAnsi="仿宋_GB2312" w:cs="仿宋_GB2312" w:eastAsia="仿宋_GB2312"/>
              </w:rPr>
              <w:t>7.保密协议（签字确认版）；</w:t>
            </w:r>
          </w:p>
          <w:p>
            <w:pPr>
              <w:pStyle w:val="null3"/>
            </w:pPr>
            <w:r>
              <w:rPr>
                <w:rFonts w:ascii="仿宋_GB2312" w:hAnsi="仿宋_GB2312" w:cs="仿宋_GB2312" w:eastAsia="仿宋_GB2312"/>
              </w:rPr>
              <w:t>8.建设单位要求的其它资料。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按照项目实施需求配置。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按照项目实施需求配置。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按照项目实施需求配置。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按照项目实施需求配置。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2025年8月27日至2026年8月26日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2025年8月27日至2026年8月26日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2025年8月27日至2026年8月26日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陕西省卫生健康信息中心指定地点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陕西省卫生健康信息中心指定地点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陕西省卫生健康信息中心指定地点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按照磋商文件、供应商响应文件及合同文本执行。服务期截止前一个月内，由乙方向甲方递交验收通知书，经甲方确认后，组织乙方进行系统验收。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按照磋商文件、供应商响应文件及合同文本执行。服务期截止前一个月内，由乙方向甲方递交验收通知书，经甲方确认后，组织乙方进行系统验收。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按照磋商文件、供应商响应文件及合同文本执行。服务期截止前一个月内，由乙方向甲方递交验收通知书，经甲方确认后，组织乙方进行系统验收。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签订合同后，成交供应商开具全额发票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签订合同后，成交供应商开具全额发票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签订合同后，成交供应商开具全额发票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按照磋商文件、供应商响应文件及合同文本执行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按照磋商文件、供应商响应文件及合同文本执行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按照磋商文件、供应商响应文件及合同文本执行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注意事项：（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保函必须由具有开具投标保函资格的单位开具；若供应商违约，开具保函单位承担连带责任；（2）磋商保证金的提交金额、时间不满足磋商文件要求的，投标无效；（3）磋商保证金以采购代理机构到账凭证为准，供应商无需更换交纳凭证，由采购代理机构统一提供。（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6月1日以来至少一个月的纳税证明或完税证明，纳税证明或完税证明上应有代收机构或税务机关的公章或业务专用章；其他组织和自然人提供自2024年6月1日以来至少一个月缴纳税收的凭据；依法免税的或者依法不需缴税的供应商应提供相关文件证明； ③社会保障资金缴纳证明：提供自2024年6月1日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注：以上②-③项，提供“陕西省政府采购供应商信用承诺书”的，可不再提供其他证明文件。供应商需在项目电子化交易系统中按要求上传相应证明文件并进行电子签章。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的2024年度审计报告（成立时间至提交响应文件截止时间不足一年的可提供成立后任意时段的资产负债表），或提交自2024年12月1日以来银行出具的资信证明，或信用担保机构出具的投标担保函（以上三种形式的资料提供任何一种即可）；其他组织和自然人提供银行出具 的资信证明或财务报表； 注：此项资格提供“陕西省政府采购供应商信用承诺书”的，可不再提供其他证明文件。供应商需在项目电子化交易系统中按要求上传相应证明文件并进行电子签章。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3资格证明文件.docx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6月1日以来至少一个月的纳税证明或完税证明，纳税证明或完税证明上应有代收机构或税务机关的公章或业务专用章；其他组织和自然人提供自2024年6月1日以来至少一个月缴纳税收的凭据；依法免税的或者依法不需缴税的供应商应提供相关文件证明； ③社会保障资金缴纳证明：提供自2024年6月1日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注：以上②-③项，提供“陕西省政府采购供应商信用承诺书”的，可不再提供其他证明文件。供应商需在项目电子化交易系统中按要求上传相应证明文件并进行电子签章。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的2024年度审计报告（成立时间至提交响应文件截止时间不足一年的可提供成立后任意时段的资产负债表），或提交自2024年12月1日以来银行出具的资信证明，或信用担保机构出具的投标担保函（以上三种形式的资料提供任何一种即可）；其他组织和自然人提供银行出具 的资信证明或财务报表； 注：此项资格提供“陕西省政府采购供应商信用承诺书”的，可不再提供其他证明文件。供应商需在项目电子化交易系统中按要求上传相应证明文件并进行电子签章。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3资格证明文件.docx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6月1日以来至少一个月的纳税证明或完税证明，纳税证明或完税证明上应有代收机构或税务机关的公章或业务专用章；其他组织和自然人提供自2024年6月1日以来至少一个月缴纳税收的凭据；依法免税的或者依法不需缴税的供应商应提供相关文件证明； ③社会保障资金缴纳证明：提供自2024年6月1日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注：以上②-③项，提供“陕西省政府采购供应商信用承诺书”的，可不再提供其他证明文件。供应商需在项目电子化交易系统中按要求上传相应证明文件并进行电子签章。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的2024年度审计报告（成立时间至提交响应文件截止时间不足一年的可提供成立后任意时段的资产负债表），或提交自2024年12月1日以来银行出具的资信证明，或信用担保机构出具的投标担保函（以上三种形式的资料提供任何一种即可）；其他组织和自然人提供银行出具 的资信证明或财务报表； 注：此项资格提供“陕西省政府采购供应商信用承诺书”的，可不再提供其他证明文件。供应商需在项目电子化交易系统中按要求上传相应证明文件并进行电子签章。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3资格证明文件.docx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满足本磋商文件中实质性条款（服务期限、服务地点、支付约定）要求的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4承诺书.docx 5服务响应偏离表.docx 1分项价格表.docx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满足本磋商文件中实质性条款（服务期限、服务地点、支付约定）要求的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4承诺书.docx 5服务响应偏离表.docx 1分项价格表.docx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满足本磋商文件中实质性条款（服务期限、服务地点、支付约定）要求的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4承诺书.docx 5服务响应偏离表.docx 1分项价格表.docx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供应商针对本项目采购需求提供整体服务方案，包括但不限于：整体实施计划、系统更新支持计划、运维服务计划、系统技术支持计划等。 满足磋商文件要求，无瑕疵：10分； 内容存在1处瑕疵：9分； 内容存在2处瑕疵：8分； 内容存在3处瑕疵：7分； 内容存在4处瑕疵：6分； 内容存在5处瑕疵：5分； 内容存在6处瑕疵：4分； 内容存在7处瑕疵：3分； 内容存在8处瑕疵：2分； 内容存在9处瑕疵：1分； 未提供或内容存在10处及以上瑕疵：0分。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的定义同此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6整体服务方案.docx</w:t>
            </w:r>
          </w:p>
        </w:tc>
      </w:tr>
      <w:tr>
        <w:tc>
          <w:tcPr>
            <w:tcW w:type="dxa" w:w="831"/>
            <w:vMerge/>
          </w:tcPr>
          <w:p/>
        </w:tc>
        <w:tc>
          <w:tcPr>
            <w:tcW w:type="dxa" w:w="1661"/>
          </w:tcPr>
          <w:p>
            <w:pPr>
              <w:pStyle w:val="null3"/>
            </w:pPr>
            <w:r>
              <w:rPr>
                <w:rFonts w:ascii="仿宋_GB2312" w:hAnsi="仿宋_GB2312" w:cs="仿宋_GB2312" w:eastAsia="仿宋_GB2312"/>
              </w:rPr>
              <w:t>数据清洗流程和方案</w:t>
            </w:r>
          </w:p>
        </w:tc>
        <w:tc>
          <w:tcPr>
            <w:tcW w:type="dxa" w:w="2492"/>
          </w:tcPr>
          <w:p>
            <w:pPr>
              <w:pStyle w:val="null3"/>
            </w:pPr>
            <w:r>
              <w:rPr>
                <w:rFonts w:ascii="仿宋_GB2312" w:hAnsi="仿宋_GB2312" w:cs="仿宋_GB2312" w:eastAsia="仿宋_GB2312"/>
              </w:rPr>
              <w:t>供应商根据采购内容要求，须提供老龄健康数据清洗的流程和方案，老龄健康数据清洗的流程和方案全面具体、科学合理、操作可行，提高数据的质量和可用性。 满足磋商文件要求，无瑕疵：10分； 内容存在1处瑕疵：9分； 内容存在2处瑕疵：8分； 内容存在3处瑕疵：7分； 内容存在4处瑕疵：6分； 内容存在5处瑕疵：5分； 内容存在6处瑕疵：4分； 内容存在7处瑕疵：3分； 内容存在8处瑕疵：2分； 内容存在9处瑕疵：1分； 未提供或内容存在10处及以上瑕疵：0分。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7数据清洗流程和方案.docx</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供应商提供针对本项目的安全管理方案，包括但不限于①安全巡检②安全漏洞修复与反馈③重大时期网络安全保障④网络安全预警等方面。确保符合网络安全有关的法律法规文件。 满足磋商文件要求，无瑕疵：10分； 内容存在1处瑕疵：9分； 内容存在2处瑕疵：8分； 内容存在3处瑕疵：7分； 内容存在4处瑕疵：6分； 内容存在5处瑕疵：5分； 内容存在6处瑕疵：4分； 内容存在7处瑕疵：3分； 内容存在8处瑕疵：2分； 内容存在9处瑕疵：1分； 未提供或内容存在10处及以上瑕疵：0分。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8安全管理方案.docx</w:t>
            </w:r>
          </w:p>
        </w:tc>
      </w:tr>
      <w:tr>
        <w:tc>
          <w:tcPr>
            <w:tcW w:type="dxa" w:w="831"/>
            <w:vMerge/>
          </w:tcPr>
          <w:p/>
        </w:tc>
        <w:tc>
          <w:tcPr>
            <w:tcW w:type="dxa" w:w="1661"/>
          </w:tcPr>
          <w:p>
            <w:pPr>
              <w:pStyle w:val="null3"/>
            </w:pPr>
            <w:r>
              <w:rPr>
                <w:rFonts w:ascii="仿宋_GB2312" w:hAnsi="仿宋_GB2312" w:cs="仿宋_GB2312" w:eastAsia="仿宋_GB2312"/>
              </w:rPr>
              <w:t>突发事件管理方案</w:t>
            </w:r>
          </w:p>
        </w:tc>
        <w:tc>
          <w:tcPr>
            <w:tcW w:type="dxa" w:w="2492"/>
          </w:tcPr>
          <w:p>
            <w:pPr>
              <w:pStyle w:val="null3"/>
            </w:pPr>
            <w:r>
              <w:rPr>
                <w:rFonts w:ascii="仿宋_GB2312" w:hAnsi="仿宋_GB2312" w:cs="仿宋_GB2312" w:eastAsia="仿宋_GB2312"/>
              </w:rPr>
              <w:t>供应商针对可能出现的问题及突发事件，有具体可行的应急措施和解决方案，内容包括但不限于应急服务响应解决时间、数据备份恢复机制、建立应急预案等。 满足磋商文件要求，无瑕疵：5分； 内容存在1处瑕疵：4分； 内容存在2处瑕疵：3分； 内容存在3处瑕疵：2分； 内容存在4处瑕疵：1分；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9突发事件管理方案.docx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供应商针对本项目提供质量保证方案，包括但不限于①建立质量管理体系②提供具体可行的质量保证措施③明确运维质量保证承诺等。 满足磋商文件要求，无瑕疵：8分； 内容存在1处瑕疵：7分； 内容存在2处瑕疵：6分； 内容存在3处瑕疵：5分； 内容存在4处瑕疵：4分； 内容存在5处瑕疵：3分； 内容存在6处瑕疵：2分； 内容存在7处瑕疵：1分；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10质量保证方案.docx</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供应商针对本项目服务过程中的重点难点进行分析，并提供解决方案。 满足磋商文件要求，无瑕疵：5分； 内容存在1处瑕疵：4分； 内容存在2处瑕疵：3分； 内容存在3处瑕疵：2分； 内容存在4处瑕疵：1分；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11重点难点分析及解决方案.docx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供应商提供项目实施过程及运行维护过程中的保密管理制度和方案，签订保密协议，对获悉的采购人数据信息等做好保密工作。 满足磋商文件要求，无瑕疵：6分； 内容存在1处瑕疵：5分； 内容存在2处瑕疵：4分； 内容存在3处瑕疵：3分； 内容存在4处瑕疵：2分； 内容存在5处瑕疵：1分；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12保密方案.docx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供应商提供针对本项目的人员配备方案，内容包括但不限于服务团队组织架构、人员配备计划、岗位职责划分、人员专业能力证书等。 满足磋商文件要求，无瑕疵：10分； 内容存在1处瑕疵：9分； 内容存在2处瑕疵：8分； 内容存在3处瑕疵：7分； 内容存在4处瑕疵：6分； 内容存在5处瑕疵：5分； 内容存在6处瑕疵：4分； 内容存在7处瑕疵：3分； 内容存在8处瑕疵：2分； 内容存在9处瑕疵：1分； 未提供或内容存在10处及以上瑕疵：0分。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13人员配备.docx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拟派项目经理具有三年或以上信息系统建设或运维类从业经验，且在类似项目中担任过项目经理，满足此要求计3分。 未提供或佐证材料不能证明上述内容均不计分。 注：须提供项目经理身份证、在职证明材料、以及从业经验证明材料（以加盖供应商公章的个人简历为准，简历中应体现从事该领域工作时间）。</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14项目经理.docx</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拟派本项目服务团队人员具有三年或以上信息系统建设或运维类从业经验，每提供1人计1分，共计3分。 注：须提供项目组成员身份证、在职证明材料、以及从业经验证明材料（以加盖供应商公章的个人简历为准，简历中应体现从事该领域工作时间）。</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15项目组成员.docx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提供供应商2022年1月1日至今（以合同签订时间为准）同类项目业绩。每提供一份业绩，得2分，最高得10分。 注：①同类项目是指信息系统建设或运维项目。②供应商需提供项目合同复印件并加盖公章，合同复印件能清晰体现合同内容、签署日期、甲乙双方盖章。未提供或内容不明确或不符合要求的合同不得分。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针对本项目及采购人实际需求提供详细具体可行的服务承诺，包括但不限于合同条款的承诺、人员到位情况的承诺、项目交付承诺、详尽可行的售后服务实施计划、并阐明可提供的咨询或后期服务内容。 满足磋商文件要求，无瑕疵：10分； 内容存在1处瑕疵：9分； 内容存在2处瑕疵：8分； 内容存在3处瑕疵：7分； 内容存在4处瑕疵：6分； 内容存在5处瑕疵：5分； 内容存在6处瑕疵：4分； 内容存在7处瑕疵：3分； 内容存在8处瑕疵：2分； 内容存在9处瑕疵：1分； 未提供或内容存在10处及以上瑕疵：0分。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17服务承诺.docx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即满足磋商文件要求且价格最低的报价为磋商基准价，其价格分为满分。其他响应单位的价格分统一按照下列公式计算： 磋商报价得分=（评标基准价/磋商报价）×价格权值×100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供应商针对本项目采购需求提供整体服务方案，包括但不限于：整体实施计划、系统更新支持计划、运维服务计划、系统技术支持计划等。 满足磋商文件要求，无瑕疵：10分； 内容存在1处瑕疵：9分； 内容存在2处瑕疵：8分； 内容存在3处瑕疵：7分； 内容存在4处瑕疵：6分； 内容存在5处瑕疵：5分； 内容存在6处瑕疵：4分； 内容存在7处瑕疵：3分； 内容存在8处瑕疵：2分； 内容存在9处瑕疵：1分； 未提供或内容存在10处及以上瑕疵：0分。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的定义同此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6整体服务方案.docx</w:t>
            </w:r>
          </w:p>
        </w:tc>
      </w:tr>
      <w:tr>
        <w:tc>
          <w:tcPr>
            <w:tcW w:type="dxa" w:w="831"/>
            <w:vMerge/>
          </w:tcPr>
          <w:p/>
        </w:tc>
        <w:tc>
          <w:tcPr>
            <w:tcW w:type="dxa" w:w="1661"/>
          </w:tcPr>
          <w:p>
            <w:pPr>
              <w:pStyle w:val="null3"/>
            </w:pPr>
            <w:r>
              <w:rPr>
                <w:rFonts w:ascii="仿宋_GB2312" w:hAnsi="仿宋_GB2312" w:cs="仿宋_GB2312" w:eastAsia="仿宋_GB2312"/>
              </w:rPr>
              <w:t>接口方案</w:t>
            </w:r>
          </w:p>
        </w:tc>
        <w:tc>
          <w:tcPr>
            <w:tcW w:type="dxa" w:w="2492"/>
          </w:tcPr>
          <w:p>
            <w:pPr>
              <w:pStyle w:val="null3"/>
            </w:pPr>
            <w:r>
              <w:rPr>
                <w:rFonts w:ascii="仿宋_GB2312" w:hAnsi="仿宋_GB2312" w:cs="仿宋_GB2312" w:eastAsia="仿宋_GB2312"/>
              </w:rPr>
              <w:t>供应商根据采购内容要求，提供出生医学证明模块（含分娩信息）国省之间、省市之间对接流程和方案。 满足磋商文件要求，无瑕疵：10分； 内容存在1处瑕疵：9分； 内容存在2处瑕疵：8分； 内容存在3处瑕疵：7分； 内容存在4处瑕疵：6分； 内容存在5处瑕疵：5分； 内容存在6处瑕疵：4分； 内容存在7处瑕疵：3分； 内容存在8处瑕疵：2分； 内容存在9处瑕疵：1分； 未提供或内容存在10处及以上瑕疵：0分。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7接口方案.docx</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供应商提供针对本项目的安全管理方案，包括但不限于①安全巡检②安全漏洞修复与反馈③重大时期网络安全保障④网络安全预警等方面。确保符合网络安全有关的法律法规文件。 满足磋商文件要求，无瑕疵：10分； 内容存在1处瑕疵：9分； 内容存在2处瑕疵：8分； 内容存在3处瑕疵：7分； 内容存在4处瑕疵：6分； 内容存在5处瑕疵：5分； 内容存在6处瑕疵：4分； 内容存在7处瑕疵：3分； 内容存在8处瑕疵：2分； 内容存在9处瑕疵：1分； 未提供或内容存在10处及以上瑕疵：0分。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8安全管理方案.docx</w:t>
            </w:r>
          </w:p>
        </w:tc>
      </w:tr>
      <w:tr>
        <w:tc>
          <w:tcPr>
            <w:tcW w:type="dxa" w:w="831"/>
            <w:vMerge/>
          </w:tcPr>
          <w:p/>
        </w:tc>
        <w:tc>
          <w:tcPr>
            <w:tcW w:type="dxa" w:w="1661"/>
          </w:tcPr>
          <w:p>
            <w:pPr>
              <w:pStyle w:val="null3"/>
            </w:pPr>
            <w:r>
              <w:rPr>
                <w:rFonts w:ascii="仿宋_GB2312" w:hAnsi="仿宋_GB2312" w:cs="仿宋_GB2312" w:eastAsia="仿宋_GB2312"/>
              </w:rPr>
              <w:t>突发事件管理方案</w:t>
            </w:r>
          </w:p>
        </w:tc>
        <w:tc>
          <w:tcPr>
            <w:tcW w:type="dxa" w:w="2492"/>
          </w:tcPr>
          <w:p>
            <w:pPr>
              <w:pStyle w:val="null3"/>
            </w:pPr>
            <w:r>
              <w:rPr>
                <w:rFonts w:ascii="仿宋_GB2312" w:hAnsi="仿宋_GB2312" w:cs="仿宋_GB2312" w:eastAsia="仿宋_GB2312"/>
              </w:rPr>
              <w:t>供应商针对可能出现的问题及突发事件，有具体可行的应急措施和解决方案，内容包括但不限于应急服务响应解决时间、数据备份恢复机制、建立应急预案等。 满足磋商文件要求，无瑕疵：6分； 内容存在1处瑕疵：5分； 内容存在2处瑕疵：4分； 内容存在3处瑕疵：3分； 内容存在4处瑕疵：2分； 内容存在5处瑕疵：1分；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9突发事件管理方案.docx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供应商针对本项目提供质量保证方案，包括但不限于①建立质量管理体系②提供具体可行的质量保证措施③明确运维质量保证承诺等。 满足磋商文件要求，无瑕疵：10分； 内容存在1处瑕疵：9分； 内容存在2处瑕疵：8分； 内容存在3处瑕疵：7分； 内容存在4处瑕疵：6分； 内容存在5处瑕疵：5分； 内容存在6处瑕疵：4分； 内容存在7处瑕疵：3分； 内容存在8处瑕疵：2分； 内容存在9处瑕疵：1分； 未提供或内容存在10处及以上瑕疵：0分。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10质量保证方案.docx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供应商针对本项目制定培训方案。包括但不限于①培训方式、内容及频次②系统功能操作手册的维护更新③系统客服群的维护管理等。 满足磋商文件要求，无瑕疵：10分； 内容存在1处瑕疵：9分； 内容存在2处瑕疵：8分； 内容存在3处瑕疵：7分； 内容存在4处瑕疵：6分； 内容存在5处瑕疵：5分； 内容存在6处瑕疵：4分； 内容存在7处瑕疵：3分； 内容存在8处瑕疵：2分； 内容存在9处瑕疵：1分； 未提供或内容存在10处及以上瑕疵：0分。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11培训方案.docx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供应商提供项目实施过程及运行维护过程中的保密管理制度和方案，签订保密协议，对获悉的采购人数据信息等做好保密工作。 满足磋商文件要求，无瑕疵：6分； 内容存在1处瑕疵：5分； 内容存在2处瑕疵：4分； 内容存在3处瑕疵：3分； 内容存在4处瑕疵：2分； 内容存在5处瑕疵：1分；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12保密方案.docx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供应商提供针对本项目的人员配备方案，内容包括但不限于服务团队组织架构、人员配备计划、岗位职责划分等。 满足磋商文件要求，无瑕疵：5分； 内容存在1处瑕疵：4分； 内容存在2处瑕疵：3分； 内容存在3处瑕疵：2分； 内容存在4处瑕疵：1分；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13人员配备.docx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拟派项目经理①具有信息系统项目管理师证书，计1分。 ②具有三年或以上信息系统建设或运维类从业经验，且在类似项目中担任过项目经理，满足此要求计1分。 未提供或佐证材料不能证明上述内容均不计分。 注：①须提供项目经理身份证、在职证明材料，否则本项不得分。 ②提供项目经理信息系统项目管理师证书、从业经验证明材料（以加盖供应商公章的个人简历为准，简历中应体现从事该领域工作时间）。</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14项目经理.docx</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①拟派本项目服务团队人员中具有数据库系统工程师证书，计1分。 ②拟派本项目服务团队人员具有三年或以上信息系统建设或运维类从业经验，每提供1人计1分，共计2分。 注：①须提供项目组成员身份证、在职证明材料、以及证书、从业经验证明材料（以加盖供应商公章的个人简历为准，简历中应体现从事该领域工作时间）。②同一人员只计一次分。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15项目组成员.docx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提供供应商2022年1月1日至今（以合同签订时间为准）同类项目业绩。每提供一份业绩，得2分，最高得10分。 注：①同类项目是指信息系统建设或运维项目。②供应商需提供项目合同复印件并加盖公章，合同复印件能清晰体现合同内容、签署日期、甲乙双方盖章。未提供或内容不明确或不符合要求的合同不得分。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针对本项目及采购人实际需求提供详细具体可行的服务承诺，包括但不限于合同条款的承诺、人员到位情况的承诺、项目交付承诺、详尽可行的售后服务实施计划、并阐明可提供的咨询或后期服务内容。 满足磋商文件要求，无瑕疵：8分； 内容存在1处瑕疵：7分； 内容存在2处瑕疵：6分； 内容存在3处瑕疵：5分； 内容存在4处瑕疵：4分； 内容存在5处瑕疵：3分； 内容存在6处瑕疵：2分； 内容存在7处瑕疵：1分；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17服务承诺.docx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即满足磋商文件要求且价格最低的报价为磋商基准价，其价格分为满分。其他响应单位的价格分统一按照下列公式计算： 磋商报价得分=（评标基准价/磋商报价）×价格权值×100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供应商针对本项目采购需求提供整体服务方案，包括但不限于：整体实施计划、系统更新支持计划、运维服务计划、系统技术支持计划等。 满足磋商文件要求，无瑕疵：10分； 内容存在1处瑕疵：9分； 内容存在2处瑕疵：8分； 内容存在3处瑕疵：7分； 内容存在4处瑕疵：6分； 内容存在5处瑕疵：5分； 内容存在6处瑕疵：4分； 内容存在7处瑕疵：3分； 内容存在8处瑕疵：2分； 内容存在9处瑕疵：1分； 未提供或内容存在10处及以上瑕疵：0分。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的定义同此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6整体服务方案.docx</w:t>
            </w:r>
          </w:p>
        </w:tc>
      </w:tr>
      <w:tr>
        <w:tc>
          <w:tcPr>
            <w:tcW w:type="dxa" w:w="831"/>
            <w:vMerge/>
          </w:tcPr>
          <w:p/>
        </w:tc>
        <w:tc>
          <w:tcPr>
            <w:tcW w:type="dxa" w:w="1661"/>
          </w:tcPr>
          <w:p>
            <w:pPr>
              <w:pStyle w:val="null3"/>
            </w:pPr>
            <w:r>
              <w:rPr>
                <w:rFonts w:ascii="仿宋_GB2312" w:hAnsi="仿宋_GB2312" w:cs="仿宋_GB2312" w:eastAsia="仿宋_GB2312"/>
              </w:rPr>
              <w:t>接口方案</w:t>
            </w:r>
          </w:p>
        </w:tc>
        <w:tc>
          <w:tcPr>
            <w:tcW w:type="dxa" w:w="2492"/>
          </w:tcPr>
          <w:p>
            <w:pPr>
              <w:pStyle w:val="null3"/>
            </w:pPr>
            <w:r>
              <w:rPr>
                <w:rFonts w:ascii="仿宋_GB2312" w:hAnsi="仿宋_GB2312" w:cs="仿宋_GB2312" w:eastAsia="仿宋_GB2312"/>
              </w:rPr>
              <w:t>供应商根据采购内容要求，须提供与职业卫生技术服务机构对接的流程及方案。 满足磋商文件要求，无瑕疵：10分； 内容存在1处瑕疵：9分； 内容存在2处瑕疵：8分； 内容存在3处瑕疵：7分； 内容存在4处瑕疵：6分； 内容存在5处瑕疵：5分； 内容存在6处瑕疵：4分； 内容存在7处瑕疵：3分； 内容存在8处瑕疵：2分； 内容存在9处瑕疵：1分； 未提供或内容存在10处及以上瑕疵：0分。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7接口方案.docx</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供应商提供针对本项目的安全管理方案，包括但不限于①安全巡检②安全漏洞修复与反馈③重大时期网络安全保障④网络安全预警等方面。确保符合网络安全有关的法律法规文件。 满足磋商文件要求，无瑕疵：10分； 内容存在1处瑕疵：9分； 内容存在2处瑕疵：8分； 内容存在3处瑕疵：7分； 内容存在4处瑕疵：6分； 内容存在5处瑕疵：5分； 内容存在6处瑕疵：4分； 内容存在7处瑕疵：3分； 内容存在8处瑕疵：2分； 内容存在9处瑕疵：1分； 未提供或内容存在10处及以上瑕疵：0分。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8安全管理方案.docx</w:t>
            </w:r>
          </w:p>
        </w:tc>
      </w:tr>
      <w:tr>
        <w:tc>
          <w:tcPr>
            <w:tcW w:type="dxa" w:w="831"/>
            <w:vMerge/>
          </w:tcPr>
          <w:p/>
        </w:tc>
        <w:tc>
          <w:tcPr>
            <w:tcW w:type="dxa" w:w="1661"/>
          </w:tcPr>
          <w:p>
            <w:pPr>
              <w:pStyle w:val="null3"/>
            </w:pPr>
            <w:r>
              <w:rPr>
                <w:rFonts w:ascii="仿宋_GB2312" w:hAnsi="仿宋_GB2312" w:cs="仿宋_GB2312" w:eastAsia="仿宋_GB2312"/>
              </w:rPr>
              <w:t>突发事件管理方案</w:t>
            </w:r>
          </w:p>
        </w:tc>
        <w:tc>
          <w:tcPr>
            <w:tcW w:type="dxa" w:w="2492"/>
          </w:tcPr>
          <w:p>
            <w:pPr>
              <w:pStyle w:val="null3"/>
            </w:pPr>
            <w:r>
              <w:rPr>
                <w:rFonts w:ascii="仿宋_GB2312" w:hAnsi="仿宋_GB2312" w:cs="仿宋_GB2312" w:eastAsia="仿宋_GB2312"/>
              </w:rPr>
              <w:t>供应商针对可能出现的问题及突发事件，有具体可行的应急措施和解决方案，内容包括但不限于应急服务响应解决时间、数据备份恢复机制、建立应急预案等。 满足磋商文件要求，无瑕疵：6分； 内容存在1处瑕疵：5分； 内容存在2处瑕疵：4分； 内容存在3处瑕疵：3分； 内容存在4处瑕疵：2分； 内容存在5处瑕疵：1分；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9突发事件管理方案.docx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供应商针对本项目提供质量保证方案，包括但不限于①建立质量管理体系②提供具体可行的质量保证措施③明确运维质量保证承诺等。 满足磋商文件要求，无瑕疵：10分； 内容存在1处瑕疵：9分； 内容存在2处瑕疵：8分； 内容存在3处瑕疵：7分； 内容存在4处瑕疵：6分； 内容存在5处瑕疵：5分； 内容存在6处瑕疵：4分； 内容存在7处瑕疵：3分； 内容存在8处瑕疵：2分； 内容存在9处瑕疵：1分； 未提供或内容存在10处及以上瑕疵：0分。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10质量保证方案.docx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供应商针对本项目制定培训方案。包括但不限于①培训方式、内容及频次②系统功能操作手册的维护更新③系统客服群的维护管理等。 满足磋商文件要求，无瑕疵：10分； 内容存在1处瑕疵：9分； 内容存在2处瑕疵：8分； 内容存在3处瑕疵：7分； 内容存在4处瑕疵：6分； 内容存在5处瑕疵：5分； 内容存在6处瑕疵：4分； 内容存在7处瑕疵：3分； 内容存在8处瑕疵：2分； 内容存在9处瑕疵：1分； 未提供或内容存在10处及以上瑕疵：0分。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11培训方案.docx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供应商提供项目实施过程及运行维护过程中的保密管理制度和方案，签订保密协议，对获悉的采购人数据信息等做好保密工作。 满足磋商文件要求，无瑕疵：6分； 内容存在1处瑕疵：5分； 内容存在2处瑕疵：4分； 内容存在3处瑕疵：3分； 内容存在4处瑕疵：2分； 内容存在5处瑕疵：1分；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12保密方案.docx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供应商提供针对本项目的人员配备方案，内容包括但不限于服务团队组织架构、人员配备计划、岗位职责划分等。 满足磋商文件要求，无瑕疵：5分； 内容存在1处瑕疵：4分； 内容存在2处瑕疵：3分； 内容存在3处瑕疵：2分； 内容存在4处瑕疵：1分；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13人员配备.docx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拟派项目经理具有三年或以上信息系统建设或运维类从业经验，且在类似项目中担任过项目经理。满足此要求计2分。 未提供或佐证材料不能证明上述内容均不计分。 注：须提供项目经理身份证、在职证明材料、以及从业经验证明材料（以加盖供应商公章的个人简历为准，简历中应体现从事该领域工作时间）。</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14项目经理.docx</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拟派本项目服务团队人员具有三年或以上信息系统建设或运维类从业经验，每提供1人计1分，共计3分。 注：须提供项目组成员身份证、在职证明材料、以及从业经验证明材料（以加盖供应商公章的个人简历为准，简历中应体现从事该领域工作时间）。</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15项目组成员.docx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提供供应商2022年1月1日至今（以合同签订时间为准）同类项目业绩。每提供一份业绩，得2分，最高得10分。 注：①同类项目是指信息系统建设或运维项目。②供应商需提供项目合同复印件并加盖公章，合同复印件能清晰体现合同内容、签署日期、甲乙双方盖章。未提供或内容不明确或不符合要求的合同不得分。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针对本项目及采购人实际需求提供详细具体可行的服务承诺，包括但不限于合同条款的承诺、人员到位情况的承诺、项目交付承诺、详尽可行的售后服务实施计划、并阐明可提供的咨询或后期服务内容。 满足磋商文件要求，无瑕疵：8分； 内容存在1处瑕疵：7分； 内容存在2处瑕疵：6分； 内容存在3处瑕疵：5分； 内容存在4处瑕疵：4分； 内容存在5处瑕疵：3分； 内容存在6处瑕疵：2分； 内容存在7处瑕疵：1分；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17服务承诺.docx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即满足磋商文件要求且价格最低的报价为磋商基准价，其价格分为满分。其他响应单位的价格分统一按照下列公式计算： 磋商报价得分=（评标基准价/磋商报价）×价格权值×100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详见附件：6整体服务方案.docx</w:t>
      </w:r>
    </w:p>
    <w:p>
      <w:pPr>
        <w:pStyle w:val="null3"/>
        <w:ind w:firstLine="960"/>
      </w:pPr>
      <w:r>
        <w:rPr>
          <w:rFonts w:ascii="仿宋_GB2312" w:hAnsi="仿宋_GB2312" w:cs="仿宋_GB2312" w:eastAsia="仿宋_GB2312"/>
        </w:rPr>
        <w:t>详见附件：7数据清洗流程和方案.docx</w:t>
      </w:r>
    </w:p>
    <w:p>
      <w:pPr>
        <w:pStyle w:val="null3"/>
        <w:ind w:firstLine="960"/>
      </w:pPr>
      <w:r>
        <w:rPr>
          <w:rFonts w:ascii="仿宋_GB2312" w:hAnsi="仿宋_GB2312" w:cs="仿宋_GB2312" w:eastAsia="仿宋_GB2312"/>
        </w:rPr>
        <w:t>详见附件：8安全管理方案.docx</w:t>
      </w:r>
    </w:p>
    <w:p>
      <w:pPr>
        <w:pStyle w:val="null3"/>
        <w:ind w:firstLine="960"/>
      </w:pPr>
      <w:r>
        <w:rPr>
          <w:rFonts w:ascii="仿宋_GB2312" w:hAnsi="仿宋_GB2312" w:cs="仿宋_GB2312" w:eastAsia="仿宋_GB2312"/>
        </w:rPr>
        <w:t>详见附件：9突发事件管理方案.docx</w:t>
      </w:r>
    </w:p>
    <w:p>
      <w:pPr>
        <w:pStyle w:val="null3"/>
        <w:ind w:firstLine="960"/>
      </w:pPr>
      <w:r>
        <w:rPr>
          <w:rFonts w:ascii="仿宋_GB2312" w:hAnsi="仿宋_GB2312" w:cs="仿宋_GB2312" w:eastAsia="仿宋_GB2312"/>
        </w:rPr>
        <w:t>详见附件：10质量保证方案.docx</w:t>
      </w:r>
    </w:p>
    <w:p>
      <w:pPr>
        <w:pStyle w:val="null3"/>
        <w:ind w:firstLine="960"/>
      </w:pPr>
      <w:r>
        <w:rPr>
          <w:rFonts w:ascii="仿宋_GB2312" w:hAnsi="仿宋_GB2312" w:cs="仿宋_GB2312" w:eastAsia="仿宋_GB2312"/>
        </w:rPr>
        <w:t>详见附件：11重点难点分析及解决方案.docx</w:t>
      </w:r>
    </w:p>
    <w:p>
      <w:pPr>
        <w:pStyle w:val="null3"/>
        <w:ind w:firstLine="960"/>
      </w:pPr>
      <w:r>
        <w:rPr>
          <w:rFonts w:ascii="仿宋_GB2312" w:hAnsi="仿宋_GB2312" w:cs="仿宋_GB2312" w:eastAsia="仿宋_GB2312"/>
        </w:rPr>
        <w:t>详见附件：12保密方案.docx</w:t>
      </w:r>
    </w:p>
    <w:p>
      <w:pPr>
        <w:pStyle w:val="null3"/>
        <w:ind w:firstLine="960"/>
      </w:pPr>
      <w:r>
        <w:rPr>
          <w:rFonts w:ascii="仿宋_GB2312" w:hAnsi="仿宋_GB2312" w:cs="仿宋_GB2312" w:eastAsia="仿宋_GB2312"/>
        </w:rPr>
        <w:t>详见附件：13人员配备.docx</w:t>
      </w:r>
    </w:p>
    <w:p>
      <w:pPr>
        <w:pStyle w:val="null3"/>
        <w:ind w:firstLine="960"/>
      </w:pPr>
      <w:r>
        <w:rPr>
          <w:rFonts w:ascii="仿宋_GB2312" w:hAnsi="仿宋_GB2312" w:cs="仿宋_GB2312" w:eastAsia="仿宋_GB2312"/>
        </w:rPr>
        <w:t>详见附件：14项目经理.docx</w:t>
      </w:r>
    </w:p>
    <w:p>
      <w:pPr>
        <w:pStyle w:val="null3"/>
        <w:ind w:firstLine="960"/>
      </w:pPr>
      <w:r>
        <w:rPr>
          <w:rFonts w:ascii="仿宋_GB2312" w:hAnsi="仿宋_GB2312" w:cs="仿宋_GB2312" w:eastAsia="仿宋_GB2312"/>
        </w:rPr>
        <w:t>详见附件：15项目组成员.docx</w:t>
      </w:r>
    </w:p>
    <w:p>
      <w:pPr>
        <w:pStyle w:val="null3"/>
        <w:ind w:firstLine="960"/>
      </w:pPr>
      <w:r>
        <w:rPr>
          <w:rFonts w:ascii="仿宋_GB2312" w:hAnsi="仿宋_GB2312" w:cs="仿宋_GB2312" w:eastAsia="仿宋_GB2312"/>
        </w:rPr>
        <w:t>详见附件：16业绩.docx</w:t>
      </w:r>
    </w:p>
    <w:p>
      <w:pPr>
        <w:pStyle w:val="null3"/>
        <w:ind w:firstLine="960"/>
      </w:pPr>
      <w:r>
        <w:rPr>
          <w:rFonts w:ascii="仿宋_GB2312" w:hAnsi="仿宋_GB2312" w:cs="仿宋_GB2312" w:eastAsia="仿宋_GB2312"/>
        </w:rPr>
        <w:t>详见附件：17服务承诺.docx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详见附件：6整体服务方案.docx</w:t>
      </w:r>
    </w:p>
    <w:p>
      <w:pPr>
        <w:pStyle w:val="null3"/>
        <w:ind w:firstLine="960"/>
      </w:pPr>
      <w:r>
        <w:rPr>
          <w:rFonts w:ascii="仿宋_GB2312" w:hAnsi="仿宋_GB2312" w:cs="仿宋_GB2312" w:eastAsia="仿宋_GB2312"/>
        </w:rPr>
        <w:t>详见附件：7接口方案.docx</w:t>
      </w:r>
    </w:p>
    <w:p>
      <w:pPr>
        <w:pStyle w:val="null3"/>
        <w:ind w:firstLine="960"/>
      </w:pPr>
      <w:r>
        <w:rPr>
          <w:rFonts w:ascii="仿宋_GB2312" w:hAnsi="仿宋_GB2312" w:cs="仿宋_GB2312" w:eastAsia="仿宋_GB2312"/>
        </w:rPr>
        <w:t>详见附件：8安全管理方案.docx</w:t>
      </w:r>
    </w:p>
    <w:p>
      <w:pPr>
        <w:pStyle w:val="null3"/>
        <w:ind w:firstLine="960"/>
      </w:pPr>
      <w:r>
        <w:rPr>
          <w:rFonts w:ascii="仿宋_GB2312" w:hAnsi="仿宋_GB2312" w:cs="仿宋_GB2312" w:eastAsia="仿宋_GB2312"/>
        </w:rPr>
        <w:t>详见附件：9突发事件管理方案.docx</w:t>
      </w:r>
    </w:p>
    <w:p>
      <w:pPr>
        <w:pStyle w:val="null3"/>
        <w:ind w:firstLine="960"/>
      </w:pPr>
      <w:r>
        <w:rPr>
          <w:rFonts w:ascii="仿宋_GB2312" w:hAnsi="仿宋_GB2312" w:cs="仿宋_GB2312" w:eastAsia="仿宋_GB2312"/>
        </w:rPr>
        <w:t>详见附件：10质量保证方案.docx</w:t>
      </w:r>
    </w:p>
    <w:p>
      <w:pPr>
        <w:pStyle w:val="null3"/>
        <w:ind w:firstLine="960"/>
      </w:pPr>
      <w:r>
        <w:rPr>
          <w:rFonts w:ascii="仿宋_GB2312" w:hAnsi="仿宋_GB2312" w:cs="仿宋_GB2312" w:eastAsia="仿宋_GB2312"/>
        </w:rPr>
        <w:t>详见附件：11培训方案.docx</w:t>
      </w:r>
    </w:p>
    <w:p>
      <w:pPr>
        <w:pStyle w:val="null3"/>
        <w:ind w:firstLine="960"/>
      </w:pPr>
      <w:r>
        <w:rPr>
          <w:rFonts w:ascii="仿宋_GB2312" w:hAnsi="仿宋_GB2312" w:cs="仿宋_GB2312" w:eastAsia="仿宋_GB2312"/>
        </w:rPr>
        <w:t>详见附件：12保密方案.docx</w:t>
      </w:r>
    </w:p>
    <w:p>
      <w:pPr>
        <w:pStyle w:val="null3"/>
        <w:ind w:firstLine="960"/>
      </w:pPr>
      <w:r>
        <w:rPr>
          <w:rFonts w:ascii="仿宋_GB2312" w:hAnsi="仿宋_GB2312" w:cs="仿宋_GB2312" w:eastAsia="仿宋_GB2312"/>
        </w:rPr>
        <w:t>详见附件：13人员配备.docx</w:t>
      </w:r>
    </w:p>
    <w:p>
      <w:pPr>
        <w:pStyle w:val="null3"/>
        <w:ind w:firstLine="960"/>
      </w:pPr>
      <w:r>
        <w:rPr>
          <w:rFonts w:ascii="仿宋_GB2312" w:hAnsi="仿宋_GB2312" w:cs="仿宋_GB2312" w:eastAsia="仿宋_GB2312"/>
        </w:rPr>
        <w:t>详见附件：14项目经理.docx</w:t>
      </w:r>
    </w:p>
    <w:p>
      <w:pPr>
        <w:pStyle w:val="null3"/>
        <w:ind w:firstLine="960"/>
      </w:pPr>
      <w:r>
        <w:rPr>
          <w:rFonts w:ascii="仿宋_GB2312" w:hAnsi="仿宋_GB2312" w:cs="仿宋_GB2312" w:eastAsia="仿宋_GB2312"/>
        </w:rPr>
        <w:t>详见附件：15项目组成员.docx</w:t>
      </w:r>
    </w:p>
    <w:p>
      <w:pPr>
        <w:pStyle w:val="null3"/>
        <w:ind w:firstLine="960"/>
      </w:pPr>
      <w:r>
        <w:rPr>
          <w:rFonts w:ascii="仿宋_GB2312" w:hAnsi="仿宋_GB2312" w:cs="仿宋_GB2312" w:eastAsia="仿宋_GB2312"/>
        </w:rPr>
        <w:t>详见附件：16业绩.docx</w:t>
      </w:r>
    </w:p>
    <w:p>
      <w:pPr>
        <w:pStyle w:val="null3"/>
        <w:ind w:firstLine="960"/>
      </w:pPr>
      <w:r>
        <w:rPr>
          <w:rFonts w:ascii="仿宋_GB2312" w:hAnsi="仿宋_GB2312" w:cs="仿宋_GB2312" w:eastAsia="仿宋_GB2312"/>
        </w:rPr>
        <w:t>详见附件：17服务承诺.docx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详见附件：6整体服务方案.docx</w:t>
      </w:r>
    </w:p>
    <w:p>
      <w:pPr>
        <w:pStyle w:val="null3"/>
        <w:ind w:firstLine="960"/>
      </w:pPr>
      <w:r>
        <w:rPr>
          <w:rFonts w:ascii="仿宋_GB2312" w:hAnsi="仿宋_GB2312" w:cs="仿宋_GB2312" w:eastAsia="仿宋_GB2312"/>
        </w:rPr>
        <w:t>详见附件：7接口方案.docx</w:t>
      </w:r>
    </w:p>
    <w:p>
      <w:pPr>
        <w:pStyle w:val="null3"/>
        <w:ind w:firstLine="960"/>
      </w:pPr>
      <w:r>
        <w:rPr>
          <w:rFonts w:ascii="仿宋_GB2312" w:hAnsi="仿宋_GB2312" w:cs="仿宋_GB2312" w:eastAsia="仿宋_GB2312"/>
        </w:rPr>
        <w:t>详见附件：8安全管理方案.docx</w:t>
      </w:r>
    </w:p>
    <w:p>
      <w:pPr>
        <w:pStyle w:val="null3"/>
        <w:ind w:firstLine="960"/>
      </w:pPr>
      <w:r>
        <w:rPr>
          <w:rFonts w:ascii="仿宋_GB2312" w:hAnsi="仿宋_GB2312" w:cs="仿宋_GB2312" w:eastAsia="仿宋_GB2312"/>
        </w:rPr>
        <w:t>详见附件：9突发事件管理方案.docx</w:t>
      </w:r>
    </w:p>
    <w:p>
      <w:pPr>
        <w:pStyle w:val="null3"/>
        <w:ind w:firstLine="960"/>
      </w:pPr>
      <w:r>
        <w:rPr>
          <w:rFonts w:ascii="仿宋_GB2312" w:hAnsi="仿宋_GB2312" w:cs="仿宋_GB2312" w:eastAsia="仿宋_GB2312"/>
        </w:rPr>
        <w:t>详见附件：10质量保证方案.docx</w:t>
      </w:r>
    </w:p>
    <w:p>
      <w:pPr>
        <w:pStyle w:val="null3"/>
        <w:ind w:firstLine="960"/>
      </w:pPr>
      <w:r>
        <w:rPr>
          <w:rFonts w:ascii="仿宋_GB2312" w:hAnsi="仿宋_GB2312" w:cs="仿宋_GB2312" w:eastAsia="仿宋_GB2312"/>
        </w:rPr>
        <w:t>详见附件：11培训方案.docx</w:t>
      </w:r>
    </w:p>
    <w:p>
      <w:pPr>
        <w:pStyle w:val="null3"/>
        <w:ind w:firstLine="960"/>
      </w:pPr>
      <w:r>
        <w:rPr>
          <w:rFonts w:ascii="仿宋_GB2312" w:hAnsi="仿宋_GB2312" w:cs="仿宋_GB2312" w:eastAsia="仿宋_GB2312"/>
        </w:rPr>
        <w:t>详见附件：12保密方案.docx</w:t>
      </w:r>
    </w:p>
    <w:p>
      <w:pPr>
        <w:pStyle w:val="null3"/>
        <w:ind w:firstLine="960"/>
      </w:pPr>
      <w:r>
        <w:rPr>
          <w:rFonts w:ascii="仿宋_GB2312" w:hAnsi="仿宋_GB2312" w:cs="仿宋_GB2312" w:eastAsia="仿宋_GB2312"/>
        </w:rPr>
        <w:t>详见附件：13人员配备.docx</w:t>
      </w:r>
    </w:p>
    <w:p>
      <w:pPr>
        <w:pStyle w:val="null3"/>
        <w:ind w:firstLine="960"/>
      </w:pPr>
      <w:r>
        <w:rPr>
          <w:rFonts w:ascii="仿宋_GB2312" w:hAnsi="仿宋_GB2312" w:cs="仿宋_GB2312" w:eastAsia="仿宋_GB2312"/>
        </w:rPr>
        <w:t>详见附件：14项目经理.docx</w:t>
      </w:r>
    </w:p>
    <w:p>
      <w:pPr>
        <w:pStyle w:val="null3"/>
        <w:ind w:firstLine="960"/>
      </w:pPr>
      <w:r>
        <w:rPr>
          <w:rFonts w:ascii="仿宋_GB2312" w:hAnsi="仿宋_GB2312" w:cs="仿宋_GB2312" w:eastAsia="仿宋_GB2312"/>
        </w:rPr>
        <w:t>详见附件：15项目组成员.docx</w:t>
      </w:r>
    </w:p>
    <w:p>
      <w:pPr>
        <w:pStyle w:val="null3"/>
        <w:ind w:firstLine="960"/>
      </w:pPr>
      <w:r>
        <w:rPr>
          <w:rFonts w:ascii="仿宋_GB2312" w:hAnsi="仿宋_GB2312" w:cs="仿宋_GB2312" w:eastAsia="仿宋_GB2312"/>
        </w:rPr>
        <w:t>详见附件：16业绩.docx</w:t>
      </w:r>
    </w:p>
    <w:p>
      <w:pPr>
        <w:pStyle w:val="null3"/>
        <w:ind w:firstLine="960"/>
      </w:pPr>
      <w:r>
        <w:rPr>
          <w:rFonts w:ascii="仿宋_GB2312" w:hAnsi="仿宋_GB2312" w:cs="仿宋_GB2312" w:eastAsia="仿宋_GB2312"/>
        </w:rPr>
        <w:t>详见附件：17服务承诺.docx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