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8E417">
      <w:pPr>
        <w:pStyle w:val="5"/>
        <w:rPr>
          <w:rFonts w:hint="eastAsia" w:ascii="仿宋" w:hAnsi="仿宋" w:eastAsia="仿宋" w:cs="仿宋"/>
        </w:rPr>
      </w:pPr>
      <w:r>
        <w:rPr>
          <w:rFonts w:hint="eastAsia" w:ascii="仿宋" w:hAnsi="仿宋" w:eastAsia="仿宋" w:cs="仿宋"/>
        </w:rPr>
        <w:t>详见附件：拟签订采购合同文本.docx</w:t>
      </w:r>
    </w:p>
    <w:p w14:paraId="1DB4F666">
      <w:pPr>
        <w:autoSpaceDE w:val="0"/>
        <w:autoSpaceDN w:val="0"/>
        <w:adjustRightInd w:val="0"/>
        <w:spacing w:line="480" w:lineRule="auto"/>
        <w:ind w:firstLine="420" w:firstLineChars="200"/>
        <w:rPr>
          <w:rFonts w:hint="eastAsia" w:ascii="仿宋" w:hAnsi="仿宋" w:eastAsia="仿宋" w:cs="仿宋"/>
          <w:bCs/>
          <w:color w:val="auto"/>
          <w:sz w:val="24"/>
          <w:szCs w:val="24"/>
          <w:highlight w:val="none"/>
        </w:rPr>
      </w:pPr>
      <w:r>
        <w:rPr>
          <w:rFonts w:hint="eastAsia" w:ascii="仿宋" w:hAnsi="仿宋" w:eastAsia="仿宋" w:cs="仿宋"/>
        </w:rPr>
        <w:t xml:space="preserve"> </w:t>
      </w:r>
      <w:r>
        <w:rPr>
          <w:rFonts w:hint="eastAsia" w:ascii="仿宋" w:hAnsi="仿宋" w:eastAsia="仿宋" w:cs="仿宋"/>
          <w:bCs/>
          <w:color w:val="auto"/>
          <w:sz w:val="24"/>
          <w:szCs w:val="24"/>
          <w:highlight w:val="none"/>
        </w:rPr>
        <w:t>甲方（</w:t>
      </w:r>
      <w:r>
        <w:rPr>
          <w:rFonts w:hint="eastAsia" w:ascii="仿宋" w:hAnsi="仿宋" w:eastAsia="仿宋" w:cs="仿宋"/>
          <w:bCs/>
          <w:color w:val="auto"/>
          <w:sz w:val="24"/>
          <w:szCs w:val="24"/>
          <w:highlight w:val="none"/>
          <w:lang w:eastAsia="zh-CN"/>
        </w:rPr>
        <w:t>招标</w:t>
      </w:r>
      <w:r>
        <w:rPr>
          <w:rFonts w:hint="eastAsia" w:ascii="仿宋" w:hAnsi="仿宋" w:eastAsia="仿宋" w:cs="仿宋"/>
          <w:bCs/>
          <w:color w:val="auto"/>
          <w:sz w:val="24"/>
          <w:szCs w:val="24"/>
          <w:highlight w:val="none"/>
        </w:rPr>
        <w:t>人）：</w:t>
      </w:r>
    </w:p>
    <w:p w14:paraId="4FD07177">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乙方（中标人）： </w:t>
      </w:r>
    </w:p>
    <w:p w14:paraId="7F45B938">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根据《中华人民共和国民法典》、《中华人民共和国</w:t>
      </w:r>
      <w:r>
        <w:rPr>
          <w:rFonts w:hint="eastAsia" w:ascii="仿宋" w:hAnsi="仿宋" w:eastAsia="仿宋" w:cs="仿宋"/>
          <w:bCs/>
          <w:color w:val="auto"/>
          <w:sz w:val="24"/>
          <w:szCs w:val="24"/>
          <w:highlight w:val="none"/>
          <w:lang w:eastAsia="zh-CN"/>
        </w:rPr>
        <w:t>政府采购</w:t>
      </w:r>
      <w:r>
        <w:rPr>
          <w:rFonts w:hint="eastAsia" w:ascii="仿宋" w:hAnsi="仿宋" w:eastAsia="仿宋" w:cs="仿宋"/>
          <w:bCs/>
          <w:color w:val="auto"/>
          <w:sz w:val="24"/>
          <w:szCs w:val="24"/>
          <w:highlight w:val="none"/>
        </w:rPr>
        <w:t>法》及其他有关法律、法规，遵循平等、自愿、公平和诚信的原则，双方就下述工程委托与相关服务事项协商一致，订立本合同。</w:t>
      </w:r>
    </w:p>
    <w:p w14:paraId="10D6C88E">
      <w:pPr>
        <w:autoSpaceDE w:val="0"/>
        <w:autoSpaceDN w:val="0"/>
        <w:adjustRightInd w:val="0"/>
        <w:spacing w:line="48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2D242F90">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lang w:val="en-US" w:eastAsia="zh-CN"/>
        </w:rPr>
        <w:t xml:space="preserve">            （￥：     元）</w:t>
      </w:r>
      <w:r>
        <w:rPr>
          <w:rFonts w:hint="eastAsia" w:ascii="仿宋" w:hAnsi="仿宋" w:eastAsia="仿宋" w:cs="仿宋"/>
          <w:bCs/>
          <w:color w:val="auto"/>
          <w:sz w:val="24"/>
          <w:szCs w:val="24"/>
          <w:highlight w:val="none"/>
        </w:rPr>
        <w:t>。</w:t>
      </w:r>
    </w:p>
    <w:p w14:paraId="16B2FE8A">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bookmarkStart w:id="0" w:name="_GoBack"/>
      <w:bookmarkEnd w:id="0"/>
      <w:r>
        <w:rPr>
          <w:rFonts w:hint="eastAsia" w:ascii="仿宋" w:hAnsi="仿宋" w:eastAsia="仿宋" w:cs="仿宋"/>
          <w:bCs/>
          <w:color w:val="auto"/>
          <w:sz w:val="24"/>
          <w:szCs w:val="24"/>
          <w:highlight w:val="none"/>
          <w:lang w:eastAsia="zh-CN"/>
        </w:rPr>
        <w:t>工程量清单的全部内容</w:t>
      </w:r>
      <w:r>
        <w:rPr>
          <w:rFonts w:hint="eastAsia" w:ascii="仿宋" w:hAnsi="仿宋" w:eastAsia="仿宋" w:cs="仿宋"/>
          <w:bCs/>
          <w:color w:val="auto"/>
          <w:sz w:val="24"/>
          <w:szCs w:val="24"/>
          <w:highlight w:val="none"/>
        </w:rPr>
        <w:t>，不受市场价变化或实际工作量变化的影响。合同价格为含税价。</w:t>
      </w:r>
    </w:p>
    <w:p w14:paraId="40AB5EFE">
      <w:pPr>
        <w:autoSpaceDE w:val="0"/>
        <w:autoSpaceDN w:val="0"/>
        <w:adjustRightInd w:val="0"/>
        <w:spacing w:line="48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二、结算方式</w:t>
      </w:r>
    </w:p>
    <w:p w14:paraId="764504B9">
      <w:pPr>
        <w:autoSpaceDE w:val="0"/>
        <w:autoSpaceDN w:val="0"/>
        <w:adjustRightInd w:val="0"/>
        <w:spacing w:line="480" w:lineRule="auto"/>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（1）前期无预付款项，资金自筹；项目竣工验收、审计结算后支付至审计金额的100%。</w:t>
      </w:r>
    </w:p>
    <w:p w14:paraId="74495681">
      <w:pPr>
        <w:autoSpaceDE w:val="0"/>
        <w:autoSpaceDN w:val="0"/>
        <w:adjustRightInd w:val="0"/>
        <w:spacing w:line="480" w:lineRule="auto"/>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2</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rPr>
        <w:t>付款前，承包人须提供合法合规的增值税发票（税率按本合同价款后的约定），否则，发包人有权拒绝支付任何款项。</w:t>
      </w:r>
    </w:p>
    <w:p w14:paraId="108E32C3">
      <w:pPr>
        <w:autoSpaceDE w:val="0"/>
        <w:autoSpaceDN w:val="0"/>
        <w:adjustRightInd w:val="0"/>
        <w:spacing w:line="480" w:lineRule="auto"/>
        <w:ind w:firstLine="480" w:firstLineChars="200"/>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4</w:t>
      </w:r>
      <w:r>
        <w:rPr>
          <w:rFonts w:hint="eastAsia" w:ascii="仿宋" w:hAnsi="仿宋" w:eastAsia="仿宋" w:cs="仿宋"/>
          <w:b w:val="0"/>
          <w:bCs/>
          <w:color w:val="auto"/>
          <w:sz w:val="24"/>
          <w:szCs w:val="24"/>
          <w:highlight w:val="none"/>
          <w:lang w:eastAsia="zh-CN"/>
        </w:rPr>
        <w:t>）漏项处理：施工过程中发现工程量清单中存在漏项工程的，该漏项工程作为本项目采购的组成部分，采购人和供应商可以按照《中华人民共和国政府采购法》的规定协商解决。</w:t>
      </w:r>
    </w:p>
    <w:p w14:paraId="7EA723E5">
      <w:pPr>
        <w:autoSpaceDE w:val="0"/>
        <w:autoSpaceDN w:val="0"/>
        <w:adjustRightInd w:val="0"/>
        <w:spacing w:line="48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1746E0F9">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（一）实施地点：甲方指定地点。</w:t>
      </w:r>
    </w:p>
    <w:p w14:paraId="403A559C">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（二）工期：</w:t>
      </w:r>
      <w:r>
        <w:rPr>
          <w:rFonts w:hint="eastAsia" w:ascii="仿宋" w:hAnsi="仿宋" w:eastAsia="仿宋" w:cs="仿宋"/>
          <w:bCs/>
          <w:color w:val="auto"/>
          <w:sz w:val="24"/>
          <w:szCs w:val="24"/>
          <w:highlight w:val="none"/>
          <w:lang w:eastAsia="zh-CN"/>
        </w:rPr>
        <w:t>自合同签订之日起</w:t>
      </w:r>
      <w:r>
        <w:rPr>
          <w:rFonts w:hint="eastAsia" w:ascii="仿宋" w:hAnsi="仿宋" w:eastAsia="仿宋" w:cs="仿宋"/>
          <w:bCs/>
          <w:color w:val="auto"/>
          <w:sz w:val="24"/>
          <w:szCs w:val="24"/>
          <w:highlight w:val="none"/>
          <w:lang w:val="en-US" w:eastAsia="zh-CN"/>
        </w:rPr>
        <w:t>45日历天</w:t>
      </w:r>
      <w:r>
        <w:rPr>
          <w:rFonts w:hint="eastAsia" w:ascii="仿宋" w:hAnsi="仿宋" w:eastAsia="仿宋" w:cs="仿宋"/>
          <w:bCs/>
          <w:color w:val="auto"/>
          <w:sz w:val="24"/>
          <w:szCs w:val="24"/>
          <w:highlight w:val="none"/>
        </w:rPr>
        <w:t>。</w:t>
      </w:r>
    </w:p>
    <w:p w14:paraId="47950334">
      <w:pPr>
        <w:autoSpaceDE w:val="0"/>
        <w:autoSpaceDN w:val="0"/>
        <w:adjustRightInd w:val="0"/>
        <w:spacing w:line="48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25A5D4CE">
      <w:pPr>
        <w:autoSpaceDE w:val="0"/>
        <w:autoSpaceDN w:val="0"/>
        <w:adjustRightInd w:val="0"/>
        <w:spacing w:line="48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076198DC">
      <w:pPr>
        <w:autoSpaceDE w:val="0"/>
        <w:autoSpaceDN w:val="0"/>
        <w:adjustRightInd w:val="0"/>
        <w:spacing w:line="48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spacing w:val="1"/>
          <w:sz w:val="24"/>
          <w:szCs w:val="24"/>
        </w:rPr>
        <w:t>达到国家现行施工验收规范“合格”标准</w:t>
      </w:r>
      <w:r>
        <w:rPr>
          <w:rFonts w:hint="eastAsia" w:ascii="仿宋" w:hAnsi="仿宋" w:eastAsia="仿宋" w:cs="仿宋"/>
          <w:color w:val="auto"/>
          <w:sz w:val="24"/>
          <w:szCs w:val="24"/>
          <w:highlight w:val="none"/>
          <w:lang w:val="zh-CN"/>
        </w:rPr>
        <w:t>。</w:t>
      </w:r>
    </w:p>
    <w:p w14:paraId="0D94B1DB">
      <w:pPr>
        <w:pStyle w:val="2"/>
        <w:rPr>
          <w:rFonts w:hint="eastAsia" w:ascii="仿宋" w:hAnsi="仿宋" w:eastAsia="仿宋" w:cs="仿宋"/>
          <w:b w:val="0"/>
          <w:bCs w:val="0"/>
          <w:spacing w:val="1"/>
          <w:sz w:val="24"/>
          <w:szCs w:val="24"/>
          <w:lang w:val="en-US" w:eastAsia="zh-CN"/>
        </w:rPr>
      </w:pPr>
      <w:r>
        <w:rPr>
          <w:rFonts w:hint="eastAsia" w:ascii="仿宋" w:hAnsi="仿宋" w:eastAsia="仿宋" w:cs="仿宋"/>
          <w:color w:val="auto"/>
          <w:sz w:val="24"/>
          <w:szCs w:val="24"/>
          <w:highlight w:val="none"/>
          <w:lang w:val="en-US" w:eastAsia="zh-CN"/>
        </w:rPr>
        <w:t xml:space="preserve">    （三）</w:t>
      </w:r>
      <w:r>
        <w:rPr>
          <w:rFonts w:hint="eastAsia" w:ascii="仿宋" w:hAnsi="仿宋" w:eastAsia="仿宋" w:cs="仿宋"/>
          <w:b w:val="0"/>
          <w:bCs w:val="0"/>
          <w:color w:val="000000"/>
          <w:spacing w:val="1"/>
          <w:sz w:val="24"/>
          <w:szCs w:val="24"/>
          <w:highlight w:val="none"/>
        </w:rPr>
        <w:t>工程整体质保2年，在工程竣工验收合格后质保期2年。</w:t>
      </w:r>
    </w:p>
    <w:p w14:paraId="37A2FCB6">
      <w:pPr>
        <w:spacing w:line="480" w:lineRule="auto"/>
        <w:ind w:firstLine="600" w:firstLineChars="24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2E0F4F56">
      <w:pPr>
        <w:spacing w:line="48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70F78983">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34C9DE46">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2、组织设计、设计变更及现场签证，工程结算的审定等工作。</w:t>
      </w:r>
    </w:p>
    <w:p w14:paraId="0F51D9BD">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68B5821B">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679A9D85">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33559D60">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 乙方责任：</w:t>
      </w:r>
    </w:p>
    <w:p w14:paraId="7FB6B895">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5444CA55">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65B0362B">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2B602CEC">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31FC6C1F">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048094F0">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31F2CE0B">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180EFD30">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u w:val="single"/>
        </w:rPr>
        <w:t>肆</w:t>
      </w:r>
      <w:r>
        <w:rPr>
          <w:rFonts w:hint="eastAsia" w:ascii="仿宋" w:hAnsi="仿宋" w:eastAsia="仿宋" w:cs="仿宋"/>
          <w:color w:val="auto"/>
          <w:sz w:val="24"/>
          <w:szCs w:val="24"/>
          <w:highlight w:val="none"/>
        </w:rPr>
        <w:t>套，办理工程竣工结算手续，参加工程竣工验收。</w:t>
      </w:r>
    </w:p>
    <w:p w14:paraId="3B865883">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7B3690A5">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4B8E14A8">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5680D7F4">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p w14:paraId="06E201D5">
      <w:pPr>
        <w:spacing w:line="48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13、爱护采购方设施设备，不能为施工方便未经甲方书面同意损坏采购方设施设备。</w:t>
      </w:r>
    </w:p>
    <w:p w14:paraId="7F2D6B96">
      <w:pPr>
        <w:spacing w:line="48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14、供应商自行办理垃圾清理手续，遵守当地政府垃圾分类处理有关规定，承担自行处置不当导致的全部费用和责任。</w:t>
      </w:r>
    </w:p>
    <w:p w14:paraId="6F4C65A4">
      <w:pPr>
        <w:autoSpaceDE w:val="0"/>
        <w:autoSpaceDN w:val="0"/>
        <w:adjustRightInd w:val="0"/>
        <w:spacing w:line="480" w:lineRule="auto"/>
        <w:ind w:firstLine="472" w:firstLineChars="196"/>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lang w:val="zh-CN"/>
        </w:rPr>
        <w:t>违约责任</w:t>
      </w:r>
    </w:p>
    <w:p w14:paraId="513F9F16">
      <w:pPr>
        <w:spacing w:line="560" w:lineRule="exact"/>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eastAsia="zh-CN"/>
        </w:rPr>
        <w:t>、按《政府采购法》、《中华人民共和国民法典》中的相关条款执行。</w:t>
      </w:r>
    </w:p>
    <w:p w14:paraId="37B5422A">
      <w:pPr>
        <w:spacing w:line="560" w:lineRule="exact"/>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2、未按要求提供货物、质量、环保标准不能满足技术要求的，施工方必须无条件更换，否则，采购单位有权终止合同，并对施工方的违约行为报监管机构进行相应的处罚。</w:t>
      </w:r>
    </w:p>
    <w:p w14:paraId="6CCF89FB">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3、施工方不能按期交工的，每逾期一日应向项目单位支付合同总价款2%的违约金，给采购单位造成损失的，应予以赔偿。</w:t>
      </w:r>
      <w:r>
        <w:rPr>
          <w:rFonts w:hint="eastAsia" w:ascii="仿宋" w:hAnsi="仿宋" w:eastAsia="仿宋" w:cs="仿宋"/>
          <w:sz w:val="24"/>
          <w:szCs w:val="24"/>
        </w:rPr>
        <w:t>。</w:t>
      </w:r>
    </w:p>
    <w:p w14:paraId="67C63A55">
      <w:pPr>
        <w:spacing w:line="360" w:lineRule="auto"/>
        <w:ind w:firstLine="663" w:firstLineChars="300"/>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bCs/>
          <w:sz w:val="22"/>
          <w:szCs w:val="22"/>
          <w:lang w:val="en-US" w:eastAsia="zh-CN"/>
        </w:rPr>
        <w:t>七</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
          <w:color w:val="auto"/>
          <w:sz w:val="24"/>
          <w:szCs w:val="24"/>
          <w:highlight w:val="none"/>
        </w:rPr>
        <w:t>双方权利及义务</w:t>
      </w:r>
    </w:p>
    <w:p w14:paraId="7E739440">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1.甲乙双方必须遵守本合同并执行合同中的各项规定，保证本合同的正常履行。</w:t>
      </w:r>
    </w:p>
    <w:p w14:paraId="20A83FAA">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2.本合同签订后甲乙双方不得单方终止合同，如乙方违约，应退还预付款，并赔偿给甲方实际造成的损失。</w:t>
      </w:r>
    </w:p>
    <w:p w14:paraId="113B0880">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3.如因乙方存在以下行为，甲方有权终止合同，依法向乙方进行经济索赔，并报请政府采购监督管理机关进行相应的行政处罚。</w:t>
      </w:r>
    </w:p>
    <w:p w14:paraId="29E7A4FA">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① 相应资质被取消；</w:t>
      </w:r>
    </w:p>
    <w:p w14:paraId="2A569708">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② 存在弄虚作假、传递虚假信息等违法违规行为；</w:t>
      </w:r>
    </w:p>
    <w:p w14:paraId="3513DB50">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③ 基础设施及人员不能满足需要，提出后拒不整改；</w:t>
      </w:r>
    </w:p>
    <w:p w14:paraId="3AD881F1">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④ 网络舆情或媒体报道存在不规范操作行为；</w:t>
      </w:r>
    </w:p>
    <w:p w14:paraId="3971F955">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⑤ 未全面履行合同义务或者发生违约。</w:t>
      </w:r>
    </w:p>
    <w:p w14:paraId="3CFE3E4D">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4.本合同未经双方同意，任何一方不得以任何形式公开本合同及附件内容，以确保双方的商业机密。</w:t>
      </w:r>
    </w:p>
    <w:p w14:paraId="649D81FB">
      <w:pPr>
        <w:spacing w:line="360" w:lineRule="auto"/>
        <w:ind w:firstLine="631" w:firstLineChars="263"/>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val="0"/>
          <w:bCs/>
          <w:color w:val="auto"/>
          <w:sz w:val="24"/>
          <w:szCs w:val="24"/>
          <w:highlight w:val="none"/>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D80EBCB">
      <w:pPr>
        <w:spacing w:line="360" w:lineRule="auto"/>
        <w:ind w:firstLine="634" w:firstLineChars="263"/>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八</w:t>
      </w:r>
      <w:r>
        <w:rPr>
          <w:rFonts w:hint="eastAsia" w:ascii="仿宋" w:hAnsi="仿宋" w:eastAsia="仿宋" w:cs="仿宋"/>
          <w:b/>
          <w:color w:val="auto"/>
          <w:sz w:val="24"/>
          <w:szCs w:val="24"/>
          <w:highlight w:val="none"/>
        </w:rPr>
        <w:t>、组成合同的文件</w:t>
      </w:r>
    </w:p>
    <w:p w14:paraId="2E25B782">
      <w:pPr>
        <w:spacing w:line="48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75D782C1">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49F5461F">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62E28776">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文件及其附件</w:t>
      </w:r>
    </w:p>
    <w:p w14:paraId="23634249">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投标报价</w:t>
      </w:r>
      <w:r>
        <w:rPr>
          <w:rFonts w:hint="eastAsia" w:ascii="仿宋" w:hAnsi="仿宋" w:eastAsia="仿宋" w:cs="仿宋"/>
          <w:color w:val="auto"/>
          <w:sz w:val="24"/>
          <w:szCs w:val="24"/>
          <w:highlight w:val="none"/>
        </w:rPr>
        <w:t>清单表</w:t>
      </w:r>
    </w:p>
    <w:p w14:paraId="74AA7903">
      <w:pPr>
        <w:spacing w:line="48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3ECEE363">
      <w:pPr>
        <w:autoSpaceDE w:val="0"/>
        <w:autoSpaceDN w:val="0"/>
        <w:adjustRightInd w:val="0"/>
        <w:spacing w:line="48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lang w:val="zh-CN"/>
        </w:rPr>
        <w:t>、验收</w:t>
      </w:r>
    </w:p>
    <w:p w14:paraId="2E46FE4F">
      <w:pPr>
        <w:autoSpaceDE w:val="0"/>
        <w:autoSpaceDN w:val="0"/>
        <w:adjustRightInd w:val="0"/>
        <w:spacing w:line="48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0DE2AD5F">
      <w:pPr>
        <w:spacing w:line="48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7265DB0C">
      <w:pPr>
        <w:spacing w:line="48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3379CB98">
      <w:pPr>
        <w:spacing w:line="48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验收依据：</w:t>
      </w:r>
    </w:p>
    <w:p w14:paraId="5EB97212">
      <w:pPr>
        <w:spacing w:line="48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合同、</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lang w:val="zh-CN"/>
        </w:rPr>
        <w:t>文件、</w:t>
      </w:r>
      <w:r>
        <w:rPr>
          <w:rFonts w:hint="eastAsia" w:ascii="仿宋" w:hAnsi="仿宋" w:eastAsia="仿宋" w:cs="仿宋"/>
          <w:color w:val="auto"/>
          <w:sz w:val="24"/>
          <w:szCs w:val="24"/>
          <w:highlight w:val="none"/>
          <w:lang w:val="en-US" w:eastAsia="zh-CN"/>
        </w:rPr>
        <w:t>磋商响应文件</w:t>
      </w:r>
      <w:r>
        <w:rPr>
          <w:rFonts w:hint="eastAsia" w:ascii="仿宋" w:hAnsi="仿宋" w:eastAsia="仿宋" w:cs="仿宋"/>
          <w:color w:val="auto"/>
          <w:sz w:val="24"/>
          <w:szCs w:val="24"/>
          <w:highlight w:val="none"/>
          <w:lang w:val="zh-CN"/>
        </w:rPr>
        <w:t>及承诺。</w:t>
      </w:r>
    </w:p>
    <w:p w14:paraId="26BB2ABB">
      <w:pPr>
        <w:spacing w:line="48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国家相关</w:t>
      </w:r>
      <w:r>
        <w:rPr>
          <w:rFonts w:hint="eastAsia" w:ascii="仿宋" w:hAnsi="仿宋" w:eastAsia="仿宋" w:cs="仿宋"/>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37BBDFB4">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十</w:t>
      </w:r>
      <w:r>
        <w:rPr>
          <w:rFonts w:hint="eastAsia" w:ascii="仿宋" w:hAnsi="仿宋" w:eastAsia="仿宋" w:cs="仿宋"/>
          <w:b/>
          <w:color w:val="auto"/>
          <w:sz w:val="24"/>
          <w:szCs w:val="24"/>
          <w:highlight w:val="none"/>
        </w:rPr>
        <w:t>、争议的解决方式</w:t>
      </w:r>
    </w:p>
    <w:p w14:paraId="5F8D00B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 双方均可向项目所在地人民法院起诉。</w:t>
      </w:r>
    </w:p>
    <w:p w14:paraId="6F1DB240">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十一</w:t>
      </w:r>
      <w:r>
        <w:rPr>
          <w:rFonts w:hint="eastAsia" w:ascii="仿宋" w:hAnsi="仿宋" w:eastAsia="仿宋" w:cs="仿宋"/>
          <w:b/>
          <w:color w:val="auto"/>
          <w:sz w:val="24"/>
          <w:szCs w:val="24"/>
          <w:highlight w:val="none"/>
        </w:rPr>
        <w:t>、其他</w:t>
      </w:r>
    </w:p>
    <w:p w14:paraId="049805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602688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与本工程相关的特别说明</w:t>
      </w:r>
    </w:p>
    <w:p w14:paraId="1DB4E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本项目包工、包料、包工期、包质量、包安全、包调试、包垃圾外运、包文明施工，成交供应商要结合工程情况合理报价，按照采购方要求施工。</w:t>
      </w:r>
    </w:p>
    <w:p w14:paraId="07D07652">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、附则</w:t>
      </w:r>
    </w:p>
    <w:p w14:paraId="10B435E5">
      <w:pPr>
        <w:keepNext w:val="0"/>
        <w:keepLines w:val="0"/>
        <w:pageBreakBefore w:val="0"/>
        <w:widowControl w:val="0"/>
        <w:tabs>
          <w:tab w:val="left" w:pos="0"/>
        </w:tabs>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（一）本合同一式份，正本</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份，副本</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份，甲方执</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份，乙方执</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份。</w:t>
      </w:r>
    </w:p>
    <w:p w14:paraId="52F32A9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3"/>
        <w:tblW w:w="9089" w:type="dxa"/>
        <w:jc w:val="center"/>
        <w:tblLayout w:type="fixed"/>
        <w:tblCellMar>
          <w:top w:w="0" w:type="dxa"/>
          <w:left w:w="108" w:type="dxa"/>
          <w:bottom w:w="0" w:type="dxa"/>
          <w:right w:w="108" w:type="dxa"/>
        </w:tblCellMar>
      </w:tblPr>
      <w:tblGrid>
        <w:gridCol w:w="4571"/>
        <w:gridCol w:w="4518"/>
      </w:tblGrid>
      <w:tr w14:paraId="3BE5D6D3">
        <w:tblPrEx>
          <w:tblCellMar>
            <w:top w:w="0" w:type="dxa"/>
            <w:left w:w="108" w:type="dxa"/>
            <w:bottom w:w="0" w:type="dxa"/>
            <w:right w:w="108" w:type="dxa"/>
          </w:tblCellMar>
        </w:tblPrEx>
        <w:trPr>
          <w:trHeight w:val="567" w:hRule="exact"/>
          <w:jc w:val="center"/>
        </w:trPr>
        <w:tc>
          <w:tcPr>
            <w:tcW w:w="4571" w:type="dxa"/>
            <w:noWrap/>
            <w:vAlign w:val="center"/>
          </w:tcPr>
          <w:p w14:paraId="6CE62C2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  方</w:t>
            </w:r>
          </w:p>
        </w:tc>
        <w:tc>
          <w:tcPr>
            <w:tcW w:w="4518" w:type="dxa"/>
            <w:noWrap/>
            <w:vAlign w:val="center"/>
          </w:tcPr>
          <w:p w14:paraId="02C2F587">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  方</w:t>
            </w:r>
          </w:p>
        </w:tc>
      </w:tr>
      <w:tr w14:paraId="767047B5">
        <w:tblPrEx>
          <w:tblCellMar>
            <w:top w:w="0" w:type="dxa"/>
            <w:left w:w="108" w:type="dxa"/>
            <w:bottom w:w="0" w:type="dxa"/>
            <w:right w:w="108" w:type="dxa"/>
          </w:tblCellMar>
        </w:tblPrEx>
        <w:trPr>
          <w:trHeight w:val="567" w:hRule="exact"/>
          <w:jc w:val="center"/>
        </w:trPr>
        <w:tc>
          <w:tcPr>
            <w:tcW w:w="4571" w:type="dxa"/>
            <w:noWrap/>
            <w:vAlign w:val="center"/>
          </w:tcPr>
          <w:p w14:paraId="487BD444">
            <w:pPr>
              <w:autoSpaceDE w:val="0"/>
              <w:autoSpaceDN w:val="0"/>
              <w:adjustRightInd w:val="0"/>
              <w:spacing w:line="480" w:lineRule="auto"/>
              <w:ind w:firstLine="700" w:firstLineChars="35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518" w:type="dxa"/>
            <w:noWrap/>
            <w:vAlign w:val="center"/>
          </w:tcPr>
          <w:p w14:paraId="473EF008">
            <w:pPr>
              <w:autoSpaceDE w:val="0"/>
              <w:autoSpaceDN w:val="0"/>
              <w:adjustRightInd w:val="0"/>
              <w:spacing w:line="480" w:lineRule="auto"/>
              <w:ind w:firstLine="800" w:firstLineChars="4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3F980D3F">
        <w:tblPrEx>
          <w:tblCellMar>
            <w:top w:w="0" w:type="dxa"/>
            <w:left w:w="108" w:type="dxa"/>
            <w:bottom w:w="0" w:type="dxa"/>
            <w:right w:w="108" w:type="dxa"/>
          </w:tblCellMar>
        </w:tblPrEx>
        <w:trPr>
          <w:trHeight w:val="567" w:hRule="exact"/>
          <w:jc w:val="center"/>
        </w:trPr>
        <w:tc>
          <w:tcPr>
            <w:tcW w:w="4571" w:type="dxa"/>
            <w:noWrap/>
            <w:vAlign w:val="center"/>
          </w:tcPr>
          <w:p w14:paraId="1B3095F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地址： </w:t>
            </w:r>
          </w:p>
        </w:tc>
        <w:tc>
          <w:tcPr>
            <w:tcW w:w="4518" w:type="dxa"/>
            <w:noWrap/>
            <w:vAlign w:val="center"/>
          </w:tcPr>
          <w:p w14:paraId="5D5D11D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660E4141">
        <w:tblPrEx>
          <w:tblCellMar>
            <w:top w:w="0" w:type="dxa"/>
            <w:left w:w="108" w:type="dxa"/>
            <w:bottom w:w="0" w:type="dxa"/>
            <w:right w:w="108" w:type="dxa"/>
          </w:tblCellMar>
        </w:tblPrEx>
        <w:trPr>
          <w:trHeight w:val="567" w:hRule="exact"/>
          <w:jc w:val="center"/>
        </w:trPr>
        <w:tc>
          <w:tcPr>
            <w:tcW w:w="4571" w:type="dxa"/>
            <w:noWrap/>
            <w:vAlign w:val="center"/>
          </w:tcPr>
          <w:p w14:paraId="0AFCE5C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518" w:type="dxa"/>
            <w:noWrap/>
            <w:vAlign w:val="center"/>
          </w:tcPr>
          <w:p w14:paraId="00AA932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387080BF">
        <w:tblPrEx>
          <w:tblCellMar>
            <w:top w:w="0" w:type="dxa"/>
            <w:left w:w="108" w:type="dxa"/>
            <w:bottom w:w="0" w:type="dxa"/>
            <w:right w:w="108" w:type="dxa"/>
          </w:tblCellMar>
        </w:tblPrEx>
        <w:trPr>
          <w:trHeight w:val="567" w:hRule="exact"/>
          <w:jc w:val="center"/>
        </w:trPr>
        <w:tc>
          <w:tcPr>
            <w:tcW w:w="4571" w:type="dxa"/>
            <w:noWrap/>
            <w:vAlign w:val="center"/>
          </w:tcPr>
          <w:p w14:paraId="1FEEE629">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法定代表人： </w:t>
            </w:r>
          </w:p>
        </w:tc>
        <w:tc>
          <w:tcPr>
            <w:tcW w:w="4518" w:type="dxa"/>
            <w:noWrap/>
            <w:vAlign w:val="center"/>
          </w:tcPr>
          <w:p w14:paraId="5A31319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p>
        </w:tc>
      </w:tr>
      <w:tr w14:paraId="4EBAA9EE">
        <w:tblPrEx>
          <w:tblCellMar>
            <w:top w:w="0" w:type="dxa"/>
            <w:left w:w="108" w:type="dxa"/>
            <w:bottom w:w="0" w:type="dxa"/>
            <w:right w:w="108" w:type="dxa"/>
          </w:tblCellMar>
        </w:tblPrEx>
        <w:trPr>
          <w:trHeight w:val="567" w:hRule="exact"/>
          <w:jc w:val="center"/>
        </w:trPr>
        <w:tc>
          <w:tcPr>
            <w:tcW w:w="4571" w:type="dxa"/>
            <w:noWrap/>
            <w:vAlign w:val="center"/>
          </w:tcPr>
          <w:p w14:paraId="57D793A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被授权代表：</w:t>
            </w:r>
          </w:p>
        </w:tc>
        <w:tc>
          <w:tcPr>
            <w:tcW w:w="4518" w:type="dxa"/>
            <w:noWrap/>
            <w:vAlign w:val="center"/>
          </w:tcPr>
          <w:p w14:paraId="7E23D88C">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被授权代表：</w:t>
            </w:r>
          </w:p>
        </w:tc>
      </w:tr>
      <w:tr w14:paraId="0F42A36E">
        <w:tblPrEx>
          <w:tblCellMar>
            <w:top w:w="0" w:type="dxa"/>
            <w:left w:w="108" w:type="dxa"/>
            <w:bottom w:w="0" w:type="dxa"/>
            <w:right w:w="108" w:type="dxa"/>
          </w:tblCellMar>
        </w:tblPrEx>
        <w:trPr>
          <w:trHeight w:val="567" w:hRule="exact"/>
          <w:jc w:val="center"/>
        </w:trPr>
        <w:tc>
          <w:tcPr>
            <w:tcW w:w="4571" w:type="dxa"/>
            <w:noWrap/>
            <w:vAlign w:val="center"/>
          </w:tcPr>
          <w:p w14:paraId="59272A0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518" w:type="dxa"/>
            <w:noWrap/>
            <w:vAlign w:val="center"/>
          </w:tcPr>
          <w:p w14:paraId="684765C4">
            <w:pPr>
              <w:autoSpaceDE w:val="0"/>
              <w:autoSpaceDN w:val="0"/>
              <w:adjustRightInd w:val="0"/>
              <w:spacing w:line="480" w:lineRule="auto"/>
              <w:ind w:left="600" w:hanging="600" w:hangingChars="3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79F7460A">
        <w:tblPrEx>
          <w:tblCellMar>
            <w:top w:w="0" w:type="dxa"/>
            <w:left w:w="108" w:type="dxa"/>
            <w:bottom w:w="0" w:type="dxa"/>
            <w:right w:w="108" w:type="dxa"/>
          </w:tblCellMar>
        </w:tblPrEx>
        <w:trPr>
          <w:trHeight w:val="567" w:hRule="exact"/>
          <w:jc w:val="center"/>
        </w:trPr>
        <w:tc>
          <w:tcPr>
            <w:tcW w:w="4571" w:type="dxa"/>
            <w:noWrap/>
            <w:vAlign w:val="center"/>
          </w:tcPr>
          <w:p w14:paraId="573B74D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c>
          <w:tcPr>
            <w:tcW w:w="4518" w:type="dxa"/>
            <w:noWrap/>
            <w:vAlign w:val="center"/>
          </w:tcPr>
          <w:p w14:paraId="52879EF9">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r>
      <w:tr w14:paraId="0EE22A5C">
        <w:tblPrEx>
          <w:tblCellMar>
            <w:top w:w="0" w:type="dxa"/>
            <w:left w:w="108" w:type="dxa"/>
            <w:bottom w:w="0" w:type="dxa"/>
            <w:right w:w="108" w:type="dxa"/>
          </w:tblCellMar>
        </w:tblPrEx>
        <w:trPr>
          <w:trHeight w:val="567" w:hRule="exact"/>
          <w:jc w:val="center"/>
        </w:trPr>
        <w:tc>
          <w:tcPr>
            <w:tcW w:w="4571" w:type="dxa"/>
            <w:noWrap/>
            <w:vAlign w:val="center"/>
          </w:tcPr>
          <w:p w14:paraId="6D26D872">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518" w:type="dxa"/>
            <w:noWrap/>
            <w:vAlign w:val="center"/>
          </w:tcPr>
          <w:p w14:paraId="7708ADAD">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588BC128">
        <w:tblPrEx>
          <w:tblCellMar>
            <w:top w:w="0" w:type="dxa"/>
            <w:left w:w="108" w:type="dxa"/>
            <w:bottom w:w="0" w:type="dxa"/>
            <w:right w:w="108" w:type="dxa"/>
          </w:tblCellMar>
        </w:tblPrEx>
        <w:trPr>
          <w:trHeight w:val="567" w:hRule="exact"/>
          <w:jc w:val="center"/>
        </w:trPr>
        <w:tc>
          <w:tcPr>
            <w:tcW w:w="4571" w:type="dxa"/>
            <w:noWrap/>
            <w:vAlign w:val="center"/>
          </w:tcPr>
          <w:p w14:paraId="52DF744E">
            <w:pPr>
              <w:autoSpaceDE w:val="0"/>
              <w:autoSpaceDN w:val="0"/>
              <w:adjustRightInd w:val="0"/>
              <w:spacing w:line="480" w:lineRule="auto"/>
              <w:rPr>
                <w:rFonts w:hint="eastAsia" w:ascii="仿宋" w:hAnsi="仿宋" w:eastAsia="仿宋" w:cs="仿宋"/>
                <w:color w:val="auto"/>
                <w:spacing w:val="-20"/>
                <w:kern w:val="0"/>
                <w:sz w:val="24"/>
                <w:szCs w:val="24"/>
                <w:highlight w:val="none"/>
                <w:lang w:eastAsia="zh-CN"/>
              </w:rPr>
            </w:pPr>
            <w:r>
              <w:rPr>
                <w:rFonts w:hint="eastAsia" w:ascii="仿宋" w:hAnsi="仿宋" w:eastAsia="仿宋" w:cs="仿宋"/>
                <w:color w:val="auto"/>
                <w:spacing w:val="-20"/>
                <w:kern w:val="0"/>
                <w:sz w:val="24"/>
                <w:szCs w:val="24"/>
                <w:highlight w:val="none"/>
              </w:rPr>
              <w:t>日期</w:t>
            </w:r>
            <w:r>
              <w:rPr>
                <w:rFonts w:hint="eastAsia" w:ascii="仿宋" w:hAnsi="仿宋" w:eastAsia="仿宋" w:cs="仿宋"/>
                <w:color w:val="auto"/>
                <w:spacing w:val="-20"/>
                <w:kern w:val="0"/>
                <w:sz w:val="24"/>
                <w:szCs w:val="24"/>
                <w:highlight w:val="none"/>
                <w:lang w:eastAsia="zh-CN"/>
              </w:rPr>
              <w:t>：</w:t>
            </w:r>
          </w:p>
        </w:tc>
        <w:tc>
          <w:tcPr>
            <w:tcW w:w="4518" w:type="dxa"/>
            <w:noWrap/>
            <w:vAlign w:val="center"/>
          </w:tcPr>
          <w:p w14:paraId="04A1A76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r>
    </w:tbl>
    <w:p w14:paraId="168EC7E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897190"/>
    <w:rsid w:val="64897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4"/>
    <w:basedOn w:val="1"/>
    <w:next w:val="1"/>
    <w:qFormat/>
    <w:uiPriority w:val="99"/>
    <w:pPr>
      <w:keepNext/>
      <w:keepLines/>
      <w:spacing w:line="360" w:lineRule="auto"/>
      <w:outlineLvl w:val="3"/>
    </w:pPr>
    <w:rPr>
      <w:rFonts w:ascii="Arial" w:hAnsi="Arial" w:cs="Arial"/>
      <w:b/>
      <w:bCs/>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2025-07-10T02:43:00Z</dcterms:created>
  <dc:creator>华夏国际-招标部1</dc:creator>
  <cp:lastModifiedBy>华夏国际-招标部1</cp:lastModifiedBy>
  <dcterms:modified xsi:type="dcterms:W3CDTF">2025-07-10T02:44:02Z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4A6ED00D677F4D8C8526BBA637AD2AEC_11</vt:lpwstr>
  </property>
  <property fmtid="{D5CDD505-2E9C-101B-9397-08002B2CF9AE}" pid="4" name="KSOTemplateDocerSaveRecord">
    <vt:lpwstr>eyJoZGlkIjoiOTliZmFiMTgxMjAzMGU2Mjk0ZGExYmI2MWRhM2Y3ZjgiLCJ1c2VySWQiOiIxNTQ4NTM4NTMxIn0=</vt:lpwstr>
  </property>
</Properties>
</file>