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版本号：DRZB2025-ZC-13920250707001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2025年烈属、军属和退役军人等家庭悬挂光荣牌项目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DRZB2025-ZC-139</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2025年烈属、军属和退役军人等家庭悬挂光荣牌项目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2025年烈属、军属和退役军人等家庭悬挂光荣牌项目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陕西省退役军人事务厅2025年烈属、军属和退役军人等家庭悬挂光荣牌项目，具体内容详见采购需求。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029-63919225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采购包1保证金金额：9,139.00元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2015〕299号规定，经协商由中标人向采购代理机构支付招标代理服务费，如本项目服务费不足陆仟元则供应商按陆仟元支付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陕西省退役军人事务厅2025年烈属、军属和退役军人等家庭悬挂光荣牌项目，具体内容详见第3章。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2025年烈属、军属和退役军人等家庭悬挂光荣牌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标的名称：2025年烈属、军属和退役军人等家庭悬挂光荣牌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一．招标内容</w:t>
            </w:r>
          </w:p>
          <w:p>
            <w:pPr>
              <w:pStyle w:val="null3"/>
              <w:jc w:val="both"/>
            </w:pPr>
            <w:r>
              <w:rPr>
                <w:rFonts w:ascii="仿宋_GB2312" w:hAnsi="仿宋_GB2312" w:cs="仿宋_GB2312" w:eastAsia="仿宋_GB2312"/>
                <w:sz w:val="21"/>
              </w:rPr>
              <w:t>1、项目名称：2025年烈属、军属和退役军人等家庭悬挂光荣牌项目</w:t>
            </w:r>
          </w:p>
          <w:p>
            <w:pPr>
              <w:pStyle w:val="null3"/>
              <w:jc w:val="both"/>
            </w:pPr>
            <w:r>
              <w:rPr>
                <w:rFonts w:ascii="仿宋_GB2312" w:hAnsi="仿宋_GB2312" w:cs="仿宋_GB2312" w:eastAsia="仿宋_GB2312"/>
                <w:sz w:val="21"/>
              </w:rPr>
              <w:t>2、交货期：</w:t>
            </w:r>
            <w:r>
              <w:rPr>
                <w:rFonts w:ascii="仿宋_GB2312" w:hAnsi="仿宋_GB2312" w:cs="仿宋_GB2312" w:eastAsia="仿宋_GB2312"/>
                <w:sz w:val="21"/>
              </w:rPr>
              <w:t>合同签订</w:t>
            </w:r>
            <w:r>
              <w:rPr>
                <w:rFonts w:ascii="仿宋_GB2312" w:hAnsi="仿宋_GB2312" w:cs="仿宋_GB2312" w:eastAsia="仿宋_GB2312"/>
                <w:sz w:val="21"/>
              </w:rPr>
              <w:t>后15个工作日内。</w:t>
            </w:r>
          </w:p>
          <w:p>
            <w:pPr>
              <w:pStyle w:val="null3"/>
              <w:jc w:val="both"/>
            </w:pPr>
            <w:r>
              <w:rPr>
                <w:rFonts w:ascii="仿宋_GB2312" w:hAnsi="仿宋_GB2312" w:cs="仿宋_GB2312" w:eastAsia="仿宋_GB2312"/>
                <w:sz w:val="21"/>
              </w:rPr>
              <w:t>3、交货地点：配送至采购人指定地点</w:t>
            </w:r>
          </w:p>
          <w:p>
            <w:pPr>
              <w:pStyle w:val="null3"/>
              <w:jc w:val="both"/>
            </w:pPr>
            <w:r>
              <w:rPr>
                <w:rFonts w:ascii="仿宋_GB2312" w:hAnsi="仿宋_GB2312" w:cs="仿宋_GB2312" w:eastAsia="仿宋_GB2312"/>
                <w:sz w:val="21"/>
              </w:rPr>
              <w:t>4、项目预算：500000.00元</w:t>
            </w:r>
          </w:p>
          <w:p>
            <w:pPr>
              <w:pStyle w:val="null3"/>
              <w:jc w:val="both"/>
            </w:pPr>
            <w:r>
              <w:rPr>
                <w:rFonts w:ascii="仿宋_GB2312" w:hAnsi="仿宋_GB2312" w:cs="仿宋_GB2312" w:eastAsia="仿宋_GB2312"/>
                <w:sz w:val="21"/>
                <w:b/>
              </w:rPr>
              <w:t>5、本项目为单价采购，单价最高限价为20元/个</w:t>
            </w:r>
          </w:p>
          <w:p>
            <w:pPr>
              <w:pStyle w:val="null3"/>
              <w:jc w:val="both"/>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b/>
                <w:color w:val="000000"/>
              </w:rPr>
              <w:t>（一）光荣</w:t>
            </w:r>
            <w:r>
              <w:rPr>
                <w:rFonts w:ascii="仿宋_GB2312" w:hAnsi="仿宋_GB2312" w:cs="仿宋_GB2312" w:eastAsia="仿宋_GB2312"/>
                <w:sz w:val="21"/>
                <w:b/>
              </w:rPr>
              <w:t>牌制作技术要求</w:t>
            </w:r>
          </w:p>
          <w:p>
            <w:pPr>
              <w:pStyle w:val="null3"/>
              <w:ind w:firstLine="201"/>
              <w:jc w:val="left"/>
            </w:pPr>
            <w:r>
              <w:rPr>
                <w:rFonts w:ascii="仿宋_GB2312" w:hAnsi="仿宋_GB2312" w:cs="仿宋_GB2312" w:eastAsia="仿宋_GB2312"/>
                <w:sz w:val="21"/>
                <w:b/>
                <w:color w:val="000000"/>
              </w:rPr>
              <w:t>1、品名:</w:t>
            </w:r>
            <w:r>
              <w:rPr>
                <w:rFonts w:ascii="仿宋_GB2312" w:hAnsi="仿宋_GB2312" w:cs="仿宋_GB2312" w:eastAsia="仿宋_GB2312"/>
                <w:sz w:val="21"/>
                <w:color w:val="000000"/>
              </w:rPr>
              <w:t>“光荣之家”牌匾。</w:t>
            </w:r>
          </w:p>
          <w:p>
            <w:pPr>
              <w:pStyle w:val="null3"/>
              <w:ind w:firstLine="201"/>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规格要求：</w:t>
            </w:r>
            <w:r>
              <w:rPr>
                <w:rFonts w:ascii="仿宋_GB2312" w:hAnsi="仿宋_GB2312" w:cs="仿宋_GB2312" w:eastAsia="仿宋_GB2312"/>
                <w:sz w:val="21"/>
                <w:color w:val="000000"/>
              </w:rPr>
              <w:t>280毫米×135毫米，厚度1毫米。</w:t>
            </w:r>
          </w:p>
          <w:p>
            <w:pPr>
              <w:pStyle w:val="null3"/>
              <w:ind w:firstLine="201"/>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、材质及质量要求：</w:t>
            </w:r>
            <w:r>
              <w:rPr>
                <w:rFonts w:ascii="仿宋_GB2312" w:hAnsi="仿宋_GB2312" w:cs="仿宋_GB2312" w:eastAsia="仿宋_GB2312"/>
                <w:sz w:val="21"/>
                <w:color w:val="000000"/>
              </w:rPr>
              <w:t>光荣牌（样式图附后）材质为钛金牌，底色为金黄色、沙底镀金；表面光泽，图案和字迹鲜艳、清晰、防腐蚀、防掉色、防褪色。</w:t>
            </w:r>
          </w:p>
          <w:p>
            <w:pPr>
              <w:pStyle w:val="null3"/>
              <w:ind w:firstLine="201"/>
              <w:jc w:val="left"/>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、工艺细节要求：</w:t>
            </w:r>
            <w:r>
              <w:rPr>
                <w:rFonts w:ascii="仿宋_GB2312" w:hAnsi="仿宋_GB2312" w:cs="仿宋_GB2312" w:eastAsia="仿宋_GB2312"/>
                <w:sz w:val="21"/>
                <w:color w:val="000000"/>
              </w:rPr>
              <w:t>“光荣之家”字样为红色套亮金边，方正魏碑简体132号字，四个字规格为202毫米×43毫米，距上边31毫米，左右居中；“陕西省人民政府”字样为方正宋体黑色32号简体字，规格为82毫米×11毫米，距下边29毫米，距右边32毫米；左下角配长城图案、亮金色，规格为155毫米×36毫米，距下边15毫米，距左边16毫米；红色花边宽4毫米，距边缘10毫米，花边内线粗0.7毫米，花边外线粗1毫米。右下花边内“退役军人事务部监制”字样为方正宋体黑色20号字，规格为73毫米×6.8毫米，距下边16.5毫米，与“ 陕西省人民政府”右端对齐</w:t>
            </w:r>
            <w:r>
              <w:rPr>
                <w:rFonts w:ascii="仿宋_GB2312" w:hAnsi="仿宋_GB2312" w:cs="仿宋_GB2312" w:eastAsia="仿宋_GB2312"/>
                <w:sz w:val="21"/>
                <w:color w:val="000000"/>
              </w:rPr>
              <w:t>。</w:t>
            </w:r>
          </w:p>
          <w:p>
            <w:pPr>
              <w:pStyle w:val="null3"/>
              <w:ind w:firstLine="201"/>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、装订要求：</w:t>
            </w:r>
            <w:r>
              <w:rPr>
                <w:rFonts w:ascii="仿宋_GB2312" w:hAnsi="仿宋_GB2312" w:cs="仿宋_GB2312" w:eastAsia="仿宋_GB2312"/>
                <w:sz w:val="21"/>
                <w:color w:val="000000"/>
              </w:rPr>
              <w:t>钉装、胶粘两用挂装装置；四角内工艺镙钉，钉眼光滑处理，每块光荣牌配备4枚钉子颜色与钛金板颜色一致钢钉（样式图附后）；背面用防水强力双面胶全覆盖。</w:t>
            </w:r>
          </w:p>
          <w:p>
            <w:pPr>
              <w:pStyle w:val="null3"/>
              <w:ind w:firstLine="201"/>
              <w:jc w:val="left"/>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、包装要求：</w:t>
            </w:r>
            <w:r>
              <w:rPr>
                <w:rFonts w:ascii="仿宋_GB2312" w:hAnsi="仿宋_GB2312" w:cs="仿宋_GB2312" w:eastAsia="仿宋_GB2312"/>
                <w:sz w:val="21"/>
              </w:rPr>
              <w:t>投标人应提供完备的技术资料、装箱单和合格证等，</w:t>
            </w:r>
            <w:r>
              <w:rPr>
                <w:rFonts w:ascii="仿宋_GB2312" w:hAnsi="仿宋_GB2312" w:cs="仿宋_GB2312" w:eastAsia="仿宋_GB2312"/>
                <w:sz w:val="21"/>
                <w:color w:val="000000"/>
              </w:rPr>
              <w:t>每个光荣牌采用高档PE共挤膜气泡信封独立包装。50个一箱，箱子有防雨、防潮、防锈、防震保护。</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rPr>
              <w:t>如所供货物出现质量问题，采购人在付款期内随时有权停止付款，待投标人对该货物满足采购人条件后再行付款。付款的时间则相应顺延。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jc w:val="both"/>
            </w:pPr>
            <w:r>
              <w:rPr>
                <w:rFonts w:ascii="仿宋_GB2312" w:hAnsi="仿宋_GB2312" w:cs="仿宋_GB2312" w:eastAsia="仿宋_GB2312"/>
                <w:sz w:val="21"/>
                <w:b/>
              </w:rPr>
              <w:t>1、产品质量检验：</w:t>
            </w:r>
            <w:r>
              <w:rPr>
                <w:rFonts w:ascii="仿宋_GB2312" w:hAnsi="仿宋_GB2312" w:cs="仿宋_GB2312" w:eastAsia="仿宋_GB2312"/>
                <w:sz w:val="21"/>
              </w:rPr>
              <w:t>光荣牌质量须符合招标文件中规定的技术规范参数。</w:t>
            </w:r>
          </w:p>
          <w:p>
            <w:pPr>
              <w:pStyle w:val="null3"/>
              <w:jc w:val="both"/>
            </w:pPr>
            <w:r>
              <w:rPr>
                <w:rFonts w:ascii="仿宋_GB2312" w:hAnsi="仿宋_GB2312" w:cs="仿宋_GB2312" w:eastAsia="仿宋_GB2312"/>
                <w:sz w:val="21"/>
                <w:b/>
              </w:rPr>
              <w:t>2、废品销毁：</w:t>
            </w:r>
          </w:p>
          <w:p>
            <w:pPr>
              <w:pStyle w:val="null3"/>
              <w:jc w:val="both"/>
            </w:pPr>
            <w:r>
              <w:rPr>
                <w:rFonts w:ascii="仿宋_GB2312" w:hAnsi="仿宋_GB2312" w:cs="仿宋_GB2312" w:eastAsia="仿宋_GB2312"/>
                <w:sz w:val="21"/>
              </w:rPr>
              <w:t>（1）如果</w:t>
            </w:r>
            <w:r>
              <w:rPr>
                <w:rFonts w:ascii="仿宋_GB2312" w:hAnsi="仿宋_GB2312" w:cs="仿宋_GB2312" w:eastAsia="仿宋_GB2312"/>
                <w:sz w:val="21"/>
                <w:color w:val="000000"/>
              </w:rPr>
              <w:t>产品质量与合同规定的标准不符，由投标人负责更换，如更换后仍不能达到规定标准，采购人有权退货。</w:t>
            </w:r>
          </w:p>
          <w:p>
            <w:pPr>
              <w:pStyle w:val="null3"/>
              <w:jc w:val="both"/>
            </w:pPr>
            <w:r>
              <w:rPr>
                <w:rFonts w:ascii="仿宋_GB2312" w:hAnsi="仿宋_GB2312" w:cs="仿宋_GB2312" w:eastAsia="仿宋_GB2312"/>
                <w:sz w:val="21"/>
                <w:color w:val="000000"/>
              </w:rPr>
              <w:t>（2）投标人生产过程中产生的不合格产品，以及后续因质量不合格需更换的产品，在采购人监督下实行废品销毁制度，严格杜绝流入市场。如若违约，须承担相应法律责任。</w:t>
            </w:r>
          </w:p>
          <w:p>
            <w:pPr>
              <w:pStyle w:val="null3"/>
              <w:jc w:val="both"/>
            </w:pPr>
            <w:r>
              <w:rPr>
                <w:rFonts w:ascii="仿宋_GB2312" w:hAnsi="仿宋_GB2312" w:cs="仿宋_GB2312" w:eastAsia="仿宋_GB2312"/>
                <w:sz w:val="21"/>
                <w:color w:val="000000"/>
              </w:rPr>
              <w:t>3、投标报价包含完成该项目工作所发生的全部费用，包括但不限于供应商利润、货物包装价格、货物运送到甲方指定现场的运费、税金和政策性文件规定及合同包含的所有风险、责任等一切费用。</w:t>
            </w:r>
          </w:p>
          <w:p>
            <w:pPr>
              <w:pStyle w:val="null3"/>
              <w:jc w:val="both"/>
            </w:pPr>
            <w:r>
              <w:rPr>
                <w:rFonts w:ascii="仿宋_GB2312" w:hAnsi="仿宋_GB2312" w:cs="仿宋_GB2312" w:eastAsia="仿宋_GB2312"/>
                <w:sz w:val="21"/>
                <w:b/>
                <w:color w:val="000000"/>
              </w:rPr>
              <w:t>4、付款方式：</w:t>
            </w:r>
            <w:r>
              <w:rPr>
                <w:rFonts w:ascii="仿宋_GB2312" w:hAnsi="仿宋_GB2312" w:cs="仿宋_GB2312" w:eastAsia="仿宋_GB2312"/>
                <w:sz w:val="21"/>
                <w:color w:val="000000"/>
              </w:rPr>
              <w:t>签订合同后，达到付款条件起15日内，支付合同总金额的50.00%；项目完成并经采购人验收合格后 ，达到付款条件起 15日内，支付合同总金额的 50.00%。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、光荣牌样式图、螺钉参考图、胀管参考图详见附件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样品递交要求</w:t>
            </w:r>
          </w:p>
          <w:p>
            <w:pPr>
              <w:pStyle w:val="null3"/>
              <w:ind w:left="105"/>
              <w:jc w:val="left"/>
            </w:pPr>
            <w:r>
              <w:rPr>
                <w:rFonts w:ascii="仿宋_GB2312" w:hAnsi="仿宋_GB2312" w:cs="仿宋_GB2312" w:eastAsia="仿宋_GB2312"/>
                <w:sz w:val="21"/>
                <w:b/>
              </w:rPr>
              <w:t>1.投标人须按要求提供样品（数量：1套），</w:t>
            </w:r>
            <w:r>
              <w:rPr>
                <w:rFonts w:ascii="仿宋_GB2312" w:hAnsi="仿宋_GB2312" w:cs="仿宋_GB2312" w:eastAsia="仿宋_GB2312"/>
                <w:sz w:val="21"/>
                <w:b/>
              </w:rPr>
              <w:t>须包括光荣牌（两块，一块背面用防水强力双面胶全覆盖，一块无须粘胶）</w:t>
            </w:r>
            <w:r>
              <w:rPr>
                <w:rFonts w:ascii="仿宋_GB2312" w:hAnsi="仿宋_GB2312" w:cs="仿宋_GB2312" w:eastAsia="仿宋_GB2312"/>
                <w:sz w:val="21"/>
                <w:b/>
              </w:rPr>
              <w:t>、安装辅材（钉装、胶粘）、</w:t>
            </w:r>
            <w:r>
              <w:rPr>
                <w:rFonts w:ascii="仿宋_GB2312" w:hAnsi="仿宋_GB2312" w:cs="仿宋_GB2312" w:eastAsia="仿宋_GB2312"/>
                <w:sz w:val="21"/>
                <w:b/>
              </w:rPr>
              <w:t>每个光荣牌的包装材料（高档PE共挤膜气泡信封）及外包装箱子。</w:t>
            </w:r>
          </w:p>
          <w:p>
            <w:pPr>
              <w:pStyle w:val="null3"/>
              <w:ind w:left="105"/>
              <w:jc w:val="left"/>
            </w:pPr>
            <w:r>
              <w:rPr>
                <w:rFonts w:ascii="仿宋_GB2312" w:hAnsi="仿宋_GB2312" w:cs="仿宋_GB2312" w:eastAsia="仿宋_GB2312"/>
                <w:sz w:val="21"/>
              </w:rPr>
              <w:t>2.样品递交要求：</w:t>
            </w:r>
          </w:p>
          <w:p>
            <w:pPr>
              <w:pStyle w:val="null3"/>
              <w:ind w:left="105"/>
              <w:jc w:val="left"/>
            </w:pPr>
            <w:r>
              <w:rPr>
                <w:rFonts w:ascii="仿宋_GB2312" w:hAnsi="仿宋_GB2312" w:cs="仿宋_GB2312" w:eastAsia="仿宋_GB2312"/>
                <w:sz w:val="21"/>
              </w:rPr>
              <w:t>（1）递交样品截止时间：同投标文件递交截止时间一致，逾期未交的，视为放弃递交样品；</w:t>
            </w:r>
          </w:p>
          <w:p>
            <w:pPr>
              <w:pStyle w:val="null3"/>
              <w:ind w:left="105"/>
              <w:jc w:val="left"/>
            </w:pPr>
            <w:r>
              <w:rPr>
                <w:rFonts w:ascii="仿宋_GB2312" w:hAnsi="仿宋_GB2312" w:cs="仿宋_GB2312" w:eastAsia="仿宋_GB2312"/>
                <w:sz w:val="21"/>
              </w:rPr>
              <w:t>（2）样品递交地点：西安市唐延路37号class公馆B栋1103室；</w:t>
            </w:r>
          </w:p>
          <w:p>
            <w:pPr>
              <w:pStyle w:val="null3"/>
              <w:ind w:left="105"/>
              <w:jc w:val="left"/>
            </w:pPr>
            <w:r>
              <w:rPr>
                <w:rFonts w:ascii="仿宋_GB2312" w:hAnsi="仿宋_GB2312" w:cs="仿宋_GB2312" w:eastAsia="仿宋_GB2312"/>
                <w:sz w:val="21"/>
              </w:rPr>
              <w:t>（3）样品需要统一密封，并注明投标人名称及产品清单。（格式见招标文件第六章附件）</w:t>
            </w:r>
          </w:p>
          <w:p>
            <w:pPr>
              <w:pStyle w:val="null3"/>
              <w:ind w:left="105"/>
              <w:jc w:val="left"/>
            </w:pPr>
            <w:r>
              <w:rPr>
                <w:rFonts w:ascii="仿宋_GB2312" w:hAnsi="仿宋_GB2312" w:cs="仿宋_GB2312" w:eastAsia="仿宋_GB2312"/>
                <w:sz w:val="21"/>
              </w:rPr>
              <w:t>（4）评审时需打开样品外包装，查看其材质、性能等是否符合采购需求，由此造成的损失由投标人自行承担；</w:t>
            </w:r>
          </w:p>
          <w:p>
            <w:pPr>
              <w:pStyle w:val="null3"/>
              <w:jc w:val="both"/>
            </w:pPr>
            <w:r>
              <w:rPr>
                <w:rFonts w:ascii="仿宋_GB2312" w:hAnsi="仿宋_GB2312" w:cs="仿宋_GB2312" w:eastAsia="仿宋_GB2312"/>
                <w:sz w:val="21"/>
              </w:rPr>
              <w:t>（5）样品在招标大会结束后统一封存，公示期结束后，未中标人可领取样品，中标人的样品由采购人保存，作为供货验收的依据。如中标人所提供的产品与样品不一致时，采购人将予以追究该单位的违约责任和经济赔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陕西省退役军人事务厅指定地点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本项目政府采购工作，投标人须在陕西省政府采购电子化交易平台上传电子版投标文件并完成签章、加密，同时，线下递交纸质版投标文件正本一份、副本二份。若电子版投标文件与纸质版投标文件不一致的，以陕西省政府采购电子化交易平台上传的电子版投标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生产流程及工艺.docx 售后服务方案.docx 投标人认为有必要说明的其他资料.docx 中小企业声明函 项目实施方案.docx 资格证明文件.docx 质量保障措施.docx 样品.docx 应急预案.docx 技术偏离表.docx 投标函 残疾人福利性单位声明函 产品供货方案.docx 完善的管理体系及人员配备.docx 生产设备及场地.docx 业绩统计表.docx 标的清单 保证金缴纳凭证.docx 投标文件封面 货物简要说明一览表.docx 商务偏离表.docx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生产流程及工艺.docx 售后服务方案.docx 投标人认为有必要说明的其他资料.docx 中小企业声明函 项目实施方案.docx 资格证明文件.docx 质量保障措施.docx 样品.docx 应急预案.docx 技术偏离表.docx 投标函 残疾人福利性单位声明函 产品供货方案.docx 完善的管理体系及人员配备.docx 生产设备及场地.docx 业绩统计表.docx 标的清单 保证金缴纳凭证.docx 投标文件封面 货物简要说明一览表.docx 商务偏离表.docx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投标人所投产品选型科学合理、技术先进，技术参数清晰明确，符合使用要求，技术指标和性能完全满足招标文件要求，计5分，每有一个产品技术指标和性能存在负偏离的扣0.5分，扣完为止。 备注：应对技术参数进行应答，应尽可能多的提供充足的证明材料（包括但不限于投标人出具的产品技术说明书或产品彩页、第三方出具的检验报告等）予以证明参数的技术响应性, 并经评审专家审定方可得分。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针对本项目提供完善的项目实施方案，包括但不限于：①项目实施步骤；②生产进度保障及组织协调措施；③生产过程中的安全控制方案；④后期验收方案。 二、评审标准 1、完整性：方案须全面，对评审内容中的各项要求有详细描述； 2、可实施性：切合本项目实际情况，实施步骤清晰、合理； 3、针对性：方案能够紧扣项目实际情况，内容科学合理。 三、赋分依据（满分12分） ①项目实施步骤：每完全满足一个评审标准得1分，满分3分。 ②生产进度保障及组织协调措施：每完全满足一个评审标准得1分，满分3分。 ③生产过程中的安全控制方案：每完全满足一个评审标准得1分，满分3分。 ④后期验收方案：每完全满足一个评审标准得1分，满分3分。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生产流程及工艺</w:t>
            </w:r>
          </w:p>
        </w:tc>
        <w:tc>
          <w:tcPr>
            <w:tcW w:type="dxa" w:w="2492"/>
          </w:tcPr>
          <w:p>
            <w:pPr>
              <w:pStyle w:val="null3"/>
            </w:pPr>
            <w:r>
              <w:rPr>
                <w:rFonts w:ascii="仿宋_GB2312" w:hAnsi="仿宋_GB2312" w:cs="仿宋_GB2312" w:eastAsia="仿宋_GB2312"/>
              </w:rPr>
              <w:t>一、评审内容 针对本项目提供完善的生产流程及工艺，包括但不限于：①生产制造流程；②生产工艺。 二、评审标准 1、完整性：方案须全面，对评审内容中的各项要求有详细描述； 2、可实施性：切合本项目实际情况，实施步骤清晰、合理； 3、针对性：方案能够紧扣项目实际情况，内容科学合理。 三、赋分依据（满分6分） ①生产制造流程：每完全满足一个评审标准得1分，满分3分。 ②生产工艺：每完全满足一个评审标准得1分，满分3分。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生产流程及工艺.docx</w:t>
            </w:r>
          </w:p>
        </w:tc>
      </w:tr>
      <w:tr>
        <w:tc>
          <w:tcPr>
            <w:tcW w:type="dxa" w:w="831"/>
            <w:vMerge/>
          </w:tcPr>
          <w:p/>
        </w:tc>
        <w:tc>
          <w:tcPr>
            <w:tcW w:type="dxa" w:w="1661"/>
          </w:tcPr>
          <w:p>
            <w:pPr>
              <w:pStyle w:val="null3"/>
            </w:pPr>
            <w:r>
              <w:rPr>
                <w:rFonts w:ascii="仿宋_GB2312" w:hAnsi="仿宋_GB2312" w:cs="仿宋_GB2312" w:eastAsia="仿宋_GB2312"/>
              </w:rPr>
              <w:t>生产设备及场地</w:t>
            </w:r>
          </w:p>
        </w:tc>
        <w:tc>
          <w:tcPr>
            <w:tcW w:type="dxa" w:w="2492"/>
          </w:tcPr>
          <w:p>
            <w:pPr>
              <w:pStyle w:val="null3"/>
            </w:pPr>
            <w:r>
              <w:rPr>
                <w:rFonts w:ascii="仿宋_GB2312" w:hAnsi="仿宋_GB2312" w:cs="仿宋_GB2312" w:eastAsia="仿宋_GB2312"/>
              </w:rPr>
              <w:t>一、评审内容 针对本项目提供完善的生产设备及场地，包括但不限于：①生产设备先进、配套设备设施齐全（提供相关证明材料，不限于设备图片、购置发票、租赁合同等）；②生产场地符合相应的技术标准和环保、安全要求（提供生产场地的实景图片）。 二、评审标准 1、完整性：方案须全面，对评审内容中的各项要求有详细描述； 2、可实施性：切合本项目实际情况，实施步骤清晰、合理； 3、针对性：方案能够紧扣项目实际情况，内容科学合理。 三、赋分依据（满分6分） ①生产设备先进、配套设备设施齐全（提供相关证明材料，不限于设备图片、购置发票、租赁合同等）：每完全满足一个评审标准得1分，满分3分。 ②生产场地符合相应的技术标准和环保、安全要求（提供生产场地的实景图片）：每完全满足一个评审标准得1分，满分3分。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生产设备及场地.docx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针对本项目提供完善的质量保障措施，包括但不限于：①原材料采购（原材料来源渠道的合法证明文件，包括但不限于销售协议、发票等）；②生产质量保障措施。 二、评审标准 1、完整性：方案须全面，对评审内容中的各项要求有详细描述； 2、可实施性：切合本项目实际情况，实施步骤清晰、合理； 3、针对性：方案能够紧扣项目实际情况，内容科学合理。 三、赋分依据（满分6分） ①原材料采购（原材料来源渠道的合法证明文件，包括但不限于销售协议、发票等）：每完全满足一个评审标准得1分，满分3分。 ②生产质量保障措施：每完全满足一个评审标准得1分，满分3分。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一、评审内容 针对本项目提供完善的产品供货方案，包括但不限于：①供货组织安排（包括仓储、运输、派送措施）；②产品配送方案。 二、评审标准 1、完整性：方案须全面，对评审内容中的各项要求有详细描述； 2、可实施性：切合本项目实际情况，实施步骤清晰、合理； 3、针对性：方案能够紧扣项目实际情况，内容科学合理。 三、赋分依据（满分6分） ①供货组织安排（包括仓储、运输、派送措施）：每完全满足一个评审标准得1分，满分3分。 ②产品配送方案：每完全满足一个评审标准得1分，满分3分。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产品供货方案.docx</w:t>
            </w:r>
          </w:p>
        </w:tc>
      </w:tr>
      <w:tr>
        <w:tc>
          <w:tcPr>
            <w:tcW w:type="dxa" w:w="831"/>
            <w:vMerge/>
          </w:tcPr>
          <w:p/>
        </w:tc>
        <w:tc>
          <w:tcPr>
            <w:tcW w:type="dxa" w:w="1661"/>
          </w:tcPr>
          <w:p>
            <w:pPr>
              <w:pStyle w:val="null3"/>
            </w:pPr>
            <w:r>
              <w:rPr>
                <w:rFonts w:ascii="仿宋_GB2312" w:hAnsi="仿宋_GB2312" w:cs="仿宋_GB2312" w:eastAsia="仿宋_GB2312"/>
              </w:rPr>
              <w:t>完善的管理体系及人员配备</w:t>
            </w:r>
          </w:p>
        </w:tc>
        <w:tc>
          <w:tcPr>
            <w:tcW w:type="dxa" w:w="2492"/>
          </w:tcPr>
          <w:p>
            <w:pPr>
              <w:pStyle w:val="null3"/>
            </w:pPr>
            <w:r>
              <w:rPr>
                <w:rFonts w:ascii="仿宋_GB2312" w:hAnsi="仿宋_GB2312" w:cs="仿宋_GB2312" w:eastAsia="仿宋_GB2312"/>
              </w:rPr>
              <w:t>一、评审内容 针对本项目提供完善的管理体系及人员配备，包括但不限于：①完善的管理体系及实施组织机构；②人员安排方案、岗位分工及职责任务。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三、赋分依据（满分6分） ①完善的管理体系及实施组织机构：每完全满足一个评审标准得1分，满分3分。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完善的管理体系及人员配备.docx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针对本项目提供完善的应急预案，包括但不限于：①生产及配送过程中的突发情况；②应急预案、应急处理响应时间及应急人员安排及保障措施。 二、评审标准 1、完整性：方案须全面，对评审内容中的各项要求有详细描述； 2、可实施性：切合本项目实际情况，实施步骤清晰、合理； 3、针对性：方案能够紧扣项目实际情况，内容科学合理。 三、赋分依据（满分6分） ①生产及配送过程中的突发情况：每完全满足一个评审标准得1分，满分3分。 ②应急预案、应急处理响应时间及应急人员安排及保障措施：每完全满足一个评审标准得1分，满分3分。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针对本项目提供完善的售后服务方案，包括但不限于：①响应时效、问题解决时效及质保期内售后服务方案；②健全的售后服务机构、配备专职售后人员；③产品出现问题后的补救措施。 二、评审标准 1、完整性：方案须全面，对评审内容中的各项要求有详细描述； 2、可实施性：切合本项目实际情况，实施步骤清晰、合理； 3、针对性：方案能够紧扣项目实际情况，内容科学合理。 三、赋分依据（满分9分） ①响应时效、问题解决时效及质保期内售后服务方案：每完全满足一个评审标准得1分，满分3分。 ②健全的售后服务机构、配备专职售后人员：每完全满足一个评审标准得1分，满分3分。 ③产品出现问题后的补救措施：每完全满足一个评审标准得1分，满分3分。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提供采购需求中标注的产品样品，从样品整体质量、设计合理、工艺先进、操作简单、外形的光洁度、满足适配需求等方面进行综合评价。 1、质量优良，设计合理、工艺先进、外形光洁度优、完全满足适配需求的计5分； 2、质量较优良，设计较合理、工艺较先进、外形光洁度较优、较满足适配需求的计3分； 3、质量一般，设计基本合理、工艺基本先进、外形光洁度一般、基本满足适配需求的计2分； 4、产品仅能满足基本使用需求的计1分； 5、未提供样品或提供样品不全者，不计分。 注：样品制作标准须与成品一致。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投标人提供2022年1月1日至今类似项目（牌匾类）的合同复印件，以合同签订日期为准，每提供一份合同得1分，满分3分。未提供不得分。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详见附件：生产流程及工艺.docx</w:t>
      </w:r>
    </w:p>
    <w:p>
      <w:pPr>
        <w:pStyle w:val="null3"/>
        <w:ind w:firstLine="960"/>
      </w:pPr>
      <w:r>
        <w:rPr>
          <w:rFonts w:ascii="仿宋_GB2312" w:hAnsi="仿宋_GB2312" w:cs="仿宋_GB2312" w:eastAsia="仿宋_GB2312"/>
        </w:rPr>
        <w:t>详见附件：生产设备及场地.docx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详见附件：产品供货方案.docx</w:t>
      </w:r>
    </w:p>
    <w:p>
      <w:pPr>
        <w:pStyle w:val="null3"/>
        <w:ind w:firstLine="960"/>
      </w:pPr>
      <w:r>
        <w:rPr>
          <w:rFonts w:ascii="仿宋_GB2312" w:hAnsi="仿宋_GB2312" w:cs="仿宋_GB2312" w:eastAsia="仿宋_GB2312"/>
        </w:rPr>
        <w:t>详见附件：完善的管理体系及人员配备.docx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