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版本号：WSQ-2025-39620250708002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2025年报告出版服务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WSQ-2025-396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2025年报告出版服务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WSQ-2025-396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2025年报告出版服务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2025年报告出版服务，具体内容详见招标文件第三章。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2、企业资质：投标供应商须具备图书出版许可证；供应商需在项目电子化交易系统中按要求上传相应证明文件并进行电子签章；</w:t>
      </w:r>
    </w:p>
    <w:p>
      <w:pPr>
        <w:pStyle w:val="null3"/>
      </w:pPr>
      <w:r>
        <w:rPr>
          <w:rFonts w:ascii="仿宋_GB2312" w:hAnsi="仿宋_GB2312" w:cs="仿宋_GB2312" w:eastAsia="仿宋_GB2312"/>
        </w:rPr>
        <w:t>3、财务状况审查：财务状况报告：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6、法定代表人授权委托书审查：法定代表人授权委托书：法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7、无重大违法记录：无重大违法记录：供应商参加政府采购活动前3年内在经营活动中没有重大违法记录；供应商需在项目电子化交易系统中按要求填写《投标函》完成承诺并进行电子签章。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9、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10、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11、联合体：本项目不接受联合体投标，不允许分包；供应商需在项目电子化交易系统中按要求填写《承诺书》完成承诺并进行电子签章。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2、企业资质：投标供应商须具备图书出版许可证；供应商需在项目电子化交易系统中按要求上传相应证明文件并进行电子签章；</w:t>
      </w:r>
    </w:p>
    <w:p>
      <w:pPr>
        <w:pStyle w:val="null3"/>
      </w:pPr>
      <w:r>
        <w:rPr>
          <w:rFonts w:ascii="仿宋_GB2312" w:hAnsi="仿宋_GB2312" w:cs="仿宋_GB2312" w:eastAsia="仿宋_GB2312"/>
        </w:rPr>
        <w:t>3、财务状况审查：财务状况报告：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6、法定代表人授权委托书审查：法定代表人授权委托书：法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7、无重大违法记录：无重大违法记录：供应商参加政府采购活动前3年内在经营活动中没有重大违法记录；供应商需在项目电子化交易系统中按要求填写《投标函》完成承诺并进行电子签章。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8、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9、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10、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11、联合体：本项目不接受联合体投标，不允许分包；供应商需在项目电子化交易系统中按要求填写《承诺书》完成承诺并进行电子签章。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029-84198629 15389248069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p>
          <w:p>
            <w:pPr>
              <w:pStyle w:val="null3"/>
            </w:pPr>
            <w:r>
              <w:rPr>
                <w:rFonts w:ascii="仿宋_GB2312" w:hAnsi="仿宋_GB2312" w:cs="仿宋_GB2312" w:eastAsia="仿宋_GB2312"/>
              </w:rPr>
              <w:t>采购包2：1,730,000.00元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中标/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按照规范执行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2025年报告出版服务，具体内容详见项目需求。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报告出版服务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1,730,000.00</w:t>
      </w:r>
    </w:p>
    <w:p>
      <w:pPr>
        <w:pStyle w:val="null3"/>
      </w:pPr>
      <w:r>
        <w:rPr>
          <w:rFonts w:ascii="仿宋_GB2312" w:hAnsi="仿宋_GB2312" w:cs="仿宋_GB2312" w:eastAsia="仿宋_GB2312"/>
        </w:rPr>
        <w:t>采购包最高限价（元）: 1,730,000.00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报告出版服务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标的名称：报告出版服务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w:t>
            </w:r>
            <w:r>
              <w:rPr>
                <w:rFonts w:ascii="仿宋_GB2312" w:hAnsi="仿宋_GB2312" w:cs="仿宋_GB2312" w:eastAsia="仿宋_GB2312"/>
                <w:sz w:val="24"/>
              </w:rPr>
              <w:t>1</w:t>
            </w:r>
            <w:r>
              <w:rPr>
                <w:rFonts w:ascii="仿宋_GB2312" w:hAnsi="仿宋_GB2312" w:cs="仿宋_GB2312" w:eastAsia="仿宋_GB2312"/>
                <w:sz w:val="24"/>
              </w:rPr>
              <w:t>共</w:t>
            </w:r>
            <w:r>
              <w:rPr>
                <w:rFonts w:ascii="仿宋_GB2312" w:hAnsi="仿宋_GB2312" w:cs="仿宋_GB2312" w:eastAsia="仿宋_GB2312"/>
                <w:sz w:val="24"/>
              </w:rPr>
              <w:t>126万；其中：</w:t>
            </w:r>
          </w:p>
          <w:p>
            <w:pPr>
              <w:pStyle w:val="null3"/>
            </w:pPr>
            <w:r>
              <w:rPr>
                <w:rFonts w:ascii="仿宋_GB2312" w:hAnsi="仿宋_GB2312" w:cs="仿宋_GB2312" w:eastAsia="仿宋_GB2312"/>
                <w:sz w:val="24"/>
              </w:rPr>
              <w:t>《月家庄——陕西洛川战国秦人墓地考古报告》48万、《宝鸡太公庙秦国都邑与陵墓考古调查勘探报告》14万、《宝鸡西高泉秦墓发掘报告》32万、《血池祭祀遗址发掘报告》32万。</w:t>
            </w:r>
          </w:p>
          <w:p>
            <w:pPr>
              <w:pStyle w:val="null3"/>
              <w:jc w:val="both"/>
            </w:pPr>
            <w:r>
              <w:rPr>
                <w:rFonts w:ascii="仿宋_GB2312" w:hAnsi="仿宋_GB2312" w:cs="仿宋_GB2312" w:eastAsia="仿宋_GB2312"/>
                <w:sz w:val="24"/>
              </w:rPr>
              <w:t>开本采用大16开（210mm×285mm）规格，其中《月家庄——陕西洛川战国秦人墓地考古报告》需分上、下两册装帧，出版数量为1000套，每套两册；《宝鸡太公庙秦国都邑与陵墓考古调查勘探报告》、《宝鸡西高泉秦墓发掘报告》、《血池祭祀遗址发掘报告》为单册，出版数量为各1000册；正文统一使用80g纯质纸黑白印刷，彩色图版使用157g哑铜纸彩色印刷；封面采用铜版纸或特种纸，并覆亚膜结合UV或烫印工艺；所有成品需塑封后装箱，确保设计装帧达到行业较高水准，图文精美且工艺标准严格统一。</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标的名称：报告出版服务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包</w:t>
            </w:r>
            <w:r>
              <w:rPr>
                <w:rFonts w:ascii="仿宋_GB2312" w:hAnsi="仿宋_GB2312" w:cs="仿宋_GB2312" w:eastAsia="仿宋_GB2312"/>
                <w:sz w:val="24"/>
              </w:rPr>
              <w:t>2</w:t>
            </w:r>
            <w:r>
              <w:rPr>
                <w:rFonts w:ascii="仿宋_GB2312" w:hAnsi="仿宋_GB2312" w:cs="仿宋_GB2312" w:eastAsia="仿宋_GB2312"/>
                <w:sz w:val="24"/>
              </w:rPr>
              <w:t>共173万：其中《咸阳城北宫区手工业遗存考古调查发掘报告》28万；《唐宰相韩休夫妇墓考古发掘报告》12万；《华阴卫峪、台头墓地考古发掘报告》30万；《东陵陵园考古报告(2010- 2015)》21万；《临潼岳家沟战国秦汉墓葬发 掘报告》29万；《马额秦汉墓和李东汉墓报告》30万；《元芳移彩——蒲城洞耳壁画的保护与展示》23万。</w:t>
            </w:r>
          </w:p>
          <w:p>
            <w:pPr>
              <w:pStyle w:val="null3"/>
              <w:jc w:val="both"/>
            </w:pPr>
            <w:r>
              <w:rPr>
                <w:rFonts w:ascii="仿宋_GB2312" w:hAnsi="仿宋_GB2312" w:cs="仿宋_GB2312" w:eastAsia="仿宋_GB2312"/>
                <w:sz w:val="24"/>
              </w:rPr>
              <w:t>全部采用大16开（210mm×285mm）单册装帧，出版数量为各1000册；正文统一使用80g胶版纸黑白印刷， 彩色图版使用128g铜版 纸彩色印刷；封面采用157g铜版纸或特种纸，并覆亚膜结合UV或烫印工艺；所有成品需塑封装箱，确保设计装帧达到行业较高水准，图文专业且工艺标准严格统一。</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质量要求：国家图书出版基本要求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质量要求：国家图书出版基本要求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按照国家出版物标准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按照国家出版物标准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本书付印前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本书付印前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双方协商，协商不成通过法律途径解决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双方协商，协商不成通过法律途径解决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为非专门面向中小企业。2、若为多个标包项目，则兼投不兼中。3、开标当日，供应商应保持通讯畅通，以便出现询标时能及时在线。4、样品邮寄地址：陕西省西安市高新区沣惠南路34号摩尔中心A座11601室；联系人：李婷婷；电话：15389248069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投标供应商须具备图书出版许可证；供应商需在项目电子化交易系统中按要求上传相应证明文件并进行电子签章；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投标供应商须具备图书出版许可证；供应商需在项目电子化交易系统中按要求上传相应证明文件并进行电子签章；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业绩一览表.docx 中小企业声明函 承诺书.docx 技术指标偏差表.docx 商务条款响应说明.docx 样品.docx 拟派人员配置情况表.docx 法定代表人身份证明书.docx 供应商应提交的相关资格证明材料.docx 投标函 残疾人福利性单位声明函 标的清单 投标文件封面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投标人报价未超过采购预算价或者最高限价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业绩一览表.docx 开标一览表 中小企业声明函 承诺书.docx 技术指标偏差表.docx 商务条款响应说明.docx 样品.docx 拟派人员配置情况表.docx 法定代表人身份证明书.docx 供应商应提交的相关资格证明材料.docx 投标函 残疾人福利性单位声明函 标的清单 投标文件封面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投标人报价未超过采购预算价或者最高限价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审稿校对方案</w:t>
            </w:r>
          </w:p>
        </w:tc>
        <w:tc>
          <w:tcPr>
            <w:tcW w:type="dxa" w:w="2492"/>
          </w:tcPr>
          <w:p>
            <w:pPr>
              <w:pStyle w:val="null3"/>
            </w:pPr>
            <w:r>
              <w:rPr>
                <w:rFonts w:ascii="仿宋_GB2312" w:hAnsi="仿宋_GB2312" w:cs="仿宋_GB2312" w:eastAsia="仿宋_GB2312"/>
              </w:rPr>
              <w:t>根据供应商提供的审稿校对方案方案进行赋分。 审稿校对方案完善可靠，思虑周全得6分; 审稿校对方案基本完善得4分; 审稿校对方案表述不清晰得2分; 未提供或审稿校对方案可行性较差得0分。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编辑出版流程方案</w:t>
            </w:r>
          </w:p>
        </w:tc>
        <w:tc>
          <w:tcPr>
            <w:tcW w:type="dxa" w:w="2492"/>
          </w:tcPr>
          <w:p>
            <w:pPr>
              <w:pStyle w:val="null3"/>
            </w:pPr>
            <w:r>
              <w:rPr>
                <w:rFonts w:ascii="仿宋_GB2312" w:hAnsi="仿宋_GB2312" w:cs="仿宋_GB2312" w:eastAsia="仿宋_GB2312"/>
              </w:rPr>
              <w:t>根据供应商提供的编辑出版流程方案进行赋分。 流程方案完善可靠，思虑周全得6分; 流程方案基本完善得4分; 流程方案表述不清晰得2分; 未提供或编辑出版流程方案可行性较差得0分。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根据供应商提供的重难点分析进行赋分。 重难点分析完善可靠，思虑周全得6分; 重难点分析基本完善得4分; 重难点分析表述不清晰得2分; 未提供或重难点分析可行性较差得0分。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出版物审读制度</w:t>
            </w:r>
          </w:p>
        </w:tc>
        <w:tc>
          <w:tcPr>
            <w:tcW w:type="dxa" w:w="2492"/>
          </w:tcPr>
          <w:p>
            <w:pPr>
              <w:pStyle w:val="null3"/>
            </w:pPr>
            <w:r>
              <w:rPr>
                <w:rFonts w:ascii="仿宋_GB2312" w:hAnsi="仿宋_GB2312" w:cs="仿宋_GB2312" w:eastAsia="仿宋_GB2312"/>
              </w:rPr>
              <w:t>根据供应商提供的出版物审读制度进行赋分。 出版物审读制度考虑全面，审阅效率高得6分； 出版物审读制度基本完善，得4分； 出版物审读制度较为简略，仅有承诺得2分； 未提供或出版物审读制度效率差得0分。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进度计划保障方案</w:t>
            </w:r>
          </w:p>
        </w:tc>
        <w:tc>
          <w:tcPr>
            <w:tcW w:type="dxa" w:w="2492"/>
          </w:tcPr>
          <w:p>
            <w:pPr>
              <w:pStyle w:val="null3"/>
            </w:pPr>
            <w:r>
              <w:rPr>
                <w:rFonts w:ascii="仿宋_GB2312" w:hAnsi="仿宋_GB2312" w:cs="仿宋_GB2312" w:eastAsia="仿宋_GB2312"/>
              </w:rPr>
              <w:t>根据供应商提供的进度计划保障方案进行赋分。 进度计划完善可靠，有针对性，且进度安排有一定的前瞻性，保障手段能够确保整体计划不延误，留出清晰的应急空间得6分； 进度计划基本完善，且有一定的前瞻性，保障手段较为完善，基本能够保障整体计划不延误，但应急空间表述不清楚得4分； 进度计划基本完善，但没有前瞻性，保障手段较为简略，但承诺了整体计划不延误得2分； 未提供或进度计划无法满足时间要求得0分。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根据供应商提供的质量保障方案进行赋分。 质量保障方案能够确保整体计划不延误，留出清晰的应急空间得6分； 质量保障方案较为完善，基本能够保障整体计划不延误，但应急空间表述不清楚得4分； 质量保障方案较为简略，但承诺了整体计划不延误得2分； 未提供或质量保障可行性较差得0分。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人员配置及分工</w:t>
            </w:r>
          </w:p>
        </w:tc>
        <w:tc>
          <w:tcPr>
            <w:tcW w:type="dxa" w:w="2492"/>
          </w:tcPr>
          <w:p>
            <w:pPr>
              <w:pStyle w:val="null3"/>
            </w:pPr>
            <w:r>
              <w:rPr>
                <w:rFonts w:ascii="仿宋_GB2312" w:hAnsi="仿宋_GB2312" w:cs="仿宋_GB2312" w:eastAsia="仿宋_GB2312"/>
              </w:rPr>
              <w:t>根据拟派项目团队成员的知识结构、分工、协作能力、队伍稳定性、组织编审的能力等方面进行评分，供应商需提供拟派团队成员一览表、学历证明、职称证（如有）等证明材料复印件。 1.供应商拟派一名项目负责人，需具有文物考古学历背景和编审职称，均符合的得6分，符合1项的得3分，均不符合不得分。提供项目人员学历证书或学位证书或学历认证报告，以及技术职称证书加盖公章复印件，未提供不得分。 2.供应商拟派团队人员需具有文物考古学历背景和编辑（含）以上职称证书，每具有一名满足上述条件的项目人员得2分，满分8分。提供项目人员学历证书或学位证书或学历认证报告，以及技术职称证书加盖公章复印件，未提供不得分。 3.人员资质全面，经验丰富，分工细致，且有详尽的人员安排得6分；人员资质较全面，经验较丰富，分工较细致，且有较详尽的人员安排得4分；人员从业资质、经验、分工一般，人员安排及简单得2分；人员缺乏从业资质、经验、分工安排或无人员安排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供应商需提供2022年1月1日至今类似项目业绩（以合同签订日期为准），每提供1份得1.5分，最高得15分； 业绩证明以合同或中标/成交通知书为准，须在投标文件中附合同或中标/成交通知书的扫描件加盖单位公章。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根据供应商提供的服务承诺（内容包含但不限于针对本项目的服务质量目标、内容质量、出版质量等内容）进行赋分。 承诺事项具体、可行、可操作性强得（4-5】分； 承诺事项较具体、可操作性较强得（2-4】分； 承诺事项不具体得【0-2】分；未提供不得分。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根据供应商提供的售后服务方案（包括但不限于内容纠错、违约承诺及处罚措施等）进行赋分。 售后服务方案完善得4分； 售后服务方案基本完整得2分； 售后服务不完善得1分；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提供招标要求的纸张材料及与招标要求印刷质量相同的出版成品样书，根据提供的样品质量及印刷要求符合程度，计1-10分。未提供样品不得分。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价格分统一采用低价优先法计算，即满足招标文件要求且最低的投标报价为评审基准价，其价格分为满分。其他供应商的价格分统一按照下列公式计算：价格分=(评审基准价／投标报价)×报价得分分值；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审稿校对方案</w:t>
            </w:r>
          </w:p>
        </w:tc>
        <w:tc>
          <w:tcPr>
            <w:tcW w:type="dxa" w:w="2492"/>
          </w:tcPr>
          <w:p>
            <w:pPr>
              <w:pStyle w:val="null3"/>
            </w:pPr>
            <w:r>
              <w:rPr>
                <w:rFonts w:ascii="仿宋_GB2312" w:hAnsi="仿宋_GB2312" w:cs="仿宋_GB2312" w:eastAsia="仿宋_GB2312"/>
              </w:rPr>
              <w:t>根据供应商提供的审稿校对方案方案进行赋分。 审稿校对方案完善可靠，思虑周全得6分; 审稿校对方案基本完善得4分; 审稿校对方案表述不清晰得2分; 未提供或审稿校对方案可行性较差得0分。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编辑出版流程方案</w:t>
            </w:r>
          </w:p>
        </w:tc>
        <w:tc>
          <w:tcPr>
            <w:tcW w:type="dxa" w:w="2492"/>
          </w:tcPr>
          <w:p>
            <w:pPr>
              <w:pStyle w:val="null3"/>
            </w:pPr>
            <w:r>
              <w:rPr>
                <w:rFonts w:ascii="仿宋_GB2312" w:hAnsi="仿宋_GB2312" w:cs="仿宋_GB2312" w:eastAsia="仿宋_GB2312"/>
              </w:rPr>
              <w:t>根据供应商提供的编辑出版流程方案进行赋分。 流程方案完善可靠，思虑周全得6分; 流程方案基本完善得4分; 流程方案表述不清晰得2分; 未提供或编辑出版流程方案可行性较差得0分。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根据供应商提供的重难点分析进行赋分。 重难点分析完善可靠，思虑周全得6分; 重难点分析基本完善得4分; 重难点分析表述不清晰得2分; 未提供或重难点分析可行性较差得0分。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出版物审读制度</w:t>
            </w:r>
          </w:p>
        </w:tc>
        <w:tc>
          <w:tcPr>
            <w:tcW w:type="dxa" w:w="2492"/>
          </w:tcPr>
          <w:p>
            <w:pPr>
              <w:pStyle w:val="null3"/>
            </w:pPr>
            <w:r>
              <w:rPr>
                <w:rFonts w:ascii="仿宋_GB2312" w:hAnsi="仿宋_GB2312" w:cs="仿宋_GB2312" w:eastAsia="仿宋_GB2312"/>
              </w:rPr>
              <w:t>根据供应商提供的出版物审读制度进行赋分。 出版物审读制度考虑全面，审阅效率高得6分； 出版物审读制度基本完善，得4分； 出版物审读制度较为简略，仅有承诺得2分； 未提供或出版物审读制度效率差得0分。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进度计划保障方案</w:t>
            </w:r>
          </w:p>
        </w:tc>
        <w:tc>
          <w:tcPr>
            <w:tcW w:type="dxa" w:w="2492"/>
          </w:tcPr>
          <w:p>
            <w:pPr>
              <w:pStyle w:val="null3"/>
            </w:pPr>
            <w:r>
              <w:rPr>
                <w:rFonts w:ascii="仿宋_GB2312" w:hAnsi="仿宋_GB2312" w:cs="仿宋_GB2312" w:eastAsia="仿宋_GB2312"/>
              </w:rPr>
              <w:t>根据供应商提供的进度计划保障方案进行赋分。 进度计划完善可靠，有针对性，且进度安排有一定的前瞻性，保障手段能够确保整体计划不延误，留出清晰的应急空间得6分； 进度计划基本完善，且有一定的前瞻性，保障手段较为完善，基本能够保障整体计划不延误，但应急空间表述不清楚得4分； 进度计划基本完善，但没有前瞻性，保障手段较为简略，但承诺了整体计划不延误得2分； 未提供或进度计划无法满足时间要求得0分。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根据供应商提供的质量保障方案进行赋分。 质量保障方案能够确保整体计划不延误，留出清晰的应急空间得6分； 质量保障方案较为完善，基本能够保障整体计划不延误，但应急空间表述不清楚得4分； 质量保障方案较为简略，但承诺了整体计划不延误得2分； 未提供或质量保障可行性较差得0分。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人员配置及分工</w:t>
            </w:r>
          </w:p>
        </w:tc>
        <w:tc>
          <w:tcPr>
            <w:tcW w:type="dxa" w:w="2492"/>
          </w:tcPr>
          <w:p>
            <w:pPr>
              <w:pStyle w:val="null3"/>
            </w:pPr>
            <w:r>
              <w:rPr>
                <w:rFonts w:ascii="仿宋_GB2312" w:hAnsi="仿宋_GB2312" w:cs="仿宋_GB2312" w:eastAsia="仿宋_GB2312"/>
              </w:rPr>
              <w:t>根据拟派项目团队成员的知识结构，分工、协作能力，队伍稳定性、组织编审的能力等方面进行评分，供应商需提供拟派团队一览表、学历证明、职称证（如有）等证明材料复印件。 1.供应商拟派一名项目负责人，需具有文物考古学历背景和编审职称，均符合的6分，符合1项的得3分，均不符合不得分。提供项目人员学历证书或学位证书或学历认证报告，以及技术职称证书加盖公章复印件，未提供不得分。 2.供应商拟派团队人员需具有文物考古学历背景和编辑（含）以上职称证书，每具有一名满足上述条件的项目人员得2分，满分8分。提供项目人员学历证书或学位证书或学历认证报告，以及技术职称证书加盖公章复印件，未提供不得分。 3.人员资质全面，经验丰富，分工细致，且有详尽的人员安排得6分；人员资质较全面，经验较丰富，分工较细致，且有较详尽的人员安排得4分；人员从业资质、经验、分工一般，人员安排及简单得2分；人员缺乏从业资质、经验、分工安排或无人员安排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供应商需提供2022年1月1日至今类似项目业绩（以合同签订日期为准），每提供1份得1.5分，最高得15分； 业绩证明以合同或中标/成交通知书为准，须在投标文件中附合同或中标/成交通知书的扫描件加盖单位公章。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根据供应商提供的服务承诺（内容包含但不限于针对本项目的服务质量目标、内容质量、出版质量等内容）进行赋分。 承诺事项具体、可行、可操作性强得（4-5】分； 承诺事项较具体、可操作性较强得（2-4】分； 承诺事项不具体得【0-2】分；未提供不得分。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根据供应商提供的售后服务方案（包括但不限于内容纠错、违约承诺及处罚措施等）进行赋分。 售后服务方案完善得4分； 售后服务方案基本完整得2分； 售后服务不完善得1分；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提供招标要求的纸张材料及与招标要求印刷质量相同的出版成品样书，根据提供的样品质量及印刷要求符合程度，计1-10分。未提供样品不得分。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价格分统一采用低价优先法计算，即满足招标文件要求且最低的投标报价为评审基准价，其价格分为满分。其他供应商的价格分统一按照下列公式计算：价格分=(评审基准价／投标报价)×报价得分分值；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详见附件：样品.docx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详见附件：样品.docx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