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2A24E2">
      <w:pPr>
        <w:pStyle w:val="2"/>
        <w:keepNext/>
        <w:keepLines/>
        <w:pageBreakBefore w:val="0"/>
        <w:widowControl w:val="0"/>
        <w:numPr>
          <w:ilvl w:val="0"/>
          <w:numId w:val="0"/>
        </w:numPr>
        <w:kinsoku/>
        <w:wordWrap/>
        <w:overflowPunct/>
        <w:topLinePunct w:val="0"/>
        <w:autoSpaceDE/>
        <w:autoSpaceDN/>
        <w:bidi w:val="0"/>
        <w:adjustRightInd/>
        <w:snapToGrid/>
        <w:spacing w:before="0" w:after="0" w:line="360" w:lineRule="auto"/>
        <w:rPr>
          <w:rFonts w:hint="default" w:ascii="宋体" w:hAnsi="宋体" w:eastAsia="宋体" w:cs="宋体"/>
          <w:color w:val="000000" w:themeColor="text1"/>
          <w:kern w:val="0"/>
          <w:highlight w:val="none"/>
          <w:lang w:val="en-US" w:eastAsia="zh-CN"/>
          <w14:textFill>
            <w14:solidFill>
              <w14:schemeClr w14:val="tx1"/>
            </w14:solidFill>
          </w14:textFill>
        </w:rPr>
      </w:pPr>
      <w:bookmarkStart w:id="0" w:name="_Toc9503"/>
      <w:r>
        <w:rPr>
          <w:rFonts w:hint="eastAsia" w:ascii="宋体" w:hAnsi="宋体" w:cs="宋体"/>
          <w:color w:val="000000" w:themeColor="text1"/>
          <w:kern w:val="0"/>
          <w:highlight w:val="none"/>
          <w:lang w:val="en-US" w:eastAsia="zh-CN"/>
          <w14:textFill>
            <w14:solidFill>
              <w14:schemeClr w14:val="tx1"/>
            </w14:solidFill>
          </w14:textFill>
        </w:rPr>
        <w:t>采购内容及技术、商务要求</w:t>
      </w:r>
      <w:bookmarkEnd w:id="0"/>
      <w:bookmarkStart w:id="1" w:name="_GoBack"/>
      <w:bookmarkEnd w:id="1"/>
    </w:p>
    <w:p w14:paraId="3B465CD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一、工程内容</w:t>
      </w:r>
    </w:p>
    <w:p w14:paraId="1631D923">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1、产教楼负一层（东南角）新建约300㎡高低压配电室；新购置安装1250KVA变压器四台；高低压配电柜约50台；</w:t>
      </w:r>
    </w:p>
    <w:p w14:paraId="4EB3623C">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2、从常宁宫变I段163宁十三线4#电缆环网柜Z1间隔至新建配电室高压电缆的敷设等；</w:t>
      </w:r>
    </w:p>
    <w:p w14:paraId="48BBC92C">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3、新建配电室给产教大楼及报告厅供电的低压供电柜等设备；</w:t>
      </w:r>
    </w:p>
    <w:p w14:paraId="018148AC">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4、新建配电室至体育馆低压供电线缆的敷设等；</w:t>
      </w:r>
    </w:p>
    <w:p w14:paraId="446144C6">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5、院内供电调整部分：新建配电室给行政楼、三教、五教低压供电线缆敷设等；</w:t>
      </w:r>
    </w:p>
    <w:p w14:paraId="5E135D18">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6、从新建配电室给三教北侧预留充电桩电源柜等；</w:t>
      </w:r>
    </w:p>
    <w:p w14:paraId="3897B16B">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7、负责长安校区电力增容及供电线路调整改造工程的勘察设计（包括电力设计、土建设计、施工图设计等）、造价及相关服务等；</w:t>
      </w:r>
    </w:p>
    <w:p w14:paraId="42188F3F">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 xml:space="preserve">8、施工完成后对施工中开挖的路面、人行道、绿化等原状恢复，并清理外运施工垃圾等。 </w:t>
      </w:r>
    </w:p>
    <w:p w14:paraId="534626BB">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 xml:space="preserve">9、配电室建设完成及电缆敷设等工程完成后，应保证于原系统进行连接，确保与原系统连接后正常使用，保证各楼宇正常供电； </w:t>
      </w:r>
    </w:p>
    <w:p w14:paraId="2F98AF4F">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10、负责在施工过程中与市政、规划、交警、城管、市容等相关职能部门的协调沟通，确保工程顺利施工。</w:t>
      </w:r>
    </w:p>
    <w:p w14:paraId="0C6BDC1C">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11、负责向供电局办理电力增容5000KVA申报等相关手续，取得“高压供电方案答复单”</w:t>
      </w:r>
    </w:p>
    <w:p w14:paraId="09C1A654">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 xml:space="preserve">12、建设完工后，负责向供电局办理电力增容申报等相关手续，协调供电局等相关部门对高低压电气设备的调试、检测、试验、验收及供电等，为交钥匙工程。 </w:t>
      </w:r>
    </w:p>
    <w:p w14:paraId="1331128C">
      <w:pPr>
        <w:pStyle w:val="6"/>
        <w:ind w:left="0" w:leftChars="0" w:firstLine="0" w:firstLineChars="0"/>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二、项目招标范围及</w:t>
      </w:r>
      <w:r>
        <w:rPr>
          <w:rFonts w:hint="eastAsia"/>
          <w:b/>
          <w:bCs/>
          <w:color w:val="000000" w:themeColor="text1"/>
          <w:highlight w:val="none"/>
          <w:lang w:val="en-US" w:eastAsia="zh-CN"/>
          <w14:textFill>
            <w14:solidFill>
              <w14:schemeClr w14:val="tx1"/>
            </w14:solidFill>
          </w14:textFill>
        </w:rPr>
        <w:t>承包</w:t>
      </w:r>
      <w:r>
        <w:rPr>
          <w:rFonts w:hint="eastAsia"/>
          <w:b/>
          <w:bCs/>
          <w:color w:val="000000" w:themeColor="text1"/>
          <w:highlight w:val="none"/>
          <w14:textFill>
            <w14:solidFill>
              <w14:schemeClr w14:val="tx1"/>
            </w14:solidFill>
          </w14:textFill>
        </w:rPr>
        <w:t>范围</w:t>
      </w:r>
    </w:p>
    <w:p w14:paraId="2F03ADF6">
      <w:pPr>
        <w:pStyle w:val="6"/>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hAnsi="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招标范围：本项目的施工图设计、采购及施工，直至竣工验收合格并整体移交、工程保修期内的缺陷修复和保修工作，同时承担相关协调工作等内容。</w:t>
      </w:r>
    </w:p>
    <w:p w14:paraId="1DA0DC57">
      <w:pPr>
        <w:pStyle w:val="6"/>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hAnsi="宋体" w:cs="宋体"/>
          <w:color w:val="000000" w:themeColor="text1"/>
          <w:sz w:val="24"/>
          <w:highlight w:val="none"/>
          <w:lang w:val="en-US" w:eastAsia="zh-CN"/>
          <w14:textFill>
            <w14:solidFill>
              <w14:schemeClr w14:val="tx1"/>
            </w14:solidFill>
          </w14:textFill>
        </w:rPr>
        <w:t>2、</w:t>
      </w:r>
      <w:r>
        <w:rPr>
          <w:rFonts w:hint="eastAsia" w:ascii="宋体" w:hAnsi="宋体" w:eastAsia="宋体" w:cs="宋体"/>
          <w:color w:val="000000" w:themeColor="text1"/>
          <w:sz w:val="24"/>
          <w:highlight w:val="none"/>
          <w:lang w:val="en-US" w:eastAsia="zh-CN"/>
          <w14:textFill>
            <w14:solidFill>
              <w14:schemeClr w14:val="tx1"/>
            </w14:solidFill>
          </w14:textFill>
        </w:rPr>
        <w:t>设计承包范围：工作内容涵盖初步设计开始至竣工完成的全过程设计工作及配合任务。</w:t>
      </w:r>
    </w:p>
    <w:p w14:paraId="0BDA384D">
      <w:pPr>
        <w:pStyle w:val="6"/>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hAnsi="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lang w:val="en-US" w:eastAsia="zh-CN"/>
          <w14:textFill>
            <w14:solidFill>
              <w14:schemeClr w14:val="tx1"/>
            </w14:solidFill>
          </w14:textFill>
        </w:rPr>
        <w:t>建设实施承包范围：①本项目施工图设计的全部内容；</w:t>
      </w:r>
      <w:r>
        <w:rPr>
          <w:rFonts w:hint="default" w:ascii="宋体" w:hAnsi="宋体" w:eastAsia="宋体" w:cs="宋体"/>
          <w:color w:val="000000" w:themeColor="text1"/>
          <w:sz w:val="24"/>
          <w:highlight w:val="none"/>
          <w:lang w:val="en-US" w:eastAsia="zh-CN"/>
          <w14:textFill>
            <w14:solidFill>
              <w14:schemeClr w14:val="tx1"/>
            </w14:solidFill>
          </w14:textFill>
        </w:rPr>
        <w:t>②</w:t>
      </w:r>
      <w:r>
        <w:rPr>
          <w:rFonts w:hint="eastAsia" w:ascii="宋体" w:hAnsi="宋体" w:eastAsia="宋体" w:cs="宋体"/>
          <w:color w:val="000000" w:themeColor="text1"/>
          <w:sz w:val="24"/>
          <w:highlight w:val="none"/>
          <w:lang w:val="en-US" w:eastAsia="zh-CN"/>
          <w14:textFill>
            <w14:solidFill>
              <w14:schemeClr w14:val="tx1"/>
            </w14:solidFill>
          </w14:textFill>
        </w:rPr>
        <w:t>本项目施工图范围内的调试、试运行、验收、资料和竣工图编制与归档、政府各类专项验收等工程内容，并最终向建设单位“交钥匙”；</w:t>
      </w:r>
      <w:r>
        <w:rPr>
          <w:rFonts w:hint="default" w:ascii="宋体" w:hAnsi="宋体" w:eastAsia="宋体" w:cs="宋体"/>
          <w:color w:val="000000" w:themeColor="text1"/>
          <w:sz w:val="24"/>
          <w:highlight w:val="none"/>
          <w:lang w:val="en-US" w:eastAsia="zh-CN"/>
          <w14:textFill>
            <w14:solidFill>
              <w14:schemeClr w14:val="tx1"/>
            </w14:solidFill>
          </w14:textFill>
        </w:rPr>
        <w:t>③</w:t>
      </w:r>
      <w:r>
        <w:rPr>
          <w:rFonts w:hint="eastAsia" w:ascii="宋体" w:hAnsi="宋体" w:eastAsia="宋体" w:cs="宋体"/>
          <w:color w:val="000000" w:themeColor="text1"/>
          <w:sz w:val="24"/>
          <w:highlight w:val="none"/>
          <w:lang w:val="en-US" w:eastAsia="zh-CN"/>
          <w14:textFill>
            <w14:solidFill>
              <w14:schemeClr w14:val="tx1"/>
            </w14:solidFill>
          </w14:textFill>
        </w:rPr>
        <w:t>竣工验收合格并整体移交、工程保修期内的缺陷修复和保修工作。</w:t>
      </w:r>
    </w:p>
    <w:p w14:paraId="55B3150B">
      <w:pPr>
        <w:keepNext w:val="0"/>
        <w:keepLines w:val="0"/>
        <w:pageBreakBefore w:val="0"/>
        <w:widowControl w:val="0"/>
        <w:kinsoku/>
        <w:wordWrap/>
        <w:overflowPunct/>
        <w:topLinePunct w:val="0"/>
        <w:autoSpaceDE/>
        <w:autoSpaceDN/>
        <w:bidi w:val="0"/>
        <w:adjustRightInd/>
        <w:snapToGrid/>
        <w:spacing w:line="360" w:lineRule="auto"/>
        <w:ind w:left="480" w:hanging="482" w:hangingChars="200"/>
        <w:textAlignment w:val="auto"/>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三、服务要求</w:t>
      </w:r>
      <w:r>
        <w:rPr>
          <w:rFonts w:hint="eastAsia"/>
          <w:b/>
          <w:bCs/>
          <w:color w:val="000000" w:themeColor="text1"/>
          <w:highlight w:val="none"/>
          <w:lang w:val="en-US" w:eastAsia="zh-CN"/>
          <w14:textFill>
            <w14:solidFill>
              <w14:schemeClr w14:val="tx1"/>
            </w14:solidFill>
          </w14:textFill>
        </w:rPr>
        <w:tab/>
      </w:r>
    </w:p>
    <w:p w14:paraId="5FC4F031">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1、设计阶段</w:t>
      </w:r>
    </w:p>
    <w:p w14:paraId="0C9F83EA">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 xml:space="preserve">（1）负责完成初步设计及概算编制、编制施工图设计文件； </w:t>
      </w:r>
    </w:p>
    <w:p w14:paraId="26CA2DB3">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（2）对发包人的审核修改意见进行修改、完善，保证其设计意图的最终实现；</w:t>
      </w:r>
    </w:p>
    <w:p w14:paraId="46037DDA">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 xml:space="preserve">（3）根据项目进度要求及时提供各阶段报审图纸，协助发包人进行报审工作，根据审查结果进行修改调整，直至审查通过，并最终向发包人提交正式的施工图设计文件； </w:t>
      </w:r>
    </w:p>
    <w:p w14:paraId="75D99699">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（4）协助发包人进行工程图纸答疑。</w:t>
      </w:r>
    </w:p>
    <w:p w14:paraId="2ADE6714">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（5）初步设计完成后，应配合发包人完成初步设计及概算的优化工作；施工图设计完成后，按照采购人要求提供施工图及效果图。</w:t>
      </w:r>
    </w:p>
    <w:p w14:paraId="3664DCA0">
      <w:pPr>
        <w:pStyle w:val="6"/>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（6）由于设计不合理或不能满足发包人要求造成的返工、变更或工期延误等由中标人承担相应风险及责任。</w:t>
      </w:r>
    </w:p>
    <w:p w14:paraId="1841BBB3">
      <w:pPr>
        <w:adjustRightInd w:val="0"/>
        <w:snapToGrid w:val="0"/>
        <w:spacing w:line="360" w:lineRule="auto"/>
        <w:ind w:firstLine="480" w:firstLineChars="200"/>
        <w:rPr>
          <w:rFonts w:hint="eastAsia" w:ascii="Times New Roman" w:hAnsi="Times New Roman" w:eastAsia="宋体" w:cs="Times New Roman"/>
          <w:b w:val="0"/>
          <w:bCs w:val="0"/>
          <w:color w:val="000000" w:themeColor="text1"/>
          <w:spacing w:val="0"/>
          <w:sz w:val="24"/>
          <w:szCs w:val="20"/>
          <w:highlight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highlight w:val="none"/>
          <w:lang w:val="en-US" w:eastAsia="zh-CN"/>
          <w14:textFill>
            <w14:solidFill>
              <w14:schemeClr w14:val="tx1"/>
            </w14:solidFill>
          </w14:textFill>
        </w:rPr>
        <w:t>（7）保证限额设计</w:t>
      </w:r>
      <w:r>
        <w:rPr>
          <w:rFonts w:hint="eastAsia" w:ascii="Times New Roman" w:hAnsi="Times New Roman" w:eastAsia="宋体" w:cs="Times New Roman"/>
          <w:b w:val="0"/>
          <w:bCs w:val="0"/>
          <w:color w:val="000000" w:themeColor="text1"/>
          <w:spacing w:val="0"/>
          <w:sz w:val="24"/>
          <w:szCs w:val="20"/>
          <w:highlight w:val="none"/>
          <w:lang w:val="en-US" w:eastAsia="zh-CN"/>
          <w14:textFill>
            <w14:solidFill>
              <w14:schemeClr w14:val="tx1"/>
            </w14:solidFill>
          </w14:textFill>
        </w:rPr>
        <w:t>，不得超过中标金额中的</w:t>
      </w:r>
      <w:r>
        <w:rPr>
          <w:rFonts w:hint="eastAsia" w:ascii="Times New Roman" w:hAnsi="Times New Roman" w:eastAsia="宋体" w:cs="Times New Roman"/>
          <w:color w:val="000000" w:themeColor="text1"/>
          <w:highlight w:val="none"/>
          <w14:textFill>
            <w14:solidFill>
              <w14:schemeClr w14:val="tx1"/>
            </w14:solidFill>
          </w14:textFill>
        </w:rPr>
        <w:t>建筑安装工程费</w:t>
      </w:r>
      <w:r>
        <w:rPr>
          <w:rFonts w:hint="eastAsia" w:ascii="Times New Roman" w:hAnsi="Times New Roman" w:eastAsia="宋体" w:cs="Times New Roman"/>
          <w:b w:val="0"/>
          <w:bCs w:val="0"/>
          <w:color w:val="000000" w:themeColor="text1"/>
          <w:highlight w:val="none"/>
          <w:lang w:val="en-US" w:eastAsia="zh-CN"/>
          <w14:textFill>
            <w14:solidFill>
              <w14:schemeClr w14:val="tx1"/>
            </w14:solidFill>
          </w14:textFill>
        </w:rPr>
        <w:t>，根据审定通过后的施工图编制预算</w:t>
      </w:r>
      <w:r>
        <w:rPr>
          <w:rFonts w:hint="eastAsia" w:ascii="Times New Roman" w:hAnsi="Times New Roman" w:eastAsia="宋体" w:cs="Times New Roman"/>
          <w:b w:val="0"/>
          <w:bCs w:val="0"/>
          <w:color w:val="000000" w:themeColor="text1"/>
          <w:spacing w:val="0"/>
          <w:sz w:val="24"/>
          <w:szCs w:val="20"/>
          <w:highlight w:val="none"/>
          <w:lang w:val="en-US" w:eastAsia="zh-CN"/>
          <w14:textFill>
            <w14:solidFill>
              <w14:schemeClr w14:val="tx1"/>
            </w14:solidFill>
          </w14:textFill>
        </w:rPr>
        <w:t>。</w:t>
      </w:r>
    </w:p>
    <w:p w14:paraId="741958CF">
      <w:pPr>
        <w:adjustRightInd w:val="0"/>
        <w:snapToGrid w:val="0"/>
        <w:spacing w:line="360" w:lineRule="auto"/>
        <w:ind w:firstLine="480" w:firstLineChars="200"/>
        <w:rPr>
          <w:rFonts w:hint="eastAsia"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pacing w:val="0"/>
          <w:sz w:val="24"/>
          <w:szCs w:val="20"/>
          <w:highlight w:val="none"/>
          <w:lang w:val="en-US" w:eastAsia="zh-CN"/>
          <w14:textFill>
            <w14:solidFill>
              <w14:schemeClr w14:val="tx1"/>
            </w14:solidFill>
          </w14:textFill>
        </w:rPr>
        <w:t>（8）</w:t>
      </w:r>
      <w:r>
        <w:rPr>
          <w:rFonts w:hint="eastAsia" w:ascii="Times New Roman" w:hAnsi="Times New Roman" w:eastAsia="宋体" w:cs="Times New Roman"/>
          <w:b w:val="0"/>
          <w:bCs w:val="0"/>
          <w:color w:val="000000" w:themeColor="text1"/>
          <w:highlight w:val="none"/>
          <w:lang w:val="en-US" w:eastAsia="zh-CN"/>
          <w14:textFill>
            <w14:solidFill>
              <w14:schemeClr w14:val="tx1"/>
            </w14:solidFill>
          </w14:textFill>
        </w:rPr>
        <w:t>编制的施工图预算须经</w:t>
      </w:r>
      <w:r>
        <w:rPr>
          <w:rFonts w:hint="eastAsia" w:ascii="Times New Roman" w:hAnsi="Times New Roman" w:eastAsia="宋体" w:cs="Times New Roman"/>
          <w:b w:val="0"/>
          <w:bCs w:val="0"/>
          <w:color w:val="000000" w:themeColor="text1"/>
          <w:spacing w:val="0"/>
          <w:sz w:val="24"/>
          <w:szCs w:val="20"/>
          <w:highlight w:val="none"/>
          <w:lang w:val="en-US" w:eastAsia="zh-CN"/>
          <w14:textFill>
            <w14:solidFill>
              <w14:schemeClr w14:val="tx1"/>
            </w14:solidFill>
          </w14:textFill>
        </w:rPr>
        <w:t>相关部门</w:t>
      </w:r>
      <w:r>
        <w:rPr>
          <w:rFonts w:hint="eastAsia" w:ascii="Times New Roman" w:hAnsi="Times New Roman" w:eastAsia="宋体" w:cs="Times New Roman"/>
          <w:b w:val="0"/>
          <w:bCs w:val="0"/>
          <w:color w:val="000000" w:themeColor="text1"/>
          <w:highlight w:val="none"/>
          <w:lang w:val="en-US" w:eastAsia="zh-CN"/>
          <w14:textFill>
            <w14:solidFill>
              <w14:schemeClr w14:val="tx1"/>
            </w14:solidFill>
          </w14:textFill>
        </w:rPr>
        <w:t>审定。</w:t>
      </w:r>
    </w:p>
    <w:p w14:paraId="668DF884">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2、施工配合阶段</w:t>
      </w:r>
    </w:p>
    <w:p w14:paraId="0968F86F">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textAlignment w:val="auto"/>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（1）负责工程设计交底，解答施工过程中施工承包人有关施工图的问题，项目负责人及各专业设计负责人，及时对施工中与设计有关的问题做出回应，保证设计满足施工要求；</w:t>
      </w:r>
    </w:p>
    <w:p w14:paraId="196FE415">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textAlignment w:val="auto"/>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（2）根据发包人要求，及时参加与设计有关的专题会，现场解决技术问题；</w:t>
      </w:r>
    </w:p>
    <w:p w14:paraId="24EFDA0B">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textAlignment w:val="auto"/>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（3）协助发包人处理工程洽商和设计变更，负责有关设计修改，及时办理相关手续；</w:t>
      </w:r>
    </w:p>
    <w:p w14:paraId="53E64116">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textAlignment w:val="auto"/>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（4）参与与设计人相关的必要的验收以及项目竣工验收工作，并及时办理相关手续；</w:t>
      </w:r>
    </w:p>
    <w:p w14:paraId="199EC4D5">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textAlignment w:val="auto"/>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（5）提供产品选型、设备加工订货、建筑材料选择以及分包商考察等技术咨询工作；</w:t>
      </w:r>
    </w:p>
    <w:p w14:paraId="2CDB9FF4">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textAlignment w:val="auto"/>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（6）应发包人要求协助审核各分包商的设计文件是否满足接口条件并签署意见，以保证其与总体设计协调一致，并满足工程要求。</w:t>
      </w:r>
    </w:p>
    <w:p w14:paraId="4B6D98FA">
      <w:pPr>
        <w:pStyle w:val="6"/>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（7）按照设计要求完成电力增容、箱变采购等相关工程项目建设，并做好后期的调试、质保等售后服务工作。</w:t>
      </w:r>
    </w:p>
    <w:p w14:paraId="628E4BE9">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textAlignment w:val="auto"/>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（8）因承包人原因造成工程质量未达到合同约定标准，由承包人在规定时间内进行整改，直到达到合同约定标准。</w:t>
      </w:r>
    </w:p>
    <w:p w14:paraId="42ECD5CB">
      <w:pPr>
        <w:pStyle w:val="6"/>
        <w:rPr>
          <w:rFonts w:hint="default"/>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（9）承包人在施工过程中应服从建设单位及监理单位的管理。</w:t>
      </w:r>
    </w:p>
    <w:p w14:paraId="6B51C642">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3、安全文明施工要求</w:t>
      </w:r>
    </w:p>
    <w:p w14:paraId="3D1E0441">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施工现场必须达到政府部门治污减霾标准要求和招标质量要求标准。</w:t>
      </w:r>
    </w:p>
    <w:p w14:paraId="7B4AA327">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4、竣工验收要求</w:t>
      </w:r>
    </w:p>
    <w:p w14:paraId="358790FC">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总承包方在全面完成所承包的工程，经总监或监理工程师同意后，应向建设方提出申请，建设方核实符合竣工验收条件要求后，建设方应及时组织验收。竣工验收由建设方、设计方、总承包方、监理等单位代表组成竣工验收组对工程质量进行全面验收。竣工验收必须具备以下条件：</w:t>
      </w:r>
    </w:p>
    <w:p w14:paraId="245696F2">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4.1工程已按合同要求完成，具有独立使用功能，且必须符合国家（行业）的现行验收规范、标准要求。</w:t>
      </w:r>
    </w:p>
    <w:p w14:paraId="4B7F0F83">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4.2承包方按有关规定已编制完成竣工图、施工文件等全套竣工资料，竣工验收的文件资料应齐全。</w:t>
      </w:r>
    </w:p>
    <w:p w14:paraId="65117819">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4.3总承包、监理等单位已准备好总结报告材料。</w:t>
      </w:r>
    </w:p>
    <w:p w14:paraId="219316DE">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4.4总承包方按照建设方要求提供建筑设备的目录、清单、单价等资料，配合建设方办理相关转固手续。</w:t>
      </w:r>
    </w:p>
    <w:p w14:paraId="5273114F">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4.5有特殊要求的材料或设备须提供检测报告等文件资料。</w:t>
      </w:r>
    </w:p>
    <w:p w14:paraId="028567F5">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4.6该项目通过电力部门单项验收并完成供电。</w:t>
      </w:r>
    </w:p>
    <w:p w14:paraId="2EB4FD42">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5、人员培训</w:t>
      </w:r>
    </w:p>
    <w:p w14:paraId="338FBF3D">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5.1总承包单位应负责为采购人培训合格的各系统使用技术人员和维修人员，其培训方案应在试运行前15天报建设方认可。</w:t>
      </w:r>
    </w:p>
    <w:p w14:paraId="3ECD6176">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5.2培训内容应包含各系统工艺流程、操作、运行维护和应急处理等。</w:t>
      </w:r>
    </w:p>
    <w:p w14:paraId="26BD6142">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5.3培训人员培训费、差旅费等均由总承包方承担。</w:t>
      </w:r>
    </w:p>
    <w:p w14:paraId="42144E64">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6、竣工资料要求</w:t>
      </w:r>
    </w:p>
    <w:p w14:paraId="2A96869F">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6.1总承包方提供的资料应按照发包人提供的档案馆要求进行整编，但不仅限于此。如果建设方有其它与项目相关的资料需求，总承包方必须免费提供。总承包单位需提供资料清单详见发包人提供的基本建设档案归档实施细则。</w:t>
      </w:r>
    </w:p>
    <w:p w14:paraId="73F0DB47">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6.2归档的资料应完整、准确、系统，能真实反映项目的建设过程。</w:t>
      </w:r>
    </w:p>
    <w:p w14:paraId="6FF4FA7B">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6.3归档的资料必须是原件。</w:t>
      </w:r>
    </w:p>
    <w:p w14:paraId="3CD20E5C">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6.4归档资料的范围包括立项、报建、设计、勘察、招投标、施工安装过程文件、竣工图、监理文件及各专项验收文件。但不仅限于此，参见技术协议，如果建设方有其它与项目相关的资料需求，总承包方必须免费提供。</w:t>
      </w:r>
    </w:p>
    <w:p w14:paraId="304309E4">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6.5归档的时间根据相关档案管理制度及时归档。</w:t>
      </w:r>
    </w:p>
    <w:p w14:paraId="4AEDCB8F">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6.6竣工资料执行建设单位要求。</w:t>
      </w:r>
    </w:p>
    <w:p w14:paraId="030BB7EC">
      <w:pPr>
        <w:keepNext w:val="0"/>
        <w:keepLines w:val="0"/>
        <w:pageBreakBefore w:val="0"/>
        <w:widowControl w:val="0"/>
        <w:kinsoku/>
        <w:wordWrap/>
        <w:overflowPunct/>
        <w:topLinePunct w:val="0"/>
        <w:autoSpaceDE/>
        <w:autoSpaceDN/>
        <w:bidi w:val="0"/>
        <w:adjustRightInd/>
        <w:snapToGrid/>
        <w:spacing w:line="360" w:lineRule="auto"/>
        <w:ind w:left="480" w:hanging="482" w:hangingChars="200"/>
        <w:textAlignment w:val="auto"/>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四、其他要求</w:t>
      </w:r>
    </w:p>
    <w:p w14:paraId="654380C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1、施工图预算编制及施工图预算审核原则为广联达计价软件</w:t>
      </w:r>
    </w:p>
    <w:p w14:paraId="206FF6EB">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2、编制施工图预算时，材料、设备的价格计费依据及标准为《陕西省建设工程费用规则2025》、《陕西省通用安装工程基价表2025》、《陕西省市政工程基价表2025》、《陕西省园林绿化工程基价表2025》等施工过程中实行的计价依据规范和当期工程所在地信息价或市场价。</w:t>
      </w:r>
    </w:p>
    <w:p w14:paraId="248D33DE">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3、本项目全流程审计由学校审计处进行审计，相关费用由学校承担。</w:t>
      </w:r>
    </w:p>
    <w:p w14:paraId="7A5FE67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五、验收：</w:t>
      </w:r>
    </w:p>
    <w:p w14:paraId="2CE96C8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1、该项目应通过电力部门验收并完成供电。</w:t>
      </w:r>
    </w:p>
    <w:p w14:paraId="0B77C3C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2、由建设方、设计方、总承包方、监理及学校相关部门组成验收小组，按照设计要求进行综合验收。</w:t>
      </w:r>
    </w:p>
    <w:p w14:paraId="42CEE85B">
      <w:pPr>
        <w:keepNext w:val="0"/>
        <w:keepLines w:val="0"/>
        <w:pageBreakBefore w:val="0"/>
        <w:widowControl w:val="0"/>
        <w:kinsoku/>
        <w:wordWrap/>
        <w:overflowPunct/>
        <w:topLinePunct w:val="0"/>
        <w:autoSpaceDE/>
        <w:autoSpaceDN/>
        <w:bidi w:val="0"/>
        <w:adjustRightInd/>
        <w:snapToGrid/>
        <w:spacing w:line="360" w:lineRule="auto"/>
        <w:ind w:left="480" w:hanging="482" w:hanging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六、技术要求</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1、技术标准及质量要求：</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（1）依据设计文件的要求，本项目的材料、设备、施工须达到所涉及到的相关工</w:t>
      </w:r>
    </w:p>
    <w:p w14:paraId="0BF0BFC1">
      <w:pPr>
        <w:keepNext w:val="0"/>
        <w:keepLines w:val="0"/>
        <w:pageBreakBefore w:val="0"/>
        <w:widowControl w:val="0"/>
        <w:kinsoku/>
        <w:wordWrap/>
        <w:overflowPunct/>
        <w:topLinePunct w:val="0"/>
        <w:autoSpaceDE/>
        <w:autoSpaceDN/>
        <w:bidi w:val="0"/>
        <w:adjustRightInd/>
        <w:snapToGrid/>
        <w:spacing w:line="360" w:lineRule="auto"/>
        <w:ind w:left="480" w:hanging="480" w:hanging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程建设标准、规范的要求。</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（2）根据工程设计要求，该项工程项目的材料、设备、施工除必须达到以上标准</w:t>
      </w:r>
    </w:p>
    <w:p w14:paraId="400F0CF1">
      <w:pPr>
        <w:keepNext w:val="0"/>
        <w:keepLines w:val="0"/>
        <w:pageBreakBefore w:val="0"/>
        <w:widowControl w:val="0"/>
        <w:kinsoku/>
        <w:wordWrap/>
        <w:overflowPunct/>
        <w:topLinePunct w:val="0"/>
        <w:autoSpaceDE/>
        <w:autoSpaceDN/>
        <w:bidi w:val="0"/>
        <w:adjustRightInd/>
        <w:snapToGrid/>
        <w:spacing w:line="360" w:lineRule="auto"/>
        <w:ind w:left="480" w:hanging="480" w:hanging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外，还应满足与本项目实际需要相一致的规范及标准。</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（3）该工程项目的材料、设备、施工如无上述一、二条的标准，在材料、设备的</w:t>
      </w:r>
    </w:p>
    <w:p w14:paraId="01729B62">
      <w:pPr>
        <w:keepNext w:val="0"/>
        <w:keepLines w:val="0"/>
        <w:pageBreakBefore w:val="0"/>
        <w:widowControl w:val="0"/>
        <w:kinsoku/>
        <w:wordWrap/>
        <w:overflowPunct/>
        <w:topLinePunct w:val="0"/>
        <w:autoSpaceDE/>
        <w:autoSpaceDN/>
        <w:bidi w:val="0"/>
        <w:adjustRightInd/>
        <w:snapToGrid/>
        <w:spacing w:line="360" w:lineRule="auto"/>
        <w:ind w:left="480" w:hanging="480" w:hanging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定货采购和施工安装时，应出具生产厂家或施工安装企业在技术监督部门已备案企业</w:t>
      </w:r>
    </w:p>
    <w:p w14:paraId="4158385C">
      <w:pPr>
        <w:keepNext w:val="0"/>
        <w:keepLines w:val="0"/>
        <w:pageBreakBefore w:val="0"/>
        <w:widowControl w:val="0"/>
        <w:kinsoku/>
        <w:wordWrap/>
        <w:overflowPunct/>
        <w:topLinePunct w:val="0"/>
        <w:autoSpaceDE/>
        <w:autoSpaceDN/>
        <w:bidi w:val="0"/>
        <w:adjustRightInd/>
        <w:snapToGrid/>
        <w:spacing w:line="360" w:lineRule="auto"/>
        <w:ind w:left="480" w:hanging="480" w:hanging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标准，并经业主方批准后方可实施。</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（4）供应商须提供全新的货物(含零部件、配件、使用说明书等)，表面无划伤、</w:t>
      </w:r>
    </w:p>
    <w:p w14:paraId="39F7DC56">
      <w:pPr>
        <w:keepNext w:val="0"/>
        <w:keepLines w:val="0"/>
        <w:pageBreakBefore w:val="0"/>
        <w:widowControl w:val="0"/>
        <w:kinsoku/>
        <w:wordWrap/>
        <w:overflowPunct/>
        <w:topLinePunct w:val="0"/>
        <w:autoSpaceDE/>
        <w:autoSpaceDN/>
        <w:bidi w:val="0"/>
        <w:adjustRightInd/>
        <w:snapToGrid/>
        <w:spacing w:line="360" w:lineRule="auto"/>
        <w:ind w:left="480" w:hanging="480" w:hanging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无碰撞痕迹，且权属清楚，不得侵害他人的知识产权，并按照相关要求包装完好。</w:t>
      </w:r>
    </w:p>
    <w:p w14:paraId="5D7E7017">
      <w:pPr>
        <w:keepNext w:val="0"/>
        <w:keepLines w:val="0"/>
        <w:pageBreakBefore w:val="0"/>
        <w:widowControl w:val="0"/>
        <w:kinsoku/>
        <w:wordWrap/>
        <w:overflowPunct/>
        <w:topLinePunct w:val="0"/>
        <w:autoSpaceDE/>
        <w:autoSpaceDN/>
        <w:bidi w:val="0"/>
        <w:adjustRightInd/>
        <w:snapToGrid/>
        <w:spacing w:line="360" w:lineRule="auto"/>
        <w:ind w:left="439" w:leftChars="183" w:firstLine="482" w:firstLineChars="200"/>
        <w:textAlignment w:val="auto"/>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4.1柜内主要元器件（包括但不限于低压进线柜、发电机进线柜、联络柜、低压出线柜内元器件等）建议采用“施耐德电气”、“德力西”、“ABB”或同等档次及以上产品，投标时需明确所投产品品牌及型号。</w:t>
      </w:r>
    </w:p>
    <w:p w14:paraId="742E9D25">
      <w:pPr>
        <w:keepNext w:val="0"/>
        <w:keepLines w:val="0"/>
        <w:pageBreakBefore w:val="0"/>
        <w:widowControl w:val="0"/>
        <w:kinsoku/>
        <w:wordWrap/>
        <w:overflowPunct/>
        <w:topLinePunct w:val="0"/>
        <w:autoSpaceDE/>
        <w:autoSpaceDN/>
        <w:bidi w:val="0"/>
        <w:adjustRightInd/>
        <w:snapToGrid/>
        <w:spacing w:line="360" w:lineRule="auto"/>
        <w:ind w:left="439" w:leftChars="183" w:firstLine="482" w:firstLineChars="200"/>
        <w:textAlignment w:val="auto"/>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4.2本项目所用电容补偿柜柜内主要元器件建议采用“江苏南自通华”、“安耐杰”、“西安双园”或同等档次及以上产品，投标时需明确所投产品品牌及型号。</w:t>
      </w:r>
    </w:p>
    <w:p w14:paraId="467C26AA">
      <w:pPr>
        <w:keepNext w:val="0"/>
        <w:keepLines w:val="0"/>
        <w:pageBreakBefore w:val="0"/>
        <w:widowControl w:val="0"/>
        <w:kinsoku/>
        <w:wordWrap/>
        <w:overflowPunct/>
        <w:topLinePunct w:val="0"/>
        <w:autoSpaceDE/>
        <w:autoSpaceDN/>
        <w:bidi w:val="0"/>
        <w:adjustRightInd/>
        <w:snapToGrid/>
        <w:spacing w:line="360" w:lineRule="auto"/>
        <w:ind w:left="439" w:leftChars="183" w:firstLine="482" w:firstLineChars="200"/>
        <w:textAlignment w:val="auto"/>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4.3本项目所用电缆建议采用“上上牌”、“宝胜”、“远东”或同等档次及以上产品，投标时需明确所投产品品牌及型号。</w:t>
      </w:r>
    </w:p>
    <w:p w14:paraId="042FF582">
      <w:pPr>
        <w:keepNext w:val="0"/>
        <w:keepLines w:val="0"/>
        <w:pageBreakBefore w:val="0"/>
        <w:widowControl w:val="0"/>
        <w:kinsoku/>
        <w:wordWrap/>
        <w:overflowPunct/>
        <w:topLinePunct w:val="0"/>
        <w:autoSpaceDE/>
        <w:autoSpaceDN/>
        <w:bidi w:val="0"/>
        <w:adjustRightInd/>
        <w:snapToGrid/>
        <w:spacing w:line="360" w:lineRule="auto"/>
        <w:ind w:left="439" w:leftChars="183" w:firstLine="482" w:firstLineChars="200"/>
        <w:textAlignment w:val="auto"/>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4.4本项目所用电缆终端头建议采用“沃尔核材”、“北京芳远”或同等档次及以上产品，投标时需明确所投产品品牌及型号。</w:t>
      </w:r>
    </w:p>
    <w:p w14:paraId="1C6BA522">
      <w:pPr>
        <w:keepNext w:val="0"/>
        <w:keepLines w:val="0"/>
        <w:pageBreakBefore w:val="0"/>
        <w:widowControl w:val="0"/>
        <w:kinsoku/>
        <w:wordWrap/>
        <w:overflowPunct/>
        <w:topLinePunct w:val="0"/>
        <w:autoSpaceDE/>
        <w:autoSpaceDN/>
        <w:bidi w:val="0"/>
        <w:adjustRightInd/>
        <w:snapToGrid/>
        <w:spacing w:line="360" w:lineRule="auto"/>
        <w:ind w:left="439" w:leftChars="183" w:firstLine="482" w:firstLineChars="200"/>
        <w:textAlignment w:val="auto"/>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4.5本项目所用高压进线柜、高压计量柜、高压PT柜、高压出线柜成套设备建议“采用华通”、“默飓电气”、“固杰电力”或同等档次及以上产品，投标时需明确所投产品品牌及型号。</w:t>
      </w:r>
    </w:p>
    <w:p w14:paraId="7D9C1D05">
      <w:pPr>
        <w:keepNext w:val="0"/>
        <w:keepLines w:val="0"/>
        <w:pageBreakBefore w:val="0"/>
        <w:widowControl w:val="0"/>
        <w:kinsoku/>
        <w:wordWrap/>
        <w:overflowPunct/>
        <w:topLinePunct w:val="0"/>
        <w:autoSpaceDE/>
        <w:autoSpaceDN/>
        <w:bidi w:val="0"/>
        <w:adjustRightInd/>
        <w:snapToGrid/>
        <w:spacing w:line="360" w:lineRule="auto"/>
        <w:ind w:left="439" w:leftChars="183" w:firstLine="482" w:firstLineChars="200"/>
        <w:textAlignment w:val="auto"/>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4.6本项目所用低压铜母排建议采用“河南昌盛”、“陕西峰高”或同等档次及以上产品，投标时需明确所投产品品牌及型号。</w:t>
      </w:r>
    </w:p>
    <w:p w14:paraId="31C05FCF">
      <w:pPr>
        <w:keepNext w:val="0"/>
        <w:keepLines w:val="0"/>
        <w:pageBreakBefore w:val="0"/>
        <w:widowControl w:val="0"/>
        <w:kinsoku/>
        <w:wordWrap/>
        <w:overflowPunct/>
        <w:topLinePunct w:val="0"/>
        <w:autoSpaceDE/>
        <w:autoSpaceDN/>
        <w:bidi w:val="0"/>
        <w:adjustRightInd/>
        <w:snapToGrid/>
        <w:spacing w:line="360" w:lineRule="auto"/>
        <w:ind w:left="439" w:leftChars="183" w:firstLine="482" w:firstLineChars="200"/>
        <w:textAlignment w:val="auto"/>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4.7本项目所用应急母线建议采用“西安鸿盛源”、“陕西银河新科”、“陕西祥兴电力”或同等档次及以上产品，投标时需明确所投产品品牌及型号。</w:t>
      </w:r>
    </w:p>
    <w:p w14:paraId="3CFCDFDC">
      <w:pPr>
        <w:keepNext w:val="0"/>
        <w:keepLines w:val="0"/>
        <w:pageBreakBefore w:val="0"/>
        <w:widowControl w:val="0"/>
        <w:kinsoku/>
        <w:wordWrap/>
        <w:overflowPunct/>
        <w:topLinePunct w:val="0"/>
        <w:autoSpaceDE/>
        <w:autoSpaceDN/>
        <w:bidi w:val="0"/>
        <w:adjustRightInd/>
        <w:snapToGrid/>
        <w:spacing w:line="360" w:lineRule="auto"/>
        <w:ind w:left="439" w:leftChars="183" w:firstLine="482" w:firstLineChars="200"/>
        <w:textAlignment w:val="auto"/>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4.8本项目所用干式变压器建议采用“江苏恒大”、“江西亚威”、“江苏华辰”或同等档次及以上产品，投标时需明确所投产品品牌及型号。</w:t>
      </w:r>
    </w:p>
    <w:p w14:paraId="512B9094">
      <w:pPr>
        <w:keepNext w:val="0"/>
        <w:keepLines w:val="0"/>
        <w:pageBreakBefore w:val="0"/>
        <w:widowControl w:val="0"/>
        <w:kinsoku/>
        <w:wordWrap/>
        <w:overflowPunct/>
        <w:topLinePunct w:val="0"/>
        <w:autoSpaceDE/>
        <w:autoSpaceDN/>
        <w:bidi w:val="0"/>
        <w:adjustRightInd/>
        <w:snapToGrid/>
        <w:spacing w:line="360" w:lineRule="auto"/>
        <w:ind w:left="439" w:leftChars="183" w:firstLine="482" w:firstLineChars="200"/>
        <w:textAlignment w:val="auto"/>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4.9本项目所用直流屏建议采用“开元”、“同创”、“万马”或同等档次及以上产品，投标时需明确所投产品品牌及型号。</w:t>
      </w:r>
    </w:p>
    <w:p w14:paraId="647B388A">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（5）产品必须符合或优于国家(行业)标准、地方标准或者其他标准、规范要求。施工过程中材料运输按照安全运行规范执行，并按照规范要求年限质保。</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 xml:space="preserve">      （6）交货验收时每台货物上均应有产品质量检验合格标志，且须提供产品质检部</w:t>
      </w:r>
    </w:p>
    <w:p w14:paraId="5354D860">
      <w:pPr>
        <w:keepNext w:val="0"/>
        <w:keepLines w:val="0"/>
        <w:pageBreakBefore w:val="0"/>
        <w:widowControl w:val="0"/>
        <w:kinsoku/>
        <w:wordWrap/>
        <w:overflowPunct/>
        <w:topLinePunct w:val="0"/>
        <w:autoSpaceDE/>
        <w:autoSpaceDN/>
        <w:bidi w:val="0"/>
        <w:adjustRightInd/>
        <w:snapToGrid/>
        <w:spacing w:line="360" w:lineRule="auto"/>
        <w:ind w:left="720" w:hanging="720" w:hangingChars="3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门从同类产品中抽样检查合格的检测报告。</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（7）货物制造质量出现问题，供应商应负责三包，费用由供应商负担。</w:t>
      </w:r>
    </w:p>
    <w:p w14:paraId="7B7945B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720" w:leftChars="300" w:firstLine="0" w:firstLineChars="0"/>
        <w:textAlignment w:val="auto"/>
        <w:rPr>
          <w:rFonts w:hint="eastAsia"/>
          <w:b w:val="0"/>
          <w:bCs w:val="0"/>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招标文件中引用的某些品牌或型号等内容仅为准确清楚地说明本项目的采购</w:t>
      </w:r>
    </w:p>
    <w:p w14:paraId="432FAE6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964" w:hanging="964" w:hangingChars="400"/>
        <w:textAlignment w:val="auto"/>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需求并无任何指定某品牌情况。</w:t>
      </w:r>
    </w:p>
    <w:p w14:paraId="09887F7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960" w:leftChars="200" w:hanging="480" w:hanging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2、应严格遵守采购人的有关规章制度，施工人员进入施工现场应佩戴证件并穿戴</w:t>
      </w:r>
    </w:p>
    <w:p w14:paraId="0FAC99AD">
      <w:pPr>
        <w:keepNext w:val="0"/>
        <w:keepLines w:val="0"/>
        <w:pageBreakBefore w:val="0"/>
        <w:widowControl w:val="0"/>
        <w:kinsoku/>
        <w:wordWrap/>
        <w:overflowPunct/>
        <w:topLinePunct w:val="0"/>
        <w:autoSpaceDE/>
        <w:autoSpaceDN/>
        <w:bidi w:val="0"/>
        <w:adjustRightInd/>
        <w:snapToGrid/>
        <w:spacing w:line="360" w:lineRule="auto"/>
        <w:ind w:left="0" w:firstLine="0" w:firstLineChars="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必要的防护用品。施工期间必须严格按照有关规定，做好施工现场管理，做到安全施工、文明施工，防火、防电、防盗、防高空坠落，保证施工人员安全和其他工作人员安全，出现的一切人身伤亡事故和安全责任事故均由中标供应商负责；对于不按规定要求施工的，采购人有权中止其施工，不听劝阻的，将做罚款处理，直至停止施工。</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 xml:space="preserve">    3、施工现场要设置醒目的符合安全规定的安全警示标志、安全标语、夜间须设警示灯，设置标准及数量需满足安全法的相关规定，并设专人负责值班，作业现场有安全操作规章制度。</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 xml:space="preserve">    4、中标供应商应做好场区内环境保护，防止环境污染。中标供应商使用任何机械前须经采购人同意；施工中不得污染周边环境；做好各类设施维护。任何因施工造成的环境破坏和污染，中标供应商都有责任采取措施予以防止和消除。由于中标供应商过失、疏忽或未按采购人指示做好环境保护工作导致需要另外采取环境保护措施，这部分额外工作的费用应由中标供应商负担。</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 xml:space="preserve">    5、供应商应当做到文明施工，合理安排作业时间，合理降低噪音污染、粉尘污染，</w:t>
      </w:r>
    </w:p>
    <w:p w14:paraId="65A30667">
      <w:pPr>
        <w:keepNext w:val="0"/>
        <w:keepLines w:val="0"/>
        <w:pageBreakBefore w:val="0"/>
        <w:widowControl w:val="0"/>
        <w:kinsoku/>
        <w:wordWrap/>
        <w:overflowPunct/>
        <w:topLinePunct w:val="0"/>
        <w:autoSpaceDE/>
        <w:autoSpaceDN/>
        <w:bidi w:val="0"/>
        <w:adjustRightInd/>
        <w:snapToGrid/>
        <w:spacing w:line="360" w:lineRule="auto"/>
        <w:ind w:left="480" w:hanging="480" w:hanging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确保施工现场周围的正常工作与休息，按国家有关施工时间规定进行施工，施工中避</w:t>
      </w:r>
    </w:p>
    <w:p w14:paraId="20322606">
      <w:pPr>
        <w:keepNext w:val="0"/>
        <w:keepLines w:val="0"/>
        <w:pageBreakBefore w:val="0"/>
        <w:widowControl w:val="0"/>
        <w:kinsoku/>
        <w:wordWrap/>
        <w:overflowPunct/>
        <w:topLinePunct w:val="0"/>
        <w:autoSpaceDE/>
        <w:autoSpaceDN/>
        <w:bidi w:val="0"/>
        <w:adjustRightInd/>
        <w:snapToGrid/>
        <w:spacing w:line="360" w:lineRule="auto"/>
        <w:ind w:left="480" w:hanging="480" w:hanging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免带来干扰。</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6、供应商负责办理建筑垃圾外运有关手续并承担所有费用，在施工期间或竣工后，</w:t>
      </w:r>
    </w:p>
    <w:p w14:paraId="6DD8F057">
      <w:pPr>
        <w:keepNext w:val="0"/>
        <w:keepLines w:val="0"/>
        <w:pageBreakBefore w:val="0"/>
        <w:widowControl w:val="0"/>
        <w:kinsoku/>
        <w:wordWrap/>
        <w:overflowPunct/>
        <w:topLinePunct w:val="0"/>
        <w:autoSpaceDE/>
        <w:autoSpaceDN/>
        <w:bidi w:val="0"/>
        <w:adjustRightInd/>
        <w:snapToGrid/>
        <w:spacing w:line="360" w:lineRule="auto"/>
        <w:ind w:left="480" w:hanging="480" w:hanging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注意保护施工现场的环境卫生，工程施工中的垃圾要及时外运，不得在现场存放。工</w:t>
      </w:r>
    </w:p>
    <w:p w14:paraId="35A42B6E">
      <w:pPr>
        <w:keepNext w:val="0"/>
        <w:keepLines w:val="0"/>
        <w:pageBreakBefore w:val="0"/>
        <w:widowControl w:val="0"/>
        <w:kinsoku/>
        <w:wordWrap/>
        <w:overflowPunct/>
        <w:topLinePunct w:val="0"/>
        <w:autoSpaceDE/>
        <w:autoSpaceDN/>
        <w:bidi w:val="0"/>
        <w:adjustRightInd/>
        <w:snapToGrid/>
        <w:spacing w:line="360" w:lineRule="auto"/>
        <w:ind w:left="480" w:hanging="480" w:hanging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程竣工后，将施工垃圾全部清理完毕，做到工完、料净、场地清。</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7、工程实施完全符合招标文件及合同规定的技术、方案、质量、规格、材质等要</w:t>
      </w:r>
    </w:p>
    <w:p w14:paraId="2F7F1662">
      <w:pPr>
        <w:keepNext w:val="0"/>
        <w:keepLines w:val="0"/>
        <w:pageBreakBefore w:val="0"/>
        <w:widowControl w:val="0"/>
        <w:kinsoku/>
        <w:wordWrap/>
        <w:overflowPunct/>
        <w:topLinePunct w:val="0"/>
        <w:autoSpaceDE/>
        <w:autoSpaceDN/>
        <w:bidi w:val="0"/>
        <w:adjustRightInd/>
        <w:snapToGrid/>
        <w:spacing w:line="360" w:lineRule="auto"/>
        <w:ind w:left="480" w:hanging="480" w:hanging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求。</w:t>
      </w:r>
      <w:r>
        <w:rPr>
          <w:rFonts w:hint="eastAsia"/>
          <w:b w:val="0"/>
          <w:bCs w:val="0"/>
          <w:color w:val="000000" w:themeColor="text1"/>
          <w:highlight w:val="none"/>
          <w:lang w:val="en-US" w:eastAsia="zh-CN"/>
          <w14:textFill>
            <w14:solidFill>
              <w14:schemeClr w14:val="tx1"/>
            </w14:solidFill>
          </w14:textFill>
        </w:rPr>
        <w:br w:type="textWrapping"/>
      </w:r>
      <w:r>
        <w:rPr>
          <w:rFonts w:hint="eastAsia"/>
          <w:b/>
          <w:bCs/>
          <w:color w:val="000000" w:themeColor="text1"/>
          <w:highlight w:val="none"/>
          <w:lang w:val="en-US" w:eastAsia="zh-CN"/>
          <w14:textFill>
            <w14:solidFill>
              <w14:schemeClr w14:val="tx1"/>
            </w14:solidFill>
          </w14:textFill>
        </w:rPr>
        <w:t>★七、商务要求</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1、工期及地点：</w:t>
      </w:r>
    </w:p>
    <w:p w14:paraId="3DCACA1D">
      <w:pPr>
        <w:keepNext w:val="0"/>
        <w:keepLines w:val="0"/>
        <w:pageBreakBefore w:val="0"/>
        <w:widowControl w:val="0"/>
        <w:kinsoku/>
        <w:wordWrap/>
        <w:overflowPunct/>
        <w:topLinePunct w:val="0"/>
        <w:autoSpaceDE/>
        <w:autoSpaceDN/>
        <w:bidi w:val="0"/>
        <w:adjustRightInd/>
        <w:snapToGrid/>
        <w:spacing w:line="360" w:lineRule="auto"/>
        <w:ind w:left="439" w:leftChars="183" w:firstLine="0" w:firstLineChars="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（1）工期：120个日历天（合理安排施工时间，确保学校电力的正常供应。）</w:t>
      </w:r>
    </w:p>
    <w:p w14:paraId="0D5EC3A4">
      <w:pPr>
        <w:keepNext w:val="0"/>
        <w:keepLines w:val="0"/>
        <w:pageBreakBefore w:val="0"/>
        <w:widowControl w:val="0"/>
        <w:kinsoku/>
        <w:wordWrap/>
        <w:overflowPunct/>
        <w:topLinePunct w:val="0"/>
        <w:autoSpaceDE/>
        <w:autoSpaceDN/>
        <w:bidi w:val="0"/>
        <w:adjustRightInd/>
        <w:snapToGrid/>
        <w:spacing w:line="360" w:lineRule="auto"/>
        <w:ind w:left="439" w:leftChars="183" w:firstLine="0" w:firstLineChars="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（2）施工地点：西安市内，采购人指定地点</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2、质量要求：满足国家及行业验收“合格标准”，且满足采购人要求。</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3、质保期：按照行业规范年限质保，自验收合格之日起计算，若供应商承诺质量</w:t>
      </w:r>
    </w:p>
    <w:p w14:paraId="12661256">
      <w:pPr>
        <w:keepNext w:val="0"/>
        <w:keepLines w:val="0"/>
        <w:pageBreakBefore w:val="0"/>
        <w:widowControl w:val="0"/>
        <w:kinsoku/>
        <w:wordWrap/>
        <w:overflowPunct/>
        <w:topLinePunct w:val="0"/>
        <w:autoSpaceDE/>
        <w:autoSpaceDN/>
        <w:bidi w:val="0"/>
        <w:adjustRightInd/>
        <w:snapToGrid/>
        <w:spacing w:line="360" w:lineRule="auto"/>
        <w:ind w:left="480" w:leftChars="0" w:hanging="480" w:hanging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保修期多于文件要求的则按其承诺，保修期内须提供24小时内的紧急维修服务。</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4、付款方式：</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（1）采购资金的支付方式及时间：</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 结算单位：采购人结算，在付款前必须开具等额发票给采购人。</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（2）付款方式</w:t>
      </w:r>
    </w:p>
    <w:p w14:paraId="53D74D0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合同签订后甲方向乙方支付合同金额40%；工程竣工验收合格并正式供电后，支付至合同总金额90%；结算审计完成后甲方向乙方支付至结算审计金额的100%。</w:t>
      </w:r>
    </w:p>
    <w:p w14:paraId="088D16BB">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（3）供应商应于采购人每次付款前向采购人开具等额发票。因供应商迟延开票，</w:t>
      </w:r>
    </w:p>
    <w:p w14:paraId="3B92A8C5">
      <w:pPr>
        <w:keepNext w:val="0"/>
        <w:keepLines w:val="0"/>
        <w:pageBreakBefore w:val="0"/>
        <w:widowControl w:val="0"/>
        <w:kinsoku/>
        <w:wordWrap/>
        <w:overflowPunct/>
        <w:topLinePunct w:val="0"/>
        <w:autoSpaceDE/>
        <w:autoSpaceDN/>
        <w:bidi w:val="0"/>
        <w:adjustRightInd/>
        <w:snapToGrid/>
        <w:spacing w:line="360" w:lineRule="auto"/>
        <w:ind w:left="480" w:hanging="480" w:hanging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采购人有权拒不付款且不承担任何责任。</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5、合同实施：</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（1）履约保证金：</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①要求提供，项目履约保证金为合同金额的3%。</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②履约保证金缴纳时间：成交后七日内需要缴纳履约保证金。未在规定时间内缴</w:t>
      </w:r>
    </w:p>
    <w:p w14:paraId="4700E7A8">
      <w:pPr>
        <w:keepNext w:val="0"/>
        <w:keepLines w:val="0"/>
        <w:pageBreakBefore w:val="0"/>
        <w:widowControl w:val="0"/>
        <w:kinsoku/>
        <w:wordWrap/>
        <w:overflowPunct/>
        <w:topLinePunct w:val="0"/>
        <w:autoSpaceDE/>
        <w:autoSpaceDN/>
        <w:bidi w:val="0"/>
        <w:adjustRightInd/>
        <w:snapToGrid/>
        <w:spacing w:line="360" w:lineRule="auto"/>
        <w:ind w:left="480" w:hanging="480" w:hanging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纳履约保证金视为拒签合同，自动放弃成交资格。</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③履约保证金缴纳形式：采用银行对公转账、电汇或者金融机构、担保机构出具</w:t>
      </w:r>
    </w:p>
    <w:p w14:paraId="2F6773CC">
      <w:pPr>
        <w:keepNext w:val="0"/>
        <w:keepLines w:val="0"/>
        <w:pageBreakBefore w:val="0"/>
        <w:widowControl w:val="0"/>
        <w:kinsoku/>
        <w:wordWrap/>
        <w:overflowPunct/>
        <w:topLinePunct w:val="0"/>
        <w:autoSpaceDE/>
        <w:autoSpaceDN/>
        <w:bidi w:val="0"/>
        <w:adjustRightInd/>
        <w:snapToGrid/>
        <w:spacing w:line="360" w:lineRule="auto"/>
        <w:ind w:left="480" w:hanging="480" w:hanging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的保函等非现金的形式对公形式缴纳。</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④履约保证金的退还：完成电力增容及供电线路调整改造，项目验收合格，无任何质量问题、不存在争议，并协助学校取得电力部门相关批复正式供电，且缺陷责任期终止后一次性无息退还至中标供应商账户。</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⑤履约保证金收取单位名称：陕西学前师范学院</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注：合同签订后履约保证金即转为本次项目的质量保证金。</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（2）成交单位应在合同签订后7个日历日内安排人员与使用单位就本项目工作进</w:t>
      </w:r>
    </w:p>
    <w:p w14:paraId="640A3EA7">
      <w:pPr>
        <w:keepNext w:val="0"/>
        <w:keepLines w:val="0"/>
        <w:pageBreakBefore w:val="0"/>
        <w:widowControl w:val="0"/>
        <w:kinsoku/>
        <w:wordWrap/>
        <w:overflowPunct/>
        <w:topLinePunct w:val="0"/>
        <w:autoSpaceDE/>
        <w:autoSpaceDN/>
        <w:bidi w:val="0"/>
        <w:adjustRightInd/>
        <w:snapToGrid/>
        <w:spacing w:line="360" w:lineRule="auto"/>
        <w:ind w:left="480" w:hanging="480" w:hanging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行安排、部署。</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（3）若因成交单位原因未能在服务期内完成合同规定的义务，由此对采购人造成</w:t>
      </w:r>
    </w:p>
    <w:p w14:paraId="64D49829">
      <w:pPr>
        <w:keepNext w:val="0"/>
        <w:keepLines w:val="0"/>
        <w:pageBreakBefore w:val="0"/>
        <w:widowControl w:val="0"/>
        <w:kinsoku/>
        <w:wordWrap/>
        <w:overflowPunct/>
        <w:topLinePunct w:val="0"/>
        <w:autoSpaceDE/>
        <w:autoSpaceDN/>
        <w:bidi w:val="0"/>
        <w:adjustRightInd/>
        <w:snapToGrid/>
        <w:spacing w:line="360" w:lineRule="auto"/>
        <w:ind w:left="480" w:hanging="480" w:hanging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的延误和一切损失，由成交单位承担和赔偿。</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（4）中标供应商若在保修期内不能按照承诺提供24小时内的紧急维修服务，采</w:t>
      </w:r>
    </w:p>
    <w:p w14:paraId="5372FC61">
      <w:pPr>
        <w:keepNext w:val="0"/>
        <w:keepLines w:val="0"/>
        <w:pageBreakBefore w:val="0"/>
        <w:widowControl w:val="0"/>
        <w:kinsoku/>
        <w:wordWrap/>
        <w:overflowPunct/>
        <w:topLinePunct w:val="0"/>
        <w:autoSpaceDE/>
        <w:autoSpaceDN/>
        <w:bidi w:val="0"/>
        <w:adjustRightInd/>
        <w:snapToGrid/>
        <w:spacing w:line="360" w:lineRule="auto"/>
        <w:ind w:left="480" w:hanging="480" w:hanging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购人有权委托第三方公司维修，维修费用由采购人在质保金中扣除。</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6、违约责任</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（1）按《中华人民共和国民法典》中的相关条款执行。</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（2）未按合同要求提供服务的，采购人有权终止合同，并对供方违约行为进行追</w:t>
      </w:r>
    </w:p>
    <w:p w14:paraId="4FFD6F5B">
      <w:pPr>
        <w:keepNext w:val="0"/>
        <w:keepLines w:val="0"/>
        <w:pageBreakBefore w:val="0"/>
        <w:widowControl w:val="0"/>
        <w:kinsoku/>
        <w:wordWrap/>
        <w:overflowPunct/>
        <w:topLinePunct w:val="0"/>
        <w:autoSpaceDE/>
        <w:autoSpaceDN/>
        <w:bidi w:val="0"/>
        <w:adjustRightInd/>
        <w:snapToGrid/>
        <w:spacing w:line="360" w:lineRule="auto"/>
        <w:ind w:left="480" w:hanging="480" w:hanging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究，同时按《政府采购法》的有关规定进行处罚。</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7、验收方式及标准：</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项目验收分初验和终验:</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（1）该项目应通过电力部门验收并完成供电。</w:t>
      </w:r>
    </w:p>
    <w:p w14:paraId="23D1F71A">
      <w:pPr>
        <w:keepNext w:val="0"/>
        <w:keepLines w:val="0"/>
        <w:pageBreakBefore w:val="0"/>
        <w:widowControl w:val="0"/>
        <w:kinsoku/>
        <w:wordWrap/>
        <w:overflowPunct/>
        <w:topLinePunct w:val="0"/>
        <w:autoSpaceDE/>
        <w:autoSpaceDN/>
        <w:bidi w:val="0"/>
        <w:adjustRightInd/>
        <w:snapToGrid/>
        <w:spacing w:line="360" w:lineRule="auto"/>
        <w:ind w:left="480" w:leftChars="200" w:firstLine="0" w:firstLineChars="0"/>
        <w:textAlignment w:val="auto"/>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（2）由建设方、设计方、总承包方、监理及学校相关部门组成验收小组，按照设计要求进行综合验收。</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（3）验收依据</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①合同文本及合同补充文件（条款）。 </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②成果文件。</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③招标文件。</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④中标供应商的响应文件。</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⑤服务内容及要求。</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⑥行业标准及采购人要求</w:t>
      </w:r>
    </w:p>
    <w:p w14:paraId="1B7361B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val="0"/>
          <w:bCs w:val="0"/>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注：商务要求为实质性要求，不得负偏离。</w:t>
      </w:r>
      <w:r>
        <w:rPr>
          <w:rFonts w:hint="eastAsia"/>
          <w:b w:val="0"/>
          <w:bCs w:val="0"/>
          <w:color w:val="000000" w:themeColor="text1"/>
          <w:highlight w:val="none"/>
          <w:lang w:val="en-US" w:eastAsia="zh-CN"/>
          <w14:textFill>
            <w14:solidFill>
              <w14:schemeClr w14:val="tx1"/>
            </w14:solidFill>
          </w14:textFill>
        </w:rPr>
        <w:br w:type="textWrapping"/>
      </w:r>
      <w:r>
        <w:rPr>
          <w:rFonts w:hint="eastAsia"/>
          <w:b w:val="0"/>
          <w:bCs w:val="0"/>
          <w:color w:val="000000" w:themeColor="text1"/>
          <w:highlight w:val="none"/>
          <w:lang w:val="en-US" w:eastAsia="zh-CN"/>
          <w14:textFill>
            <w14:solidFill>
              <w14:schemeClr w14:val="tx1"/>
            </w14:solidFill>
          </w14:textFill>
        </w:rPr>
        <w:t> </w:t>
      </w:r>
    </w:p>
    <w:p w14:paraId="0464BFFF">
      <w:pPr>
        <w:pStyle w:val="6"/>
        <w:rPr>
          <w:rFonts w:hint="eastAsia"/>
          <w:b w:val="0"/>
          <w:bCs w:val="0"/>
          <w:color w:val="000000" w:themeColor="text1"/>
          <w:highlight w:val="none"/>
          <w:lang w:val="en-US" w:eastAsia="zh-CN"/>
          <w14:textFill>
            <w14:solidFill>
              <w14:schemeClr w14:val="tx1"/>
            </w14:solidFill>
          </w14:textFill>
        </w:rPr>
      </w:pPr>
    </w:p>
    <w:p w14:paraId="4269086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Sans Serif">
    <w:altName w:val="Segoe Print"/>
    <w:panose1 w:val="00000000000000000000"/>
    <w:charset w:val="00"/>
    <w:family w:val="swiss"/>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5B1369"/>
    <w:multiLevelType w:val="singleLevel"/>
    <w:tmpl w:val="385B1369"/>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913418"/>
    <w:rsid w:val="65913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1"/>
    <w:pPr>
      <w:keepNext/>
      <w:keepLines/>
      <w:spacing w:before="340" w:after="330" w:line="560" w:lineRule="exact"/>
      <w:jc w:val="center"/>
      <w:outlineLvl w:val="0"/>
    </w:pPr>
    <w:rPr>
      <w:b/>
      <w:bCs/>
      <w:kern w:val="44"/>
      <w:sz w:val="36"/>
      <w:szCs w:val="44"/>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Normal Indent"/>
    <w:basedOn w:val="1"/>
    <w:next w:val="4"/>
    <w:qFormat/>
    <w:uiPriority w:val="99"/>
    <w:pPr>
      <w:ind w:firstLine="420"/>
    </w:pPr>
    <w:rPr>
      <w:sz w:val="21"/>
    </w:rPr>
  </w:style>
  <w:style w:type="paragraph" w:styleId="4">
    <w:name w:val="Body Text First Indent 2"/>
    <w:basedOn w:val="5"/>
    <w:next w:val="3"/>
    <w:qFormat/>
    <w:uiPriority w:val="99"/>
  </w:style>
  <w:style w:type="paragraph" w:styleId="5">
    <w:name w:val="Body Text Indent"/>
    <w:basedOn w:val="1"/>
    <w:next w:val="1"/>
    <w:qFormat/>
    <w:uiPriority w:val="0"/>
    <w:pPr>
      <w:spacing w:after="120"/>
      <w:ind w:left="420" w:leftChars="200"/>
    </w:pPr>
  </w:style>
  <w:style w:type="paragraph" w:styleId="6">
    <w:name w:val="Body Text Indent 2"/>
    <w:basedOn w:val="1"/>
    <w:next w:val="4"/>
    <w:qFormat/>
    <w:uiPriority w:val="0"/>
    <w:pPr>
      <w:widowControl/>
      <w:overflowPunct w:val="0"/>
      <w:autoSpaceDE w:val="0"/>
      <w:autoSpaceDN w:val="0"/>
      <w:adjustRightInd w:val="0"/>
      <w:spacing w:line="360" w:lineRule="auto"/>
      <w:ind w:firstLine="555"/>
      <w:textAlignment w:val="baseline"/>
    </w:pPr>
    <w:rPr>
      <w:rFonts w:ascii="宋体" w:hAnsi="MS Sans Serif"/>
      <w:spacing w:val="12"/>
      <w:sz w:val="24"/>
      <w:szCs w:val="20"/>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2025-07-03T09:13:00Z</dcterms:created>
  <dc:creator>A</dc:creator>
  <cp:lastModifiedBy>A</cp:lastModifiedBy>
  <dcterms:modified xsi:type="dcterms:W3CDTF">2025-07-03T09:13:53Z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4A8AA52C2B944BAA9BE9856D158B73D3_11</vt:lpwstr>
  </property>
  <property fmtid="{D5CDD505-2E9C-101B-9397-08002B2CF9AE}" pid="4" name="KSOTemplateDocerSaveRecord">
    <vt:lpwstr>eyJoZGlkIjoiN2U0ZjkzN2MxNjBiMzg5ZjBlNjg0ZTk0MzIxMDQzZGUiLCJ1c2VySWQiOiIyMzc4MTk3NjYifQ==</vt:lpwstr>
  </property>
</Properties>
</file>