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703EC">
      <w:pPr>
        <w:pStyle w:val="13"/>
        <w:jc w:val="center"/>
        <w:outlineLvl w:val="1"/>
        <w:rPr>
          <w:rFonts w:hint="eastAsia" w:ascii="宋体" w:hAnsi="宋体" w:eastAsia="宋体" w:cs="宋体"/>
          <w:color w:val="auto"/>
          <w:sz w:val="32"/>
          <w:szCs w:val="32"/>
          <w:highlight w:val="none"/>
          <w:lang w:eastAsia="zh-CN"/>
        </w:rPr>
      </w:pPr>
      <w:bookmarkStart w:id="0" w:name="_Toc3962"/>
      <w:r>
        <w:rPr>
          <w:rFonts w:hint="eastAsia" w:ascii="宋体" w:hAnsi="宋体" w:eastAsia="宋体" w:cs="宋体"/>
          <w:b/>
          <w:color w:val="auto"/>
          <w:sz w:val="32"/>
          <w:szCs w:val="32"/>
          <w:highlight w:val="none"/>
        </w:rPr>
        <w:t>第八章</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拟签订采购合同文本</w:t>
      </w:r>
      <w:bookmarkEnd w:id="0"/>
    </w:p>
    <w:p w14:paraId="1B1CAC14">
      <w:pPr>
        <w:spacing w:line="360" w:lineRule="auto"/>
        <w:ind w:firstLine="562" w:firstLineChars="200"/>
        <w:jc w:val="center"/>
        <w:rPr>
          <w:rFonts w:hint="eastAsia" w:ascii="宋体" w:hAnsi="宋体" w:eastAsia="宋体" w:cs="宋体"/>
          <w:color w:val="auto"/>
          <w:sz w:val="24"/>
          <w:highlight w:val="none"/>
        </w:rPr>
      </w:pPr>
      <w:r>
        <w:rPr>
          <w:rFonts w:hint="eastAsia" w:ascii="宋体" w:hAnsi="宋体" w:eastAsia="宋体" w:cs="宋体"/>
          <w:b/>
          <w:bCs/>
          <w:color w:val="auto"/>
          <w:sz w:val="28"/>
          <w:szCs w:val="28"/>
          <w:highlight w:val="none"/>
          <w:lang w:val="en-US" w:eastAsia="zh-CN"/>
        </w:rPr>
        <w:t>合同主要条款</w:t>
      </w:r>
    </w:p>
    <w:p w14:paraId="0453104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本表是对合同条款的具体补充和修改，如有矛盾，应以本资料表为准。</w:t>
      </w:r>
    </w:p>
    <w:tbl>
      <w:tblPr>
        <w:tblStyle w:val="11"/>
        <w:tblW w:w="9072" w:type="dxa"/>
        <w:tblInd w:w="5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27"/>
        <w:gridCol w:w="8445"/>
      </w:tblGrid>
      <w:tr w14:paraId="45374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14:paraId="14DE9CAC">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8445" w:type="dxa"/>
            <w:vAlign w:val="center"/>
          </w:tcPr>
          <w:p w14:paraId="6B678755">
            <w:pPr>
              <w:spacing w:line="5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内      容</w:t>
            </w:r>
          </w:p>
        </w:tc>
      </w:tr>
      <w:tr w14:paraId="1DB5F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9" w:hRule="atLeast"/>
        </w:trPr>
        <w:tc>
          <w:tcPr>
            <w:tcW w:w="627" w:type="dxa"/>
            <w:vAlign w:val="center"/>
          </w:tcPr>
          <w:p w14:paraId="48640E2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45" w:type="dxa"/>
            <w:vAlign w:val="center"/>
          </w:tcPr>
          <w:p w14:paraId="359B3E79">
            <w:pPr>
              <w:spacing w:line="500" w:lineRule="exac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采购人（甲方）名称：</w:t>
            </w:r>
            <w:r>
              <w:rPr>
                <w:rFonts w:hint="eastAsia" w:ascii="宋体" w:hAnsi="宋体" w:eastAsia="宋体" w:cs="宋体"/>
                <w:color w:val="auto"/>
                <w:sz w:val="24"/>
                <w:highlight w:val="none"/>
              </w:rPr>
              <w:t>陕西省公路局</w:t>
            </w:r>
          </w:p>
          <w:p w14:paraId="30B7D1D8">
            <w:pPr>
              <w:spacing w:line="500" w:lineRule="exact"/>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地址：</w:t>
            </w:r>
            <w:r>
              <w:rPr>
                <w:rFonts w:hint="eastAsia" w:ascii="宋体" w:hAnsi="宋体" w:eastAsia="宋体" w:cs="宋体"/>
                <w:color w:val="auto"/>
                <w:kern w:val="0"/>
                <w:sz w:val="24"/>
                <w:highlight w:val="none"/>
              </w:rPr>
              <w:t>西安市含光北路110号</w:t>
            </w:r>
          </w:p>
        </w:tc>
      </w:tr>
      <w:tr w14:paraId="13B9F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627" w:type="dxa"/>
            <w:vAlign w:val="center"/>
          </w:tcPr>
          <w:p w14:paraId="690F829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45" w:type="dxa"/>
            <w:vAlign w:val="center"/>
          </w:tcPr>
          <w:p w14:paraId="5CAD3E34">
            <w:pPr>
              <w:spacing w:line="500" w:lineRule="exact"/>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供应商（乙方）：</w:t>
            </w:r>
            <w:r>
              <w:rPr>
                <w:rFonts w:hint="eastAsia" w:ascii="宋体" w:hAnsi="宋体" w:eastAsia="宋体" w:cs="宋体"/>
                <w:color w:val="auto"/>
                <w:sz w:val="24"/>
                <w:highlight w:val="none"/>
              </w:rPr>
              <w:t>成交人</w:t>
            </w:r>
          </w:p>
        </w:tc>
      </w:tr>
      <w:tr w14:paraId="268419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2" w:hRule="atLeast"/>
        </w:trPr>
        <w:tc>
          <w:tcPr>
            <w:tcW w:w="627" w:type="dxa"/>
            <w:vAlign w:val="center"/>
          </w:tcPr>
          <w:p w14:paraId="21AAC21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45" w:type="dxa"/>
            <w:vAlign w:val="center"/>
          </w:tcPr>
          <w:p w14:paraId="2FBDC5A6">
            <w:pPr>
              <w:autoSpaceDE w:val="0"/>
              <w:autoSpaceDN w:val="0"/>
              <w:adjustRightInd w:val="0"/>
              <w:spacing w:line="500" w:lineRule="exac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服务期：</w:t>
            </w:r>
            <w:r>
              <w:rPr>
                <w:rFonts w:hint="eastAsia" w:ascii="宋体" w:hAnsi="宋体" w:eastAsia="宋体" w:cs="宋体"/>
                <w:color w:val="auto"/>
                <w:kern w:val="0"/>
                <w:sz w:val="24"/>
                <w:highlight w:val="none"/>
                <w:lang w:val="en-US" w:eastAsia="zh-CN"/>
              </w:rPr>
              <w:t>自合同签订之日起</w:t>
            </w:r>
            <w:r>
              <w:rPr>
                <w:rFonts w:hint="eastAsia" w:ascii="宋体" w:hAnsi="宋体" w:cs="宋体"/>
                <w:color w:val="auto"/>
                <w:kern w:val="0"/>
                <w:sz w:val="24"/>
                <w:highlight w:val="none"/>
                <w:lang w:val="en-US" w:eastAsia="zh-CN"/>
              </w:rPr>
              <w:t>150</w:t>
            </w:r>
            <w:r>
              <w:rPr>
                <w:rFonts w:hint="eastAsia" w:ascii="宋体" w:hAnsi="宋体" w:eastAsia="宋体" w:cs="宋体"/>
                <w:color w:val="auto"/>
                <w:kern w:val="0"/>
                <w:sz w:val="24"/>
                <w:highlight w:val="none"/>
                <w:lang w:val="en-US" w:eastAsia="zh-CN"/>
              </w:rPr>
              <w:t>日历天</w:t>
            </w:r>
            <w:r>
              <w:rPr>
                <w:rFonts w:hint="eastAsia" w:ascii="宋体" w:hAnsi="宋体" w:eastAsia="宋体" w:cs="宋体"/>
                <w:color w:val="auto"/>
                <w:kern w:val="0"/>
                <w:sz w:val="24"/>
                <w:highlight w:val="none"/>
              </w:rPr>
              <w:t>。</w:t>
            </w:r>
          </w:p>
        </w:tc>
      </w:tr>
      <w:tr w14:paraId="2D637C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2" w:hRule="atLeast"/>
        </w:trPr>
        <w:tc>
          <w:tcPr>
            <w:tcW w:w="627" w:type="dxa"/>
            <w:vAlign w:val="center"/>
          </w:tcPr>
          <w:p w14:paraId="735CD384">
            <w:pPr>
              <w:spacing w:line="5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8445" w:type="dxa"/>
            <w:vAlign w:val="center"/>
          </w:tcPr>
          <w:p w14:paraId="13FDE764">
            <w:pPr>
              <w:autoSpaceDE w:val="0"/>
              <w:autoSpaceDN w:val="0"/>
              <w:adjustRightInd w:val="0"/>
              <w:spacing w:line="50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质保期：</w:t>
            </w:r>
            <w:r>
              <w:rPr>
                <w:rFonts w:hint="eastAsia" w:ascii="宋体" w:hAnsi="宋体" w:eastAsia="宋体" w:cs="宋体"/>
                <w:color w:val="auto"/>
                <w:kern w:val="0"/>
                <w:sz w:val="24"/>
                <w:highlight w:val="none"/>
                <w:lang w:val="en-US" w:eastAsia="zh-CN"/>
              </w:rPr>
              <w:t>验收合格后1年。</w:t>
            </w:r>
          </w:p>
        </w:tc>
      </w:tr>
      <w:tr w14:paraId="39F71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14:paraId="364301C7">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5</w:t>
            </w:r>
          </w:p>
        </w:tc>
        <w:tc>
          <w:tcPr>
            <w:tcW w:w="8445" w:type="dxa"/>
            <w:vAlign w:val="center"/>
          </w:tcPr>
          <w:p w14:paraId="4CFD65F7">
            <w:pPr>
              <w:spacing w:line="50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结算单位：</w:t>
            </w:r>
          </w:p>
          <w:p w14:paraId="5BF3FA9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采购人结算，在付款前供应商必须开具</w:t>
            </w:r>
            <w:r>
              <w:rPr>
                <w:rFonts w:hint="eastAsia" w:ascii="宋体" w:hAnsi="宋体" w:cs="宋体"/>
                <w:color w:val="auto"/>
                <w:sz w:val="24"/>
                <w:szCs w:val="24"/>
                <w:highlight w:val="none"/>
                <w:lang w:val="en-US" w:eastAsia="zh-CN"/>
              </w:rPr>
              <w:t>等额</w:t>
            </w:r>
            <w:r>
              <w:rPr>
                <w:rFonts w:hint="eastAsia" w:ascii="宋体" w:hAnsi="宋体" w:eastAsia="宋体" w:cs="宋体"/>
                <w:color w:val="auto"/>
                <w:sz w:val="24"/>
                <w:szCs w:val="24"/>
                <w:highlight w:val="none"/>
                <w:lang w:val="en-US" w:eastAsia="zh-CN"/>
              </w:rPr>
              <w:t>增值税专用发票/普通发票给采购人。否则，采购人有权拒绝付款且不承担迟延支付的违约责任。</w:t>
            </w:r>
          </w:p>
          <w:p w14:paraId="669E40BA">
            <w:pPr>
              <w:spacing w:line="50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付款方式：</w:t>
            </w:r>
          </w:p>
          <w:p w14:paraId="45D0F6F7">
            <w:pPr>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付款条件说明：领取中标通知书后，合同签订前，供应商向采购人支付合同金额5%的履约保证金。合同签订后，供应商开具等额增值增税专用/普通发票后，采购人向供应商支付（银行转账） ，达到付款条件起 30 日内，支付合同总金额的 60.00%。 </w:t>
            </w:r>
          </w:p>
          <w:p w14:paraId="148762FF">
            <w:pPr>
              <w:spacing w:line="500" w:lineRule="exact"/>
              <w:ind w:firstLine="480" w:firstLineChars="200"/>
              <w:rPr>
                <w:rFonts w:hint="eastAsia"/>
                <w:color w:val="auto"/>
                <w:highlight w:val="none"/>
              </w:rPr>
            </w:pPr>
            <w:r>
              <w:rPr>
                <w:rFonts w:hint="eastAsia" w:ascii="宋体" w:hAnsi="宋体" w:eastAsia="宋体" w:cs="宋体"/>
                <w:color w:val="auto"/>
                <w:sz w:val="24"/>
                <w:szCs w:val="24"/>
                <w:highlight w:val="none"/>
                <w:lang w:val="en-US" w:eastAsia="zh-CN"/>
              </w:rPr>
              <w:t xml:space="preserve">付款条件说明：项目经第三方检测机构检测合格后，供应商开具等额增值增税专用/普通发票后，采购人向供应商支付（银行转账） ，达到付款条件起 30 日内，支付合同总金额的 40.00%。 </w:t>
            </w:r>
          </w:p>
        </w:tc>
      </w:tr>
      <w:tr w14:paraId="1E2E8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1" w:hRule="atLeast"/>
        </w:trPr>
        <w:tc>
          <w:tcPr>
            <w:tcW w:w="627" w:type="dxa"/>
            <w:vAlign w:val="center"/>
          </w:tcPr>
          <w:p w14:paraId="1C2F0789">
            <w:pPr>
              <w:spacing w:line="5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p>
        </w:tc>
        <w:tc>
          <w:tcPr>
            <w:tcW w:w="8445" w:type="dxa"/>
            <w:vAlign w:val="center"/>
          </w:tcPr>
          <w:p w14:paraId="73ACB94C">
            <w:pPr>
              <w:spacing w:line="44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验收方式：</w:t>
            </w:r>
          </w:p>
          <w:p w14:paraId="4902ACE2">
            <w:pPr>
              <w:pStyle w:val="13"/>
              <w:spacing w:line="360" w:lineRule="auto"/>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cs="宋体"/>
                <w:color w:val="auto"/>
                <w:kern w:val="0"/>
                <w:sz w:val="24"/>
                <w:szCs w:val="24"/>
                <w:highlight w:val="none"/>
                <w:lang w:val="en-US" w:eastAsia="zh-CN" w:bidi="ar-SA"/>
              </w:rPr>
              <w:t>一</w:t>
            </w:r>
            <w:r>
              <w:rPr>
                <w:rFonts w:hint="eastAsia" w:ascii="宋体" w:hAnsi="宋体" w:eastAsia="宋体" w:cs="宋体"/>
                <w:color w:val="auto"/>
                <w:kern w:val="0"/>
                <w:sz w:val="24"/>
                <w:szCs w:val="24"/>
                <w:highlight w:val="none"/>
                <w:lang w:val="en-US" w:eastAsia="zh-CN" w:bidi="ar-SA"/>
              </w:rPr>
              <w:t>、该项目完工后，系统试运行通过后，供应商向采购人申请验收，经双方共同确认的</w:t>
            </w:r>
            <w:r>
              <w:rPr>
                <w:rFonts w:hint="eastAsia" w:ascii="宋体" w:hAnsi="宋体" w:cs="宋体"/>
                <w:color w:val="auto"/>
                <w:kern w:val="0"/>
                <w:sz w:val="24"/>
                <w:szCs w:val="24"/>
                <w:highlight w:val="none"/>
                <w:lang w:val="en-US" w:eastAsia="zh-CN" w:bidi="ar-SA"/>
              </w:rPr>
              <w:t>第三方检测机构检测合格后</w:t>
            </w:r>
            <w:r>
              <w:rPr>
                <w:rFonts w:hint="eastAsia" w:ascii="宋体" w:hAnsi="宋体" w:eastAsia="宋体" w:cs="宋体"/>
                <w:color w:val="auto"/>
                <w:kern w:val="0"/>
                <w:sz w:val="24"/>
                <w:szCs w:val="24"/>
                <w:highlight w:val="none"/>
                <w:lang w:val="en-US" w:eastAsia="zh-CN" w:bidi="ar-SA"/>
              </w:rPr>
              <w:t>，采购人组织相关人员或专家组成验收小组对项目进行最终验收。验收合格后，采购人填写终验验收单，验收不合格的，限期整改，整改过程中产生的费用和发生的一切损失由供应商承担</w:t>
            </w:r>
            <w:r>
              <w:rPr>
                <w:rFonts w:hint="eastAsia" w:ascii="宋体" w:hAnsi="宋体" w:cs="宋体"/>
                <w:color w:val="auto"/>
                <w:kern w:val="0"/>
                <w:sz w:val="24"/>
                <w:szCs w:val="24"/>
                <w:highlight w:val="none"/>
                <w:lang w:val="en-US" w:eastAsia="zh-CN" w:bidi="ar-SA"/>
              </w:rPr>
              <w:t>。</w:t>
            </w:r>
            <w:r>
              <w:rPr>
                <w:rFonts w:hint="eastAsia" w:ascii="宋体" w:hAnsi="宋体" w:eastAsia="宋体" w:cs="宋体"/>
                <w:color w:val="auto"/>
                <w:kern w:val="0"/>
                <w:sz w:val="24"/>
                <w:szCs w:val="24"/>
                <w:highlight w:val="none"/>
                <w:lang w:val="en-US" w:eastAsia="zh-CN" w:bidi="ar-SA"/>
              </w:rPr>
              <w:t>整改超过二次的，采购人有权单方解除本合同，供应商应无条件退还已收取的全部合同价款，并按合同总价10%向采购人支付违约金，违约金不足弥补采购人损失的，由供应商负责赔偿。</w:t>
            </w:r>
          </w:p>
          <w:p w14:paraId="2366F853">
            <w:pPr>
              <w:pStyle w:val="13"/>
              <w:spacing w:line="360" w:lineRule="auto"/>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cs="宋体"/>
                <w:color w:val="auto"/>
                <w:kern w:val="0"/>
                <w:sz w:val="24"/>
                <w:szCs w:val="24"/>
                <w:highlight w:val="none"/>
                <w:lang w:val="en-US" w:eastAsia="zh-CN" w:bidi="ar-SA"/>
              </w:rPr>
              <w:t>二</w:t>
            </w:r>
            <w:r>
              <w:rPr>
                <w:rFonts w:hint="eastAsia" w:ascii="宋体" w:hAnsi="宋体" w:eastAsia="宋体" w:cs="宋体"/>
                <w:color w:val="auto"/>
                <w:kern w:val="0"/>
                <w:sz w:val="24"/>
                <w:szCs w:val="24"/>
                <w:highlight w:val="none"/>
                <w:lang w:val="en-US" w:eastAsia="zh-CN" w:bidi="ar-SA"/>
              </w:rPr>
              <w:t>、验收依据：</w:t>
            </w:r>
          </w:p>
          <w:p w14:paraId="3A03BBD5">
            <w:pPr>
              <w:pStyle w:val="13"/>
              <w:spacing w:line="360" w:lineRule="auto"/>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（一）本合同及附加文本；</w:t>
            </w:r>
          </w:p>
          <w:p w14:paraId="251A1623">
            <w:pPr>
              <w:pStyle w:val="13"/>
              <w:spacing w:line="360" w:lineRule="auto"/>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（二）磋商文件、成交供应商的响应文件及澄清（承诺）函；</w:t>
            </w:r>
          </w:p>
          <w:p w14:paraId="30001A63">
            <w:pPr>
              <w:pStyle w:val="13"/>
              <w:spacing w:line="360" w:lineRule="auto"/>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（三）《陕西省公路网管理与应急指挥系统升级项目实施方案》；</w:t>
            </w:r>
          </w:p>
          <w:p w14:paraId="05926B6D">
            <w:pPr>
              <w:pStyle w:val="13"/>
              <w:spacing w:line="360" w:lineRule="auto"/>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（四）</w:t>
            </w:r>
            <w:r>
              <w:rPr>
                <w:rFonts w:hint="eastAsia" w:ascii="宋体" w:hAnsi="宋体" w:cs="宋体"/>
                <w:color w:val="auto"/>
                <w:kern w:val="0"/>
                <w:sz w:val="24"/>
                <w:szCs w:val="24"/>
                <w:highlight w:val="none"/>
                <w:lang w:val="en-US" w:eastAsia="zh-CN" w:bidi="ar-SA"/>
              </w:rPr>
              <w:t>第三方检测机构出具的检测报告</w:t>
            </w:r>
            <w:r>
              <w:rPr>
                <w:rFonts w:hint="eastAsia" w:ascii="宋体" w:hAnsi="宋体" w:eastAsia="宋体" w:cs="宋体"/>
                <w:color w:val="auto"/>
                <w:kern w:val="0"/>
                <w:sz w:val="24"/>
                <w:szCs w:val="24"/>
                <w:highlight w:val="none"/>
                <w:lang w:val="en-US" w:eastAsia="zh-CN" w:bidi="ar-SA"/>
              </w:rPr>
              <w:t>；</w:t>
            </w:r>
          </w:p>
          <w:p w14:paraId="6D261141">
            <w:pPr>
              <w:pStyle w:val="1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szCs w:val="24"/>
                <w:highlight w:val="none"/>
                <w:lang w:val="en-US" w:eastAsia="zh-CN" w:bidi="ar-SA"/>
              </w:rPr>
              <w:t>（五）国家相应的标准、规范及《陕西省公路局政府采购项目履约验收办法》。</w:t>
            </w:r>
          </w:p>
        </w:tc>
      </w:tr>
      <w:tr w14:paraId="507BF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0146A305">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7</w:t>
            </w:r>
          </w:p>
        </w:tc>
        <w:tc>
          <w:tcPr>
            <w:tcW w:w="8445" w:type="dxa"/>
            <w:vAlign w:val="center"/>
          </w:tcPr>
          <w:p w14:paraId="22B5189D">
            <w:pPr>
              <w:spacing w:line="500" w:lineRule="exact"/>
              <w:ind w:left="360" w:hanging="361" w:hangingChars="150"/>
              <w:rPr>
                <w:rFonts w:hint="eastAsia" w:ascii="宋体" w:hAnsi="宋体" w:eastAsia="宋体" w:cs="宋体"/>
                <w:b/>
                <w:bCs/>
                <w:color w:val="auto"/>
                <w:sz w:val="24"/>
                <w:highlight w:val="none"/>
              </w:rPr>
            </w:pPr>
            <w:r>
              <w:rPr>
                <w:rFonts w:hint="eastAsia" w:ascii="宋体" w:hAnsi="宋体" w:cs="宋体"/>
                <w:b/>
                <w:bCs/>
                <w:color w:val="auto"/>
                <w:sz w:val="24"/>
                <w:highlight w:val="none"/>
                <w:lang w:val="en-US" w:eastAsia="zh-CN"/>
              </w:rPr>
              <w:t>服务保障</w:t>
            </w:r>
            <w:r>
              <w:rPr>
                <w:rFonts w:hint="eastAsia" w:ascii="宋体" w:hAnsi="宋体" w:eastAsia="宋体" w:cs="宋体"/>
                <w:b/>
                <w:bCs/>
                <w:color w:val="auto"/>
                <w:sz w:val="24"/>
                <w:highlight w:val="none"/>
              </w:rPr>
              <w:t>：</w:t>
            </w:r>
          </w:p>
          <w:p w14:paraId="1C5A09B9">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一、本项目采购预算中包含第三方检测、履约验收等费用，供应商在报价中需包含第三方检测、履约验收等费用。</w:t>
            </w:r>
          </w:p>
          <w:p w14:paraId="3CE581D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二、供应商</w:t>
            </w:r>
            <w:r>
              <w:rPr>
                <w:rFonts w:hint="eastAsia" w:ascii="宋体" w:hAnsi="宋体" w:eastAsia="宋体" w:cs="宋体"/>
                <w:color w:val="auto"/>
                <w:sz w:val="24"/>
                <w:szCs w:val="24"/>
                <w:highlight w:val="none"/>
                <w:lang w:val="en-US" w:eastAsia="zh-CN"/>
              </w:rPr>
              <w:t>应保障本次项目开发中项目负责人及项目团队成员身份信息的真实可靠，必须具备项目管理、技术开发、故障处置等方面的服务能力，应按照合同约定的服务期限，如期完成项目开发任务。</w:t>
            </w:r>
          </w:p>
          <w:p w14:paraId="651091C9">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三、供应商</w:t>
            </w:r>
            <w:r>
              <w:rPr>
                <w:rFonts w:hint="eastAsia" w:ascii="宋体" w:hAnsi="宋体" w:eastAsia="宋体" w:cs="宋体"/>
                <w:color w:val="auto"/>
                <w:sz w:val="24"/>
                <w:szCs w:val="24"/>
                <w:highlight w:val="none"/>
                <w:lang w:val="en-US" w:eastAsia="zh-CN"/>
              </w:rPr>
              <w:t>应采取必要措施确保项目团队人员长期稳定。</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在项目服务期内不得自行随意更换项目负责人，如需必要更换，必须征得</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CN"/>
              </w:rPr>
              <w:t>同意。因</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原因造成项目负责人及团队成员变更，致使项目未按照约定期限如期完工的，由此</w:t>
            </w:r>
            <w:r>
              <w:rPr>
                <w:rFonts w:hint="eastAsia" w:ascii="宋体" w:hAnsi="宋体" w:eastAsia="宋体" w:cs="宋体"/>
                <w:color w:val="auto"/>
                <w:sz w:val="24"/>
                <w:szCs w:val="24"/>
                <w:highlight w:val="none"/>
              </w:rPr>
              <w:t>给</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rPr>
              <w:t>造成</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损失，由</w:t>
            </w:r>
            <w:r>
              <w:rPr>
                <w:rFonts w:hint="eastAsia" w:ascii="宋体" w:hAnsi="宋体" w:cs="宋体"/>
                <w:color w:val="auto"/>
                <w:sz w:val="24"/>
                <w:szCs w:val="24"/>
                <w:highlight w:val="none"/>
                <w:lang w:val="en-US" w:eastAsia="zh-CN"/>
              </w:rPr>
              <w:t>供应商</w:t>
            </w:r>
            <w:bookmarkStart w:id="2" w:name="_GoBack"/>
            <w:bookmarkEnd w:id="2"/>
            <w:r>
              <w:rPr>
                <w:rFonts w:hint="eastAsia" w:ascii="宋体" w:hAnsi="宋体" w:eastAsia="宋体" w:cs="宋体"/>
                <w:color w:val="auto"/>
                <w:sz w:val="24"/>
                <w:szCs w:val="24"/>
                <w:highlight w:val="none"/>
                <w:lang w:val="en-US" w:eastAsia="zh-CN"/>
              </w:rPr>
              <w:t>负责</w:t>
            </w:r>
            <w:r>
              <w:rPr>
                <w:rFonts w:hint="eastAsia" w:ascii="宋体" w:hAnsi="宋体" w:eastAsia="宋体" w:cs="宋体"/>
                <w:color w:val="auto"/>
                <w:sz w:val="24"/>
                <w:szCs w:val="24"/>
                <w:highlight w:val="none"/>
              </w:rPr>
              <w:t>赔偿。</w:t>
            </w:r>
          </w:p>
          <w:p w14:paraId="101B816F">
            <w:pPr>
              <w:spacing w:line="360" w:lineRule="auto"/>
              <w:ind w:firstLine="480" w:firstLineChars="200"/>
              <w:jc w:val="both"/>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技术支持和售后服务由</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严格按投标（响应）文件及有关承诺执行，确保采购人正确安全使用。</w:t>
            </w:r>
            <w:r>
              <w:rPr>
                <w:rFonts w:hint="eastAsia" w:ascii="宋体" w:hAnsi="宋体" w:eastAsia="宋体" w:cs="宋体"/>
                <w:color w:val="auto"/>
                <w:sz w:val="24"/>
                <w:szCs w:val="24"/>
                <w:highlight w:val="none"/>
                <w:lang w:val="en-US" w:eastAsia="zh-CN"/>
              </w:rPr>
              <w:t>出现任何系统故障及问题，</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需第一时间免费提供应急响应服务，需提供7*24小时电话咨询支持，1小时内应急响应，2小时内给出问题解决方案，如有需要24小时内到达故障现场解决问题。如未能到达现场，采购人则聘请第三方应急解决问题，在此过程所产生的所有费用由供应商承担。</w:t>
            </w:r>
            <w:r>
              <w:rPr>
                <w:rFonts w:hint="eastAsia" w:ascii="宋体" w:hAnsi="宋体" w:eastAsia="宋体" w:cs="宋体"/>
                <w:color w:val="auto"/>
                <w:sz w:val="24"/>
                <w:szCs w:val="24"/>
                <w:highlight w:val="none"/>
              </w:rPr>
              <w:t>售后服务联系方式：</w:t>
            </w:r>
            <w:r>
              <w:rPr>
                <w:rFonts w:hint="eastAsia" w:ascii="宋体" w:hAnsi="宋体" w:eastAsia="宋体" w:cs="宋体"/>
                <w:color w:val="auto"/>
                <w:sz w:val="24"/>
                <w:szCs w:val="24"/>
                <w:highlight w:val="none"/>
                <w:lang w:val="en-US" w:eastAsia="zh-CN"/>
              </w:rPr>
              <w:t xml:space="preserve">            。</w:t>
            </w:r>
          </w:p>
          <w:p w14:paraId="0E6F7271">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szCs w:val="24"/>
                <w:highlight w:val="none"/>
              </w:rPr>
              <w:t>如</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怠</w:t>
            </w:r>
            <w:r>
              <w:rPr>
                <w:rFonts w:hint="eastAsia" w:ascii="宋体" w:hAnsi="宋体" w:eastAsia="宋体" w:cs="宋体"/>
                <w:color w:val="auto"/>
                <w:sz w:val="24"/>
                <w:szCs w:val="24"/>
                <w:highlight w:val="none"/>
                <w:lang w:val="en-US" w:eastAsia="zh-CN"/>
              </w:rPr>
              <w:t>慢</w:t>
            </w:r>
            <w:r>
              <w:rPr>
                <w:rFonts w:hint="eastAsia" w:ascii="宋体" w:hAnsi="宋体" w:eastAsia="宋体" w:cs="宋体"/>
                <w:color w:val="auto"/>
                <w:sz w:val="24"/>
                <w:szCs w:val="24"/>
                <w:highlight w:val="none"/>
              </w:rPr>
              <w:t>或不能履行售后义务，</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rPr>
              <w:t>有权委托第三方处理，由此产生的费用和风险由</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承担，费用由</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履约</w:t>
            </w:r>
            <w:r>
              <w:rPr>
                <w:rFonts w:hint="eastAsia" w:ascii="宋体" w:hAnsi="宋体" w:eastAsia="宋体" w:cs="宋体"/>
                <w:color w:val="auto"/>
                <w:sz w:val="24"/>
                <w:szCs w:val="24"/>
                <w:highlight w:val="none"/>
              </w:rPr>
              <w:t>保</w:t>
            </w:r>
            <w:r>
              <w:rPr>
                <w:rFonts w:hint="eastAsia" w:ascii="宋体" w:hAnsi="宋体" w:eastAsia="宋体" w:cs="宋体"/>
                <w:color w:val="auto"/>
                <w:sz w:val="24"/>
                <w:szCs w:val="24"/>
                <w:highlight w:val="none"/>
                <w:lang w:val="en-US" w:eastAsia="zh-CN"/>
              </w:rPr>
              <w:t>证</w:t>
            </w:r>
            <w:r>
              <w:rPr>
                <w:rFonts w:hint="eastAsia" w:ascii="宋体" w:hAnsi="宋体" w:eastAsia="宋体" w:cs="宋体"/>
                <w:color w:val="auto"/>
                <w:sz w:val="24"/>
                <w:szCs w:val="24"/>
                <w:highlight w:val="none"/>
              </w:rPr>
              <w:t>金中直接扣除，不足部分仍由供应商承担。</w:t>
            </w:r>
          </w:p>
        </w:tc>
      </w:tr>
      <w:tr w14:paraId="4F2934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3FFB33CE">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8</w:t>
            </w:r>
          </w:p>
        </w:tc>
        <w:tc>
          <w:tcPr>
            <w:tcW w:w="8445" w:type="dxa"/>
            <w:vAlign w:val="center"/>
          </w:tcPr>
          <w:p w14:paraId="27D85B43">
            <w:pPr>
              <w:spacing w:line="500" w:lineRule="exact"/>
              <w:ind w:left="360" w:hanging="361" w:hangingChars="15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解决合同纠纷的方式：</w:t>
            </w:r>
          </w:p>
          <w:p w14:paraId="163E2344">
            <w:pPr>
              <w:spacing w:line="500" w:lineRule="exact"/>
              <w:ind w:left="17" w:leftChars="8" w:firstLine="400" w:firstLineChars="167"/>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合同执行中发生争议的，当事人双方应协商解决。协商达不成一致时，可向采购人所在地人民法院提请诉讼。</w:t>
            </w:r>
          </w:p>
        </w:tc>
      </w:tr>
      <w:tr w14:paraId="460162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62ED282C">
            <w:pPr>
              <w:spacing w:line="5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w:t>
            </w:r>
          </w:p>
        </w:tc>
        <w:tc>
          <w:tcPr>
            <w:tcW w:w="8445" w:type="dxa"/>
            <w:vAlign w:val="center"/>
          </w:tcPr>
          <w:p w14:paraId="50836E66">
            <w:pPr>
              <w:spacing w:line="500" w:lineRule="exact"/>
              <w:ind w:left="360" w:hanging="361" w:hangingChars="15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违约责任：</w:t>
            </w:r>
          </w:p>
          <w:p w14:paraId="701EC6CC">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甲方的违约责任</w:t>
            </w:r>
          </w:p>
          <w:p w14:paraId="2634DB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Hans"/>
              </w:rPr>
              <w:t>合同签订后，乙方应将所需技术资料、数据的内容及标准以书面形式告知甲方，甲方未提供合同约定的技术资料，或者所提供的数据、资料不满足要求，造成工作延迟或者影响工作质量，甲方应承担相应责任</w:t>
            </w:r>
            <w:r>
              <w:rPr>
                <w:rFonts w:hint="eastAsia" w:ascii="宋体" w:hAnsi="宋体" w:eastAsia="宋体" w:cs="宋体"/>
                <w:color w:val="auto"/>
                <w:sz w:val="24"/>
                <w:szCs w:val="24"/>
                <w:highlight w:val="none"/>
              </w:rPr>
              <w:t>。</w:t>
            </w:r>
          </w:p>
          <w:p w14:paraId="6AE2134D">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乙方的违约责任</w:t>
            </w:r>
          </w:p>
          <w:p w14:paraId="2B1401B0">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rPr>
              <w:t>乙方迟延完成</w:t>
            </w:r>
            <w:r>
              <w:rPr>
                <w:rFonts w:hint="eastAsia" w:ascii="宋体" w:hAnsi="宋体" w:eastAsia="宋体" w:cs="宋体"/>
                <w:color w:val="auto"/>
                <w:sz w:val="24"/>
                <w:szCs w:val="24"/>
                <w:highlight w:val="none"/>
                <w:lang w:val="en-US" w:eastAsia="zh-CN"/>
              </w:rPr>
              <w:t>项目任务</w:t>
            </w:r>
            <w:r>
              <w:rPr>
                <w:rFonts w:hint="eastAsia" w:ascii="宋体" w:hAnsi="宋体" w:eastAsia="宋体" w:cs="宋体"/>
                <w:color w:val="auto"/>
                <w:sz w:val="24"/>
                <w:szCs w:val="24"/>
                <w:highlight w:val="none"/>
              </w:rPr>
              <w:t>，每延迟一天按照合同金额的</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rPr>
              <w:t>%应向甲方支付违约金；逾期</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天以上的，甲方有权随时解除合同。乙方应退还已收取的全部价款，给甲方造成损失的还应予以赔偿</w:t>
            </w:r>
            <w:r>
              <w:rPr>
                <w:rFonts w:hint="eastAsia" w:ascii="宋体" w:hAnsi="宋体" w:eastAsia="宋体" w:cs="宋体"/>
                <w:color w:val="auto"/>
                <w:sz w:val="24"/>
                <w:szCs w:val="24"/>
                <w:highlight w:val="none"/>
                <w:lang w:eastAsia="zh-CN"/>
              </w:rPr>
              <w:t>。</w:t>
            </w:r>
          </w:p>
          <w:p w14:paraId="6B9AB5E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rPr>
              <w:t>乙方因</w:t>
            </w:r>
            <w:r>
              <w:rPr>
                <w:rFonts w:hint="eastAsia" w:ascii="宋体" w:hAnsi="宋体" w:eastAsia="宋体" w:cs="宋体"/>
                <w:color w:val="auto"/>
                <w:sz w:val="24"/>
                <w:szCs w:val="24"/>
                <w:highlight w:val="none"/>
                <w:lang w:val="en-US" w:eastAsia="zh-CN"/>
              </w:rPr>
              <w:t>开发</w:t>
            </w:r>
            <w:r>
              <w:rPr>
                <w:rFonts w:hint="eastAsia" w:ascii="宋体" w:hAnsi="宋体" w:eastAsia="宋体" w:cs="宋体"/>
                <w:color w:val="auto"/>
                <w:sz w:val="24"/>
                <w:szCs w:val="24"/>
                <w:highlight w:val="none"/>
              </w:rPr>
              <w:t>不当使系统无法继续使用的，甲方有权扣除支付合同总价款</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%的违约金，违约金不足以弥补因此对甲方造成的损失，乙方应予以赔偿。</w:t>
            </w:r>
          </w:p>
          <w:p w14:paraId="4EEF706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rPr>
              <w:t>乙方未在指定期限内全额缴纳履约保证金，甲方有权取消</w:t>
            </w:r>
            <w:r>
              <w:rPr>
                <w:rFonts w:hint="eastAsia" w:ascii="宋体" w:hAnsi="宋体" w:eastAsia="宋体" w:cs="宋体"/>
                <w:color w:val="auto"/>
                <w:sz w:val="24"/>
                <w:szCs w:val="24"/>
                <w:highlight w:val="none"/>
                <w:lang w:val="en-US" w:eastAsia="zh-CN"/>
              </w:rPr>
              <w:t>其</w:t>
            </w:r>
            <w:r>
              <w:rPr>
                <w:rFonts w:hint="eastAsia" w:ascii="宋体" w:hAnsi="宋体" w:eastAsia="宋体" w:cs="宋体"/>
                <w:color w:val="auto"/>
                <w:sz w:val="24"/>
                <w:szCs w:val="24"/>
                <w:highlight w:val="none"/>
              </w:rPr>
              <w:t>中标资格或随时解除合同。</w:t>
            </w:r>
          </w:p>
          <w:p w14:paraId="648DB937">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lang w:val="en-US" w:eastAsia="zh-CN"/>
              </w:rPr>
              <w:t>每发现一次乙方项目负责人或团队技术人员随意变更，乙方向甲方承担合同总价款【2】%的违约金；</w:t>
            </w:r>
          </w:p>
          <w:p w14:paraId="094A779A">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每发现一次乙方服务不符合甲方要求或合同约定，</w:t>
            </w:r>
            <w:r>
              <w:rPr>
                <w:rFonts w:hint="eastAsia" w:ascii="宋体" w:hAnsi="宋体" w:cs="宋体"/>
                <w:color w:val="auto"/>
                <w:sz w:val="24"/>
                <w:szCs w:val="24"/>
                <w:highlight w:val="none"/>
                <w:lang w:val="en-US" w:eastAsia="zh-CN"/>
              </w:rPr>
              <w:t>且不能在服务期内及时整改的，</w:t>
            </w:r>
            <w:r>
              <w:rPr>
                <w:rFonts w:hint="eastAsia" w:ascii="宋体" w:hAnsi="宋体" w:eastAsia="宋体" w:cs="宋体"/>
                <w:color w:val="auto"/>
                <w:sz w:val="24"/>
                <w:szCs w:val="24"/>
                <w:highlight w:val="none"/>
                <w:lang w:val="en-US" w:eastAsia="zh-CN"/>
              </w:rPr>
              <w:t>乙方向甲方承担合同总价款【2】%的违约金，对甲方造成损失的，乙方还应予以赔偿，发现【3】次的，甲方有权单方解除合同并保留追究乙方违约责任的权利。</w:t>
            </w:r>
          </w:p>
          <w:p w14:paraId="32120B37">
            <w:pPr>
              <w:spacing w:line="360" w:lineRule="auto"/>
              <w:ind w:firstLine="480" w:firstLineChars="200"/>
              <w:jc w:val="both"/>
              <w:rPr>
                <w:rFonts w:hint="eastAsia" w:ascii="宋体" w:hAnsi="宋体" w:eastAsia="宋体" w:cs="宋体"/>
                <w:color w:val="auto"/>
                <w:sz w:val="24"/>
                <w:highlight w:val="none"/>
              </w:rPr>
            </w:pPr>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lang w:val="en-US" w:eastAsia="zh-CN"/>
              </w:rPr>
              <w:t>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tc>
      </w:tr>
    </w:tbl>
    <w:p w14:paraId="1757F704">
      <w:pPr>
        <w:pStyle w:val="13"/>
        <w:rPr>
          <w:rFonts w:hint="eastAsia" w:ascii="宋体" w:hAnsi="宋体" w:eastAsia="宋体" w:cs="宋体"/>
          <w:color w:val="auto"/>
          <w:highlight w:val="none"/>
        </w:rPr>
      </w:pPr>
    </w:p>
    <w:p w14:paraId="55CAF2E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A47E2E8">
      <w:pPr>
        <w:pStyle w:val="1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详见附件：合同</w:t>
      </w:r>
      <w:r>
        <w:rPr>
          <w:rFonts w:hint="eastAsia" w:ascii="宋体" w:hAnsi="宋体" w:eastAsia="宋体" w:cs="宋体"/>
          <w:b/>
          <w:bCs/>
          <w:color w:val="auto"/>
          <w:sz w:val="24"/>
          <w:szCs w:val="24"/>
          <w:highlight w:val="none"/>
          <w:lang w:val="en-US" w:eastAsia="zh-CN"/>
        </w:rPr>
        <w:t>文本</w:t>
      </w:r>
      <w:r>
        <w:rPr>
          <w:rFonts w:hint="eastAsia" w:ascii="宋体" w:hAnsi="宋体" w:eastAsia="宋体" w:cs="宋体"/>
          <w:b/>
          <w:bCs/>
          <w:color w:val="auto"/>
          <w:sz w:val="24"/>
          <w:szCs w:val="24"/>
          <w:highlight w:val="none"/>
        </w:rPr>
        <w:t>.docx</w:t>
      </w:r>
    </w:p>
    <w:p w14:paraId="75059D38">
      <w:pPr>
        <w:pStyle w:val="13"/>
        <w:rPr>
          <w:rFonts w:hint="eastAsia" w:ascii="宋体" w:hAnsi="宋体" w:eastAsia="宋体" w:cs="宋体"/>
          <w:b/>
          <w:bCs/>
          <w:color w:val="auto"/>
          <w:sz w:val="24"/>
          <w:szCs w:val="24"/>
          <w:highlight w:val="none"/>
        </w:rPr>
      </w:pPr>
    </w:p>
    <w:p w14:paraId="3755060A">
      <w:pPr>
        <w:pStyle w:val="13"/>
        <w:rPr>
          <w:rFonts w:hint="eastAsia" w:ascii="宋体" w:hAnsi="宋体" w:eastAsia="宋体" w:cs="宋体"/>
          <w:b/>
          <w:bCs/>
          <w:color w:val="auto"/>
          <w:sz w:val="24"/>
          <w:szCs w:val="24"/>
          <w:highlight w:val="none"/>
        </w:rPr>
      </w:pPr>
    </w:p>
    <w:p w14:paraId="792A9203">
      <w:pPr>
        <w:pStyle w:val="13"/>
        <w:rPr>
          <w:rFonts w:hint="eastAsia" w:ascii="宋体" w:hAnsi="宋体" w:eastAsia="宋体" w:cs="宋体"/>
          <w:b/>
          <w:bCs/>
          <w:color w:val="auto"/>
          <w:sz w:val="24"/>
          <w:szCs w:val="24"/>
          <w:highlight w:val="none"/>
        </w:rPr>
      </w:pPr>
    </w:p>
    <w:p w14:paraId="2B54978C">
      <w:pPr>
        <w:pStyle w:val="13"/>
        <w:rPr>
          <w:rFonts w:hint="eastAsia" w:ascii="宋体" w:hAnsi="宋体" w:eastAsia="宋体" w:cs="宋体"/>
          <w:b/>
          <w:bCs/>
          <w:color w:val="auto"/>
          <w:sz w:val="24"/>
          <w:szCs w:val="24"/>
          <w:highlight w:val="none"/>
        </w:rPr>
      </w:pPr>
    </w:p>
    <w:p w14:paraId="7FB97518">
      <w:pPr>
        <w:pStyle w:val="13"/>
        <w:rPr>
          <w:rFonts w:hint="eastAsia" w:ascii="宋体" w:hAnsi="宋体" w:eastAsia="宋体" w:cs="宋体"/>
          <w:b/>
          <w:bCs/>
          <w:color w:val="auto"/>
          <w:sz w:val="24"/>
          <w:szCs w:val="24"/>
          <w:highlight w:val="none"/>
        </w:rPr>
      </w:pPr>
    </w:p>
    <w:p w14:paraId="3F94F128">
      <w:pPr>
        <w:pStyle w:val="13"/>
        <w:rPr>
          <w:rFonts w:hint="eastAsia" w:ascii="宋体" w:hAnsi="宋体" w:eastAsia="宋体" w:cs="宋体"/>
          <w:b/>
          <w:bCs/>
          <w:color w:val="auto"/>
          <w:sz w:val="24"/>
          <w:szCs w:val="24"/>
          <w:highlight w:val="none"/>
        </w:rPr>
      </w:pPr>
    </w:p>
    <w:p w14:paraId="7518D81F">
      <w:pPr>
        <w:pStyle w:val="13"/>
        <w:rPr>
          <w:rFonts w:hint="eastAsia" w:ascii="宋体" w:hAnsi="宋体" w:eastAsia="宋体" w:cs="宋体"/>
          <w:b/>
          <w:bCs/>
          <w:color w:val="auto"/>
          <w:sz w:val="24"/>
          <w:szCs w:val="24"/>
          <w:highlight w:val="none"/>
        </w:rPr>
      </w:pPr>
    </w:p>
    <w:p w14:paraId="66D85C1B">
      <w:pPr>
        <w:pStyle w:val="13"/>
        <w:rPr>
          <w:rFonts w:hint="eastAsia" w:ascii="宋体" w:hAnsi="宋体" w:eastAsia="宋体" w:cs="宋体"/>
          <w:b/>
          <w:bCs/>
          <w:color w:val="auto"/>
          <w:sz w:val="24"/>
          <w:szCs w:val="24"/>
          <w:highlight w:val="none"/>
        </w:rPr>
      </w:pPr>
    </w:p>
    <w:p w14:paraId="737214B6">
      <w:pPr>
        <w:pStyle w:val="13"/>
        <w:rPr>
          <w:rFonts w:hint="eastAsia" w:ascii="宋体" w:hAnsi="宋体" w:eastAsia="宋体" w:cs="宋体"/>
          <w:b/>
          <w:bCs/>
          <w:color w:val="auto"/>
          <w:sz w:val="24"/>
          <w:szCs w:val="24"/>
          <w:highlight w:val="none"/>
        </w:rPr>
      </w:pPr>
    </w:p>
    <w:p w14:paraId="18CC050A">
      <w:pPr>
        <w:pStyle w:val="13"/>
        <w:rPr>
          <w:rFonts w:hint="eastAsia" w:ascii="宋体" w:hAnsi="宋体" w:eastAsia="宋体" w:cs="宋体"/>
          <w:b/>
          <w:bCs/>
          <w:color w:val="auto"/>
          <w:sz w:val="24"/>
          <w:szCs w:val="24"/>
          <w:highlight w:val="none"/>
        </w:rPr>
      </w:pPr>
    </w:p>
    <w:p w14:paraId="266F3C62">
      <w:pPr>
        <w:pStyle w:val="13"/>
        <w:rPr>
          <w:rFonts w:hint="eastAsia" w:ascii="宋体" w:hAnsi="宋体" w:eastAsia="宋体" w:cs="宋体"/>
          <w:b/>
          <w:bCs/>
          <w:color w:val="auto"/>
          <w:sz w:val="24"/>
          <w:szCs w:val="24"/>
          <w:highlight w:val="none"/>
        </w:rPr>
      </w:pPr>
    </w:p>
    <w:p w14:paraId="47E04A96">
      <w:pPr>
        <w:pStyle w:val="13"/>
        <w:rPr>
          <w:rFonts w:hint="eastAsia" w:ascii="宋体" w:hAnsi="宋体" w:eastAsia="宋体" w:cs="宋体"/>
          <w:b/>
          <w:bCs/>
          <w:color w:val="auto"/>
          <w:sz w:val="24"/>
          <w:szCs w:val="24"/>
          <w:highlight w:val="none"/>
        </w:rPr>
      </w:pPr>
    </w:p>
    <w:p w14:paraId="738E979C">
      <w:pPr>
        <w:pStyle w:val="13"/>
        <w:rPr>
          <w:rFonts w:hint="eastAsia" w:ascii="宋体" w:hAnsi="宋体" w:eastAsia="宋体" w:cs="宋体"/>
          <w:b/>
          <w:bCs/>
          <w:color w:val="auto"/>
          <w:sz w:val="24"/>
          <w:szCs w:val="24"/>
          <w:highlight w:val="none"/>
        </w:rPr>
      </w:pPr>
    </w:p>
    <w:p w14:paraId="356A4513">
      <w:pPr>
        <w:pStyle w:val="13"/>
        <w:rPr>
          <w:rFonts w:hint="eastAsia" w:ascii="宋体" w:hAnsi="宋体" w:eastAsia="宋体" w:cs="宋体"/>
          <w:b/>
          <w:bCs/>
          <w:color w:val="auto"/>
          <w:sz w:val="24"/>
          <w:szCs w:val="24"/>
          <w:highlight w:val="none"/>
        </w:rPr>
      </w:pPr>
    </w:p>
    <w:p w14:paraId="2096CB9E">
      <w:pP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p>
    <w:p w14:paraId="08DD2C81">
      <w:pPr>
        <w:spacing w:line="440" w:lineRule="exact"/>
        <w:jc w:val="right"/>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 xml:space="preserve">政府采购合同  </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 xml:space="preserve">                      合同编号：</w:t>
      </w:r>
    </w:p>
    <w:p w14:paraId="6FC862B0">
      <w:pPr>
        <w:bidi w:val="0"/>
        <w:rPr>
          <w:rFonts w:hint="eastAsia" w:ascii="宋体" w:hAnsi="宋体" w:eastAsia="宋体" w:cs="宋体"/>
          <w:color w:val="auto"/>
          <w:highlight w:val="none"/>
          <w:lang w:val="en-US" w:eastAsia="zh-CN"/>
        </w:rPr>
      </w:pPr>
    </w:p>
    <w:p w14:paraId="1CAC6859">
      <w:pPr>
        <w:bidi w:val="0"/>
        <w:rPr>
          <w:rFonts w:hint="eastAsia" w:ascii="宋体" w:hAnsi="宋体" w:eastAsia="宋体" w:cs="宋体"/>
          <w:color w:val="auto"/>
          <w:highlight w:val="none"/>
          <w:lang w:val="en-US" w:eastAsia="zh-CN"/>
        </w:rPr>
      </w:pPr>
    </w:p>
    <w:p w14:paraId="42AC89D2">
      <w:pPr>
        <w:bidi w:val="0"/>
        <w:rPr>
          <w:rFonts w:hint="eastAsia" w:ascii="宋体" w:hAnsi="宋体" w:eastAsia="宋体" w:cs="宋体"/>
          <w:color w:val="auto"/>
          <w:highlight w:val="none"/>
          <w:lang w:val="en-US" w:eastAsia="zh-CN"/>
        </w:rPr>
      </w:pPr>
      <w:bookmarkStart w:id="1" w:name="_Toc23909"/>
    </w:p>
    <w:p w14:paraId="39C2A446">
      <w:pPr>
        <w:bidi w:val="0"/>
        <w:rPr>
          <w:rFonts w:hint="eastAsia" w:ascii="宋体" w:hAnsi="宋体" w:eastAsia="宋体" w:cs="宋体"/>
          <w:color w:val="auto"/>
          <w:highlight w:val="none"/>
          <w:lang w:val="en-US" w:eastAsia="zh-CN"/>
        </w:rPr>
      </w:pPr>
    </w:p>
    <w:p w14:paraId="358C5A5A">
      <w:pPr>
        <w:bidi w:val="0"/>
        <w:rPr>
          <w:rFonts w:hint="eastAsia" w:ascii="宋体" w:hAnsi="宋体" w:eastAsia="宋体" w:cs="宋体"/>
          <w:color w:val="auto"/>
          <w:highlight w:val="none"/>
          <w:lang w:val="en-US" w:eastAsia="zh-CN"/>
        </w:rPr>
      </w:pPr>
    </w:p>
    <w:p w14:paraId="64FF52CC">
      <w:pPr>
        <w:pStyle w:val="5"/>
        <w:tabs>
          <w:tab w:val="left" w:pos="567"/>
        </w:tabs>
        <w:rPr>
          <w:rFonts w:hint="eastAsia" w:ascii="宋体" w:hAnsi="宋体" w:eastAsia="宋体" w:cs="宋体"/>
          <w:color w:val="auto"/>
          <w:highlight w:val="none"/>
          <w:lang w:val="en-US" w:eastAsia="zh-CN"/>
        </w:rPr>
      </w:pPr>
    </w:p>
    <w:p w14:paraId="3A3A653E">
      <w:pPr>
        <w:rPr>
          <w:rFonts w:hint="eastAsia" w:ascii="宋体" w:hAnsi="宋体" w:eastAsia="宋体" w:cs="宋体"/>
          <w:color w:val="auto"/>
          <w:highlight w:val="none"/>
          <w:lang w:val="en-US" w:eastAsia="zh-CN"/>
        </w:rPr>
      </w:pPr>
    </w:p>
    <w:p w14:paraId="428C30E4">
      <w:pPr>
        <w:rPr>
          <w:rFonts w:hint="eastAsia" w:ascii="宋体" w:hAnsi="宋体" w:eastAsia="宋体" w:cs="宋体"/>
          <w:color w:val="auto"/>
          <w:highlight w:val="none"/>
          <w:lang w:val="en-US" w:eastAsia="zh-CN"/>
        </w:rPr>
      </w:pPr>
    </w:p>
    <w:p w14:paraId="559B54B8">
      <w:pPr>
        <w:bidi w:val="0"/>
        <w:rPr>
          <w:rFonts w:hint="eastAsia" w:ascii="宋体" w:hAnsi="宋体" w:eastAsia="宋体" w:cs="宋体"/>
          <w:color w:val="auto"/>
          <w:highlight w:val="none"/>
          <w:lang w:val="en-US" w:eastAsia="zh-CN"/>
        </w:rPr>
      </w:pPr>
    </w:p>
    <w:bookmarkEnd w:id="1"/>
    <w:p w14:paraId="56CF168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陕西省公路网管理与应急指挥系统升级</w:t>
      </w:r>
    </w:p>
    <w:p w14:paraId="23773EA7">
      <w:pPr>
        <w:ind w:firstLine="703"/>
        <w:jc w:val="center"/>
        <w:rPr>
          <w:rFonts w:hint="eastAsia" w:ascii="宋体" w:hAnsi="宋体" w:eastAsia="宋体" w:cs="宋体"/>
          <w:b/>
          <w:color w:val="auto"/>
          <w:spacing w:val="-20"/>
          <w:sz w:val="32"/>
          <w:szCs w:val="32"/>
          <w:highlight w:val="none"/>
        </w:rPr>
      </w:pPr>
    </w:p>
    <w:p w14:paraId="3CF42E80">
      <w:pPr>
        <w:ind w:firstLine="700"/>
        <w:jc w:val="center"/>
        <w:rPr>
          <w:rFonts w:hint="eastAsia" w:ascii="宋体" w:hAnsi="宋体" w:eastAsia="宋体" w:cs="宋体"/>
          <w:b/>
          <w:color w:val="auto"/>
          <w:spacing w:val="-20"/>
          <w:sz w:val="32"/>
          <w:szCs w:val="32"/>
          <w:highlight w:val="none"/>
        </w:rPr>
      </w:pPr>
    </w:p>
    <w:p w14:paraId="5184C2EA">
      <w:pPr>
        <w:ind w:firstLine="700"/>
        <w:jc w:val="center"/>
        <w:rPr>
          <w:rFonts w:hint="eastAsia" w:ascii="宋体" w:hAnsi="宋体" w:eastAsia="宋体" w:cs="宋体"/>
          <w:b/>
          <w:color w:val="auto"/>
          <w:spacing w:val="-20"/>
          <w:sz w:val="32"/>
          <w:szCs w:val="32"/>
          <w:highlight w:val="none"/>
        </w:rPr>
      </w:pPr>
    </w:p>
    <w:p w14:paraId="5D893B39">
      <w:pPr>
        <w:jc w:val="center"/>
        <w:rPr>
          <w:rFonts w:hint="eastAsia" w:ascii="宋体" w:hAnsi="宋体" w:eastAsia="宋体" w:cs="宋体"/>
          <w:b/>
          <w:bCs w:val="0"/>
          <w:color w:val="auto"/>
          <w:kern w:val="2"/>
          <w:sz w:val="32"/>
          <w:szCs w:val="32"/>
          <w:highlight w:val="none"/>
          <w:lang w:val="en-US" w:eastAsia="zh-CN" w:bidi="ar-SA"/>
        </w:rPr>
      </w:pPr>
      <w:r>
        <w:rPr>
          <w:rFonts w:hint="eastAsia" w:ascii="宋体" w:hAnsi="宋体" w:eastAsia="宋体" w:cs="宋体"/>
          <w:b/>
          <w:bCs w:val="0"/>
          <w:color w:val="auto"/>
          <w:kern w:val="2"/>
          <w:sz w:val="32"/>
          <w:szCs w:val="32"/>
          <w:highlight w:val="none"/>
          <w:lang w:val="en-US" w:eastAsia="zh-CN" w:bidi="ar-SA"/>
        </w:rPr>
        <w:t>陕西省公路局</w:t>
      </w:r>
    </w:p>
    <w:p w14:paraId="7B34A1B0">
      <w:pPr>
        <w:jc w:val="center"/>
        <w:rPr>
          <w:rFonts w:hint="eastAsia" w:ascii="宋体" w:hAnsi="宋体" w:eastAsia="宋体" w:cs="宋体"/>
          <w:b/>
          <w:bCs w:val="0"/>
          <w:color w:val="auto"/>
          <w:kern w:val="2"/>
          <w:sz w:val="32"/>
          <w:szCs w:val="32"/>
          <w:highlight w:val="none"/>
          <w:lang w:val="en-US" w:eastAsia="zh-CN" w:bidi="ar-SA"/>
        </w:rPr>
      </w:pPr>
      <w:r>
        <w:rPr>
          <w:rFonts w:hint="eastAsia" w:ascii="宋体" w:hAnsi="宋体" w:eastAsia="宋体" w:cs="宋体"/>
          <w:b/>
          <w:bCs w:val="0"/>
          <w:color w:val="auto"/>
          <w:kern w:val="2"/>
          <w:sz w:val="32"/>
          <w:szCs w:val="32"/>
          <w:highlight w:val="none"/>
          <w:lang w:val="en-US" w:eastAsia="zh-CN" w:bidi="ar-SA"/>
        </w:rPr>
        <w:t>服 务 合 同</w:t>
      </w:r>
    </w:p>
    <w:p w14:paraId="37C300FB">
      <w:pPr>
        <w:ind w:firstLine="803"/>
        <w:jc w:val="center"/>
        <w:rPr>
          <w:rFonts w:hint="eastAsia" w:ascii="宋体" w:hAnsi="宋体" w:eastAsia="宋体" w:cs="宋体"/>
          <w:color w:val="auto"/>
          <w:sz w:val="24"/>
          <w:szCs w:val="24"/>
          <w:highlight w:val="none"/>
        </w:rPr>
      </w:pPr>
    </w:p>
    <w:p w14:paraId="6922D9E8">
      <w:pPr>
        <w:ind w:firstLine="803"/>
        <w:jc w:val="center"/>
        <w:rPr>
          <w:rFonts w:hint="eastAsia" w:ascii="宋体" w:hAnsi="宋体" w:eastAsia="宋体" w:cs="宋体"/>
          <w:color w:val="auto"/>
          <w:sz w:val="24"/>
          <w:szCs w:val="24"/>
          <w:highlight w:val="none"/>
        </w:rPr>
      </w:pPr>
    </w:p>
    <w:p w14:paraId="1B21AD9D">
      <w:pPr>
        <w:pStyle w:val="5"/>
        <w:tabs>
          <w:tab w:val="left" w:pos="567"/>
        </w:tabs>
        <w:rPr>
          <w:rFonts w:hint="eastAsia" w:ascii="宋体" w:hAnsi="宋体" w:eastAsia="宋体" w:cs="宋体"/>
          <w:color w:val="auto"/>
          <w:sz w:val="24"/>
          <w:szCs w:val="24"/>
          <w:highlight w:val="none"/>
        </w:rPr>
      </w:pPr>
    </w:p>
    <w:p w14:paraId="5D314AFB">
      <w:pPr>
        <w:pStyle w:val="5"/>
        <w:tabs>
          <w:tab w:val="left" w:pos="567"/>
        </w:tabs>
        <w:rPr>
          <w:rFonts w:hint="eastAsia" w:ascii="宋体" w:hAnsi="宋体" w:eastAsia="宋体" w:cs="宋体"/>
          <w:color w:val="auto"/>
          <w:sz w:val="24"/>
          <w:szCs w:val="24"/>
          <w:highlight w:val="none"/>
        </w:rPr>
      </w:pPr>
    </w:p>
    <w:p w14:paraId="2A46DBE7">
      <w:pPr>
        <w:rPr>
          <w:rFonts w:hint="eastAsia" w:ascii="宋体" w:hAnsi="宋体" w:eastAsia="宋体" w:cs="宋体"/>
          <w:color w:val="auto"/>
          <w:sz w:val="24"/>
          <w:szCs w:val="24"/>
          <w:highlight w:val="none"/>
        </w:rPr>
      </w:pPr>
    </w:p>
    <w:p w14:paraId="07ED965D">
      <w:pPr>
        <w:pStyle w:val="5"/>
        <w:tabs>
          <w:tab w:val="left" w:pos="567"/>
        </w:tabs>
        <w:rPr>
          <w:rFonts w:hint="eastAsia" w:ascii="宋体" w:hAnsi="宋体" w:eastAsia="宋体" w:cs="宋体"/>
          <w:color w:val="auto"/>
          <w:sz w:val="24"/>
          <w:szCs w:val="24"/>
          <w:highlight w:val="none"/>
        </w:rPr>
      </w:pPr>
    </w:p>
    <w:p w14:paraId="6123A9A9">
      <w:pPr>
        <w:ind w:firstLine="1120" w:firstLineChars="4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甲  方：</w:t>
      </w:r>
      <w:r>
        <w:rPr>
          <w:rFonts w:hint="eastAsia" w:ascii="宋体" w:hAnsi="宋体" w:eastAsia="宋体" w:cs="宋体"/>
          <w:color w:val="auto"/>
          <w:sz w:val="28"/>
          <w:szCs w:val="28"/>
          <w:highlight w:val="none"/>
          <w:lang w:eastAsia="zh-CN"/>
        </w:rPr>
        <w:t>陕西省公路局</w:t>
      </w:r>
    </w:p>
    <w:p w14:paraId="39454149">
      <w:pPr>
        <w:ind w:firstLine="1120" w:firstLineChars="4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  方：</w:t>
      </w:r>
    </w:p>
    <w:p w14:paraId="3EA91D90">
      <w:pPr>
        <w:ind w:firstLine="3000" w:firstLineChars="1250"/>
        <w:rPr>
          <w:rFonts w:hint="eastAsia" w:ascii="宋体" w:hAnsi="宋体" w:eastAsia="宋体" w:cs="宋体"/>
          <w:color w:val="auto"/>
          <w:sz w:val="24"/>
          <w:szCs w:val="24"/>
          <w:highlight w:val="none"/>
        </w:rPr>
      </w:pPr>
    </w:p>
    <w:p w14:paraId="48CC0D0D">
      <w:pPr>
        <w:rPr>
          <w:rFonts w:hint="eastAsia" w:ascii="宋体" w:hAnsi="宋体" w:eastAsia="宋体" w:cs="宋体"/>
          <w:color w:val="auto"/>
          <w:sz w:val="24"/>
          <w:szCs w:val="24"/>
          <w:highlight w:val="none"/>
        </w:rPr>
      </w:pPr>
    </w:p>
    <w:p w14:paraId="704F6B66">
      <w:pPr>
        <w:ind w:firstLine="3500" w:firstLineChars="1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w:t>
      </w:r>
    </w:p>
    <w:p w14:paraId="279A5C50">
      <w:pPr>
        <w:ind w:firstLine="3220" w:firstLineChars="11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中国  西安</w:t>
      </w:r>
    </w:p>
    <w:p w14:paraId="752229E8">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200D207C">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rPr>
        <w:t>服 务 合 同</w:t>
      </w:r>
    </w:p>
    <w:p w14:paraId="31C3E12B">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24977D29">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采购人（甲方）：陕西省公路局</w:t>
      </w:r>
    </w:p>
    <w:p w14:paraId="48306BBC">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供应商（乙方）：</w:t>
      </w:r>
    </w:p>
    <w:p w14:paraId="64064381">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根据《中华人民共和国民法典》及其他有关法律、法规，遵循平等、自愿、公平和诚信的原则，双方就下述项目范围与相关服务事项协商一致，订立本合同。</w:t>
      </w:r>
    </w:p>
    <w:p w14:paraId="08884811">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sz w:val="24"/>
          <w:szCs w:val="24"/>
          <w:highlight w:val="none"/>
          <w:lang w:eastAsia="zh-CN"/>
        </w:rPr>
        <w:t>合同内容</w:t>
      </w:r>
    </w:p>
    <w:p w14:paraId="789399AA">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陕西省公路网管理与应急指挥系统升级</w:t>
      </w:r>
    </w:p>
    <w:p w14:paraId="1BE8904B">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二、服务地点</w:t>
      </w:r>
    </w:p>
    <w:p w14:paraId="77AC856B">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项目地点：</w:t>
      </w:r>
      <w:r>
        <w:rPr>
          <w:rFonts w:hint="eastAsia" w:ascii="宋体" w:hAnsi="宋体" w:eastAsia="宋体" w:cs="宋体"/>
          <w:color w:val="auto"/>
          <w:sz w:val="24"/>
          <w:szCs w:val="24"/>
          <w:highlight w:val="none"/>
          <w:lang w:eastAsia="zh-CN"/>
        </w:rPr>
        <w:t>甲方指定地点</w:t>
      </w:r>
      <w:r>
        <w:rPr>
          <w:rFonts w:hint="eastAsia" w:ascii="宋体" w:hAnsi="宋体" w:eastAsia="宋体" w:cs="宋体"/>
          <w:color w:val="auto"/>
          <w:sz w:val="24"/>
          <w:szCs w:val="24"/>
          <w:highlight w:val="none"/>
        </w:rPr>
        <w:t>。</w:t>
      </w:r>
    </w:p>
    <w:p w14:paraId="71FFA909">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三、服务期限</w:t>
      </w:r>
    </w:p>
    <w:p w14:paraId="5E57ABE1">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服务期：</w:t>
      </w:r>
      <w:r>
        <w:rPr>
          <w:rFonts w:hint="eastAsia" w:ascii="宋体" w:hAnsi="宋体" w:eastAsia="宋体" w:cs="宋体"/>
          <w:color w:val="auto"/>
          <w:sz w:val="24"/>
          <w:szCs w:val="24"/>
          <w:highlight w:val="none"/>
          <w:lang w:val="en-US" w:eastAsia="zh-CN"/>
        </w:rPr>
        <w:t>自合同签订之日起150日历天</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20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日至20</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日止。</w:t>
      </w:r>
    </w:p>
    <w:p w14:paraId="47B99368">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质保期：</w:t>
      </w:r>
      <w:r>
        <w:rPr>
          <w:rFonts w:hint="eastAsia" w:ascii="宋体" w:hAnsi="宋体" w:eastAsia="宋体" w:cs="宋体"/>
          <w:color w:val="auto"/>
          <w:sz w:val="24"/>
          <w:szCs w:val="24"/>
          <w:highlight w:val="none"/>
          <w:lang w:eastAsia="zh-CN"/>
        </w:rPr>
        <w:t>自本项目</w:t>
      </w:r>
      <w:r>
        <w:rPr>
          <w:rFonts w:hint="eastAsia" w:ascii="宋体" w:hAnsi="宋体" w:eastAsia="宋体" w:cs="宋体"/>
          <w:color w:val="auto"/>
          <w:sz w:val="24"/>
          <w:szCs w:val="24"/>
          <w:highlight w:val="none"/>
        </w:rPr>
        <w:t>验收合格</w:t>
      </w:r>
      <w:r>
        <w:rPr>
          <w:rFonts w:hint="eastAsia" w:ascii="宋体" w:hAnsi="宋体" w:eastAsia="宋体" w:cs="宋体"/>
          <w:color w:val="auto"/>
          <w:sz w:val="24"/>
          <w:szCs w:val="24"/>
          <w:highlight w:val="none"/>
          <w:lang w:val="en-US" w:eastAsia="zh-CN"/>
        </w:rPr>
        <w:t>之日起</w:t>
      </w:r>
      <w:r>
        <w:rPr>
          <w:rFonts w:hint="eastAsia" w:ascii="宋体" w:hAnsi="宋体" w:eastAsia="宋体" w:cs="宋体"/>
          <w:color w:val="auto"/>
          <w:kern w:val="0"/>
          <w:sz w:val="24"/>
          <w:highlight w:val="none"/>
          <w:lang w:val="en-US" w:eastAsia="zh-CN"/>
        </w:rPr>
        <w:t>1年</w:t>
      </w:r>
      <w:r>
        <w:rPr>
          <w:rFonts w:hint="eastAsia" w:ascii="宋体" w:hAnsi="宋体" w:eastAsia="宋体" w:cs="宋体"/>
          <w:color w:val="auto"/>
          <w:sz w:val="24"/>
          <w:szCs w:val="24"/>
          <w:highlight w:val="none"/>
        </w:rPr>
        <w:t>。</w:t>
      </w:r>
    </w:p>
    <w:p w14:paraId="4A824A68">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四、合同金额</w:t>
      </w:r>
    </w:p>
    <w:p w14:paraId="0187EE51">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合同金额为人民币（大写）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EBEE64C">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合同总价即中标价，为一次性报价，不受市场价变化或实际工作量变化的影响。合同价格为含税价，</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提供服务及产品所发生的一切税（包括增值税）费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第三方检测、履约验收等费用</w:t>
      </w:r>
      <w:r>
        <w:rPr>
          <w:rFonts w:hint="eastAsia" w:ascii="宋体" w:hAnsi="宋体" w:eastAsia="宋体" w:cs="宋体"/>
          <w:color w:val="auto"/>
          <w:sz w:val="24"/>
          <w:szCs w:val="24"/>
          <w:highlight w:val="none"/>
        </w:rPr>
        <w:t xml:space="preserve">都已包含于合同价款中。     </w:t>
      </w:r>
    </w:p>
    <w:p w14:paraId="7EE0387C">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五、付款方式</w:t>
      </w:r>
    </w:p>
    <w:p w14:paraId="63444960">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甲方在付款前，乙方应向甲方开具等额增值税专用发票/普通发票。否则甲方有权拒绝付款且不承担迟延支付的违约责任。</w:t>
      </w:r>
    </w:p>
    <w:p w14:paraId="0CBD625F">
      <w:pPr>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kern w:val="2"/>
          <w:sz w:val="24"/>
          <w:szCs w:val="24"/>
          <w:highlight w:val="none"/>
          <w:lang w:bidi="ar-SA"/>
        </w:rPr>
        <w:t>（二）</w:t>
      </w:r>
      <w:r>
        <w:rPr>
          <w:rFonts w:hint="eastAsia" w:ascii="宋体" w:hAnsi="宋体" w:eastAsia="宋体" w:cs="宋体"/>
          <w:color w:val="auto"/>
          <w:sz w:val="24"/>
          <w:szCs w:val="24"/>
          <w:highlight w:val="none"/>
          <w:lang w:val="en-US" w:eastAsia="zh-CN"/>
        </w:rPr>
        <w:t xml:space="preserve">领取中标通知书后，合同签订前，供应商向采购人支付合同金额5%的履约保证金。合同签订后，供应商开具等额增值增税专用/普通发票后，采购人向供应商支付（银行转账） ，达到付款条件起 30 日内，支付合同总金额的 60.00%。 </w:t>
      </w:r>
    </w:p>
    <w:p w14:paraId="59396423">
      <w:pPr>
        <w:keepNext w:val="0"/>
        <w:keepLines w:val="0"/>
        <w:pageBreakBefore w:val="0"/>
        <w:kinsoku/>
        <w:wordWrap/>
        <w:overflowPunct/>
        <w:topLinePunct w:val="0"/>
        <w:autoSpaceDE/>
        <w:autoSpaceDN/>
        <w:bidi w:val="0"/>
        <w:adjustRightInd/>
        <w:snapToGrid/>
        <w:spacing w:line="400" w:lineRule="exact"/>
        <w:ind w:firstLine="420"/>
        <w:textAlignment w:val="auto"/>
        <w:rPr>
          <w:rFonts w:hint="eastAsia" w:ascii="宋体" w:hAnsi="宋体" w:cs="宋体"/>
          <w:color w:val="auto"/>
          <w:sz w:val="24"/>
          <w:highlight w:val="none"/>
        </w:rPr>
      </w:pPr>
      <w:r>
        <w:rPr>
          <w:rFonts w:hint="eastAsia" w:ascii="宋体" w:hAnsi="宋体" w:eastAsia="宋体" w:cs="宋体"/>
          <w:color w:val="auto"/>
          <w:sz w:val="24"/>
          <w:szCs w:val="24"/>
          <w:highlight w:val="none"/>
          <w:lang w:val="en-US" w:eastAsia="zh-CN"/>
        </w:rPr>
        <w:t>项目经第三方检测机构检测合格后，供应商开具等额增值增税专用/普通发票后，采购人向供应商支付（银行转账） ，达到付款条件起 30 日内，支付合同总金额的 40.00%。</w:t>
      </w:r>
    </w:p>
    <w:p w14:paraId="6DF7FAFA">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乙方账户信息</w:t>
      </w:r>
    </w:p>
    <w:p w14:paraId="7D087BBC">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p w14:paraId="21E1B391">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13E57D54">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p w14:paraId="1D986CAD">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六、内容及要求</w:t>
      </w:r>
    </w:p>
    <w:p w14:paraId="3F15B319">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项目概况</w:t>
      </w:r>
    </w:p>
    <w:p w14:paraId="0486A8F7">
      <w:pPr>
        <w:keepNext w:val="0"/>
        <w:keepLines w:val="0"/>
        <w:pageBreakBefore w:val="0"/>
        <w:widowControl w:val="0"/>
        <w:kinsoku/>
        <w:wordWrap/>
        <w:overflowPunct/>
        <w:topLinePunct w:val="0"/>
        <w:autoSpaceDE/>
        <w:autoSpaceDN/>
        <w:bidi w:val="0"/>
        <w:adjustRightInd/>
        <w:snapToGrid/>
        <w:spacing w:line="390" w:lineRule="exact"/>
        <w:ind w:firstLine="480" w:firstLineChars="200"/>
        <w:jc w:val="both"/>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陕“十三五”期间，陕西省公路局开展了全省公路网管理与应急指挥体系建设，开发了全省统一的“陕西省公路网管理与应急指挥系统”（以下简称公路网管理系统），具备路网调度、应急指挥、出行服务等功能。“十四五”时期，在推动交通强国战略及公路基础设施数字化转型升级的背景下，将现有公路网管理系统升级为一个集数据融合、监控预警、应急调度、决策支持为一体的可视化平台，成为提升公路管理智能化水平、优化公众出行体验的迫切需要。</w:t>
      </w:r>
    </w:p>
    <w:p w14:paraId="619282CE">
      <w:pPr>
        <w:keepNext w:val="0"/>
        <w:keepLines w:val="0"/>
        <w:pageBreakBefore w:val="0"/>
        <w:widowControl w:val="0"/>
        <w:kinsoku/>
        <w:wordWrap/>
        <w:overflowPunct/>
        <w:topLinePunct w:val="0"/>
        <w:autoSpaceDE/>
        <w:autoSpaceDN/>
        <w:bidi w:val="0"/>
        <w:adjustRightInd/>
        <w:snapToGrid/>
        <w:spacing w:line="39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服务内容</w:t>
      </w:r>
    </w:p>
    <w:p w14:paraId="3FC53525">
      <w:pPr>
        <w:keepNext w:val="0"/>
        <w:keepLines w:val="0"/>
        <w:pageBreakBefore w:val="0"/>
        <w:widowControl w:val="0"/>
        <w:kinsoku/>
        <w:wordWrap/>
        <w:overflowPunct/>
        <w:topLinePunct w:val="0"/>
        <w:autoSpaceDE/>
        <w:autoSpaceDN/>
        <w:bidi w:val="0"/>
        <w:adjustRightInd/>
        <w:snapToGrid/>
        <w:spacing w:line="390" w:lineRule="exact"/>
        <w:ind w:firstLine="482" w:firstLineChars="200"/>
        <w:jc w:val="both"/>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cs="宋体"/>
          <w:b/>
          <w:bCs/>
          <w:color w:val="auto"/>
          <w:sz w:val="24"/>
          <w:szCs w:val="24"/>
          <w:highlight w:val="none"/>
          <w:lang w:val="en-US" w:eastAsia="zh-CN"/>
        </w:rPr>
        <w:t>升级</w:t>
      </w:r>
      <w:r>
        <w:rPr>
          <w:rFonts w:hint="eastAsia" w:ascii="宋体" w:hAnsi="宋体" w:eastAsia="宋体" w:cs="宋体"/>
          <w:b/>
          <w:bCs/>
          <w:color w:val="auto"/>
          <w:sz w:val="24"/>
          <w:szCs w:val="24"/>
          <w:highlight w:val="none"/>
        </w:rPr>
        <w:t>任务</w:t>
      </w:r>
    </w:p>
    <w:p w14:paraId="684E2516">
      <w:pPr>
        <w:keepNext w:val="0"/>
        <w:keepLines w:val="0"/>
        <w:pageBreakBefore w:val="0"/>
        <w:widowControl w:val="0"/>
        <w:kinsoku/>
        <w:wordWrap/>
        <w:overflowPunct/>
        <w:topLinePunct w:val="0"/>
        <w:autoSpaceDE/>
        <w:autoSpaceDN/>
        <w:bidi w:val="0"/>
        <w:adjustRightInd/>
        <w:snapToGrid/>
        <w:spacing w:line="39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陕西省公路网管理与应急指挥系统升级项目在现有公路网管理系统运行基础上，整合路网管理、应急指挥、应急物资管理、交通流量调查、可变情报板及视频上云等业务系统功能及数据资源，融合AI大模型与大数据分析技术，</w:t>
      </w:r>
      <w:r>
        <w:rPr>
          <w:rFonts w:hint="eastAsia" w:ascii="宋体" w:hAnsi="宋体" w:cs="宋体"/>
          <w:b w:val="0"/>
          <w:bCs w:val="0"/>
          <w:color w:val="auto"/>
          <w:sz w:val="24"/>
          <w:szCs w:val="24"/>
          <w:highlight w:val="none"/>
          <w:lang w:val="en-US" w:eastAsia="zh-CN"/>
        </w:rPr>
        <w:t>升级</w:t>
      </w:r>
      <w:r>
        <w:rPr>
          <w:rFonts w:hint="eastAsia" w:ascii="宋体" w:hAnsi="宋体" w:eastAsia="宋体" w:cs="宋体"/>
          <w:b w:val="0"/>
          <w:bCs w:val="0"/>
          <w:color w:val="auto"/>
          <w:sz w:val="24"/>
          <w:szCs w:val="24"/>
          <w:highlight w:val="none"/>
        </w:rPr>
        <w:t>全省普通干线公路网运行监测与指挥调度统一的可视化平台；建立“感知-认知-决策-服务”全流程公路运行监测及预警处置体系，实现路网事件智能化监测预警、智能化应急资源调度和辅助决策；升级现有公路网管理系统部分模块功能，进一步提升管理效能；优化公路网管理系统整体界面风格，提升用户体验。</w:t>
      </w:r>
      <w:r>
        <w:rPr>
          <w:rFonts w:hint="eastAsia" w:ascii="宋体" w:hAnsi="宋体" w:cs="宋体"/>
          <w:b w:val="0"/>
          <w:bCs w:val="0"/>
          <w:color w:val="auto"/>
          <w:sz w:val="24"/>
          <w:szCs w:val="24"/>
          <w:highlight w:val="none"/>
          <w:lang w:eastAsia="zh-CN"/>
        </w:rPr>
        <w:t>平台安装部署提供的运行环境需完全自主可控</w:t>
      </w:r>
      <w:r>
        <w:rPr>
          <w:rFonts w:hint="eastAsia" w:ascii="宋体" w:hAnsi="宋体" w:eastAsia="宋体" w:cs="宋体"/>
          <w:b w:val="0"/>
          <w:bCs w:val="0"/>
          <w:color w:val="auto"/>
          <w:sz w:val="24"/>
          <w:szCs w:val="24"/>
          <w:highlight w:val="none"/>
        </w:rPr>
        <w:t>。</w:t>
      </w:r>
    </w:p>
    <w:p w14:paraId="7BD8FDE0">
      <w:pPr>
        <w:keepNext w:val="0"/>
        <w:keepLines w:val="0"/>
        <w:pageBreakBefore w:val="0"/>
        <w:widowControl w:val="0"/>
        <w:kinsoku/>
        <w:wordWrap/>
        <w:overflowPunct/>
        <w:topLinePunct w:val="0"/>
        <w:autoSpaceDE/>
        <w:autoSpaceDN/>
        <w:bidi w:val="0"/>
        <w:adjustRightInd/>
        <w:snapToGrid/>
        <w:spacing w:line="39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功能要求</w:t>
      </w:r>
    </w:p>
    <w:p w14:paraId="04A01180">
      <w:pPr>
        <w:keepNext w:val="0"/>
        <w:keepLines w:val="0"/>
        <w:pageBreakBefore w:val="0"/>
        <w:widowControl w:val="0"/>
        <w:kinsoku/>
        <w:wordWrap/>
        <w:overflowPunct/>
        <w:topLinePunct w:val="0"/>
        <w:autoSpaceDE/>
        <w:autoSpaceDN/>
        <w:bidi w:val="0"/>
        <w:adjustRightInd/>
        <w:snapToGrid/>
        <w:spacing w:line="39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智慧路网运行监测预警可视化系统</w:t>
      </w:r>
    </w:p>
    <w:p w14:paraId="65750B31">
      <w:pPr>
        <w:keepNext w:val="0"/>
        <w:keepLines w:val="0"/>
        <w:pageBreakBefore w:val="0"/>
        <w:widowControl w:val="0"/>
        <w:kinsoku/>
        <w:wordWrap/>
        <w:overflowPunct/>
        <w:topLinePunct w:val="0"/>
        <w:autoSpaceDE/>
        <w:autoSpaceDN/>
        <w:bidi w:val="0"/>
        <w:adjustRightInd/>
        <w:snapToGrid/>
        <w:spacing w:line="39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智慧路网运行监测预警可视化系统需融合AI大模型与大数据分析技术，实现对全省普通干线公路网运行状态的多维度监测与分析，运用三维建模技术构建数字化可视化平台（简称：“可视化平台”），为动态预警与决策分析提供场景化空间数据支撑。可视化平台</w:t>
      </w:r>
      <w:r>
        <w:rPr>
          <w:rFonts w:hint="eastAsia" w:ascii="宋体" w:hAnsi="宋体" w:cs="宋体"/>
          <w:b w:val="0"/>
          <w:bCs w:val="0"/>
          <w:color w:val="auto"/>
          <w:sz w:val="24"/>
          <w:szCs w:val="24"/>
          <w:highlight w:val="none"/>
          <w:lang w:val="en-US" w:eastAsia="zh-CN"/>
        </w:rPr>
        <w:t>升级</w:t>
      </w:r>
      <w:r>
        <w:rPr>
          <w:rFonts w:hint="eastAsia" w:ascii="宋体" w:hAnsi="宋体" w:eastAsia="宋体" w:cs="宋体"/>
          <w:b w:val="0"/>
          <w:bCs w:val="0"/>
          <w:color w:val="auto"/>
          <w:sz w:val="24"/>
          <w:szCs w:val="24"/>
          <w:highlight w:val="none"/>
          <w:lang w:val="en-US" w:eastAsia="zh-CN"/>
        </w:rPr>
        <w:t>主要包括原有功能模块升级与新增两部分，其中原有模块升级6项包括：公路信息电子地图模块、公路视频监控模块、公路流量监控模块、多维度公路运行状态感知模块、道路通行阻断监控模块、公路气象监控模块；新增模块2项包括：重点路段运行监控模块、路网运行监测设备运行状态监控模块。具体功能要求如下：</w:t>
      </w:r>
    </w:p>
    <w:p w14:paraId="122CBE69">
      <w:pPr>
        <w:keepNext w:val="0"/>
        <w:keepLines w:val="0"/>
        <w:pageBreakBefore w:val="0"/>
        <w:widowControl w:val="0"/>
        <w:kinsoku/>
        <w:wordWrap/>
        <w:overflowPunct/>
        <w:topLinePunct w:val="0"/>
        <w:autoSpaceDE/>
        <w:autoSpaceDN/>
        <w:bidi w:val="0"/>
        <w:adjustRightInd/>
        <w:snapToGrid/>
        <w:spacing w:line="39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公路信息电子地图模块（升级模块）</w:t>
      </w:r>
    </w:p>
    <w:p w14:paraId="37C76A19">
      <w:pPr>
        <w:keepNext w:val="0"/>
        <w:keepLines w:val="0"/>
        <w:pageBreakBefore w:val="0"/>
        <w:widowControl w:val="0"/>
        <w:kinsoku/>
        <w:wordWrap/>
        <w:overflowPunct/>
        <w:topLinePunct w:val="0"/>
        <w:autoSpaceDE/>
        <w:autoSpaceDN/>
        <w:bidi w:val="0"/>
        <w:adjustRightInd/>
        <w:snapToGrid/>
        <w:spacing w:line="39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可视化平台上，升级现有的全省干线公路网电子地图，能展示全省高速公路、普通干线公路、县乡公路等线路信息，并分级、分类标注全省干线公路名称、通行里程、公路编号等基础信息，同时需实现公路基础信息的条件筛选查看功能，实现公路桩号的精准查询定位功能，并可通过web浏览器等方式实现便捷访问、查询与定位。</w:t>
      </w:r>
    </w:p>
    <w:p w14:paraId="0E257742">
      <w:pPr>
        <w:keepNext w:val="0"/>
        <w:keepLines w:val="0"/>
        <w:pageBreakBefore w:val="0"/>
        <w:widowControl w:val="0"/>
        <w:kinsoku/>
        <w:wordWrap/>
        <w:overflowPunct/>
        <w:topLinePunct w:val="0"/>
        <w:autoSpaceDE/>
        <w:autoSpaceDN/>
        <w:bidi w:val="0"/>
        <w:adjustRightInd/>
        <w:snapToGrid/>
        <w:spacing w:line="39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公路视频监控模块（升级模块）</w:t>
      </w:r>
    </w:p>
    <w:p w14:paraId="27D41EEE">
      <w:pPr>
        <w:keepNext w:val="0"/>
        <w:keepLines w:val="0"/>
        <w:pageBreakBefore w:val="0"/>
        <w:widowControl w:val="0"/>
        <w:kinsoku/>
        <w:wordWrap/>
        <w:overflowPunct/>
        <w:topLinePunct w:val="0"/>
        <w:autoSpaceDE/>
        <w:autoSpaceDN/>
        <w:bidi w:val="0"/>
        <w:adjustRightInd/>
        <w:snapToGrid/>
        <w:spacing w:line="39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公路视频监控模块主要包括：全省普通干线公路（含桥梁、隧道）监控视频、多功能交调站监控视频、智能事件检测视频、公路收费站监控视频、公路服务区（停车区）监控视频、固定治超站监控视频、养护应急处置中心监控视频等固定式监控视频资源以及养护巡查车载监控视频、无人机巡查监控视频等移动式监控视频资源，支持各类监测视频点位条件筛选查看功能。各监控点视频需支持实时传输、历史溯源，并可通过web浏览器查看与播放。</w:t>
      </w:r>
    </w:p>
    <w:p w14:paraId="7187A6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同时，可视化平台还需直接接入并展示全省高速公路云视频、普通干线公路云视频。</w:t>
      </w:r>
    </w:p>
    <w:p w14:paraId="06A5C549">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公路流量监控模块（升级模块）</w:t>
      </w:r>
    </w:p>
    <w:p w14:paraId="10E0C5A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流量监控模块需接入全省交通流量调查分析系统数据资源，通过后台交通流量数据分析研判系统，在可视化平台上通过仪表盘、热力图、趋势图等图示展示全省普通干线公路交通流量数据信息、道路拥堵信息、道路服务水平信息等内容。</w:t>
      </w:r>
    </w:p>
    <w:p w14:paraId="58C54D1C">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④</w:t>
      </w:r>
      <w:r>
        <w:rPr>
          <w:rFonts w:hint="eastAsia" w:ascii="宋体" w:hAnsi="宋体" w:eastAsia="宋体" w:cs="宋体"/>
          <w:b/>
          <w:bCs/>
          <w:color w:val="auto"/>
          <w:sz w:val="24"/>
          <w:szCs w:val="24"/>
          <w:highlight w:val="none"/>
        </w:rPr>
        <w:t>多维度公路运行状态感知模块（升级模块）</w:t>
      </w:r>
    </w:p>
    <w:p w14:paraId="48041D3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多维度公路运行状态感知模块，主要依靠在全省普通干线公路上设置的公路气象监测设施、公路交通流量监测设施、公路视频监测设施、公路应急物资储备站点等设施站点，结合公路网管理系统采集到的公路网突发事件/应急事件信息、道路施工信息、道路管控绕行信息、重点路段运行信息等内容对全省普通干线公路运行状态进行可视化感知及展示。其中：各类监测设施及站点要在电子地图上进行位置、区域、路段标注，另外对于天气状况、路网突发事件/应急事件、道路施工、道路管控绕行、实时道路通行阻断状况等信息，除了简单的图标标注外，基于电子地图要将影响区域、影响路段、当前道路通行阻断状态等，按照事件影响级别进行分级、分类颜色标注，并提供各类监测设施及站点条件筛选功能以及具体信息展示查看等功能。</w:t>
      </w:r>
    </w:p>
    <w:p w14:paraId="77527C7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系统需集成AI分析技术，根据路网整体突发事件、交通流量状况、道路拥堵状况等道路通行信息，分析全省普通干线公路重点监测路段公路运行综合服务水平、整体运行压力趋势。同时科学合理设置道路通行异常状态预警阈值，通过蜂鸣或语音提示主动预警，便于各级公路网管理与应急指挥中心工作人员直观查看事件分布及道路通行阻断状态，开展下一步应急调度处置工作。</w:t>
      </w:r>
    </w:p>
    <w:p w14:paraId="6E19F2D9">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⑤</w:t>
      </w:r>
      <w:r>
        <w:rPr>
          <w:rFonts w:hint="eastAsia" w:ascii="宋体" w:hAnsi="宋体" w:eastAsia="宋体" w:cs="宋体"/>
          <w:b/>
          <w:bCs/>
          <w:color w:val="auto"/>
          <w:sz w:val="24"/>
          <w:szCs w:val="24"/>
          <w:highlight w:val="none"/>
        </w:rPr>
        <w:t>道路通行阻断监控模块（</w:t>
      </w:r>
      <w:r>
        <w:rPr>
          <w:rFonts w:hint="eastAsia" w:ascii="宋体" w:hAnsi="宋体" w:cs="宋体"/>
          <w:b/>
          <w:bCs/>
          <w:color w:val="auto"/>
          <w:sz w:val="24"/>
          <w:szCs w:val="24"/>
          <w:highlight w:val="none"/>
          <w:lang w:val="en-US" w:eastAsia="zh-CN"/>
        </w:rPr>
        <w:t>升级</w:t>
      </w:r>
      <w:r>
        <w:rPr>
          <w:rFonts w:hint="eastAsia" w:ascii="宋体" w:hAnsi="宋体" w:eastAsia="宋体" w:cs="宋体"/>
          <w:b/>
          <w:bCs/>
          <w:color w:val="auto"/>
          <w:sz w:val="24"/>
          <w:szCs w:val="24"/>
          <w:highlight w:val="none"/>
        </w:rPr>
        <w:t>模块）</w:t>
      </w:r>
    </w:p>
    <w:p w14:paraId="508F7DB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道路通行阻断监控模块需接入全省普通干线公路道路施工信息、管制限行信息、绕行分流信息、公路阻断事件信息等内容，在可视化平台电子地图上展示道路通行阻断状态，能定位展示通行阻断基本信息：阻断原因、阻断时长、恢复方式、预计恢复时间等信息。相关信息事件需要在可视化平台进行文字滚动展示，按照事件影响等级进行分类标注，支持条件筛选及查看功能。</w:t>
      </w:r>
    </w:p>
    <w:p w14:paraId="5FAD7163">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⑥</w:t>
      </w:r>
      <w:r>
        <w:rPr>
          <w:rFonts w:hint="eastAsia" w:ascii="宋体" w:hAnsi="宋体" w:eastAsia="宋体" w:cs="宋体"/>
          <w:b/>
          <w:bCs/>
          <w:color w:val="auto"/>
          <w:sz w:val="24"/>
          <w:szCs w:val="24"/>
          <w:highlight w:val="none"/>
        </w:rPr>
        <w:t>公路气象监控模块（</w:t>
      </w:r>
      <w:r>
        <w:rPr>
          <w:rFonts w:hint="eastAsia" w:ascii="宋体" w:hAnsi="宋体" w:eastAsia="宋体" w:cs="宋体"/>
          <w:b/>
          <w:bCs/>
          <w:color w:val="auto"/>
          <w:sz w:val="24"/>
          <w:szCs w:val="24"/>
          <w:highlight w:val="none"/>
          <w:lang w:val="en-US" w:eastAsia="zh-CN"/>
        </w:rPr>
        <w:t>升级</w:t>
      </w:r>
      <w:r>
        <w:rPr>
          <w:rFonts w:hint="eastAsia" w:ascii="宋体" w:hAnsi="宋体" w:eastAsia="宋体" w:cs="宋体"/>
          <w:b/>
          <w:bCs/>
          <w:color w:val="auto"/>
          <w:sz w:val="24"/>
          <w:szCs w:val="24"/>
          <w:highlight w:val="none"/>
        </w:rPr>
        <w:t>模块）</w:t>
      </w:r>
    </w:p>
    <w:p w14:paraId="372F28D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气象监控模块，需接入全省普通干线公路气象站气象数据、气象部门官方发布的气象信息、气象部门公路气象服务相关数据资源，在可视化平台电子地图上展示公路气象状况、天气预报、气象预警、重大恶劣天气影响信息等内容。通过图示或文字等方式展示公路天气影响区域、范围、时段、强度、预警内容、预防建议等信息，同时根据气象灾害预警等级设置预警阈值，通过蜂鸣或语音提示进行主动预警。</w:t>
      </w:r>
    </w:p>
    <w:p w14:paraId="61651C2F">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⑦</w:t>
      </w:r>
      <w:r>
        <w:rPr>
          <w:rFonts w:hint="eastAsia" w:ascii="宋体" w:hAnsi="宋体" w:eastAsia="宋体" w:cs="宋体"/>
          <w:b/>
          <w:bCs/>
          <w:color w:val="auto"/>
          <w:sz w:val="24"/>
          <w:szCs w:val="24"/>
          <w:highlight w:val="none"/>
        </w:rPr>
        <w:t>重点路段运行监控模块（新建模块）</w:t>
      </w:r>
    </w:p>
    <w:p w14:paraId="112195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重点路段运行监控模块，需接入全省普通干线公路9类重点监测路段（易发灾毁路段、易发降雪结冰降雾路段、易拥堵路段、易发交通事故路段、主要运煤通道路段、省界出入口路段、重点旅游景区路段、危化品运输通道路段、重点水源地途径通道路段）上覆盖的各类路网运行监测设备（视频监测站、多功能交调站、公路气象站、LED可变情报板设备等资源）。</w:t>
      </w:r>
    </w:p>
    <w:p w14:paraId="726CBB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同时，需接入国家公路网规划“71118”途径我省的重点高速公路路段（G5京昆高速、G65包茂高速、G69银百高速、G85银昆高速、G20青银高速、G22青兰高速、G30连霍高速、G40沪陕高速、G70福银高速）及与之平行的普通干线公路路段（G108京昆线、G210满防线、G211银榕线、G244乌江线、G307黄山线、G309青兰线、G310连共线、G312沪霍线）上重要点位视频监控设备及交通流量监控设备。</w:t>
      </w:r>
    </w:p>
    <w:p w14:paraId="56981E6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需在可视化平台上专项展示重点路段运行状况信息，提供条件筛选、信息检索等功能。</w:t>
      </w:r>
    </w:p>
    <w:p w14:paraId="1ADD764E">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⑧</w:t>
      </w:r>
      <w:r>
        <w:rPr>
          <w:rFonts w:hint="eastAsia" w:ascii="宋体" w:hAnsi="宋体" w:eastAsia="宋体" w:cs="宋体"/>
          <w:b/>
          <w:bCs/>
          <w:color w:val="auto"/>
          <w:sz w:val="24"/>
          <w:szCs w:val="24"/>
          <w:highlight w:val="none"/>
        </w:rPr>
        <w:t>路网运行监测设备运行状态监控模块（新建模块）</w:t>
      </w:r>
    </w:p>
    <w:p w14:paraId="66EE73A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路网运行监测设备运行状态监控模块，需将已接入到公路网管理系统的各类路网运行监测设备当前运行状况、是否离线、是否故障、在线率、完整率、及时率、准确率等指标进行数据统计，在可视化平台上通过图示、表格等形式进行展现，同时支持自定义条件筛选展示不同类型监测设备运行状况。</w:t>
      </w:r>
    </w:p>
    <w:p w14:paraId="653E1A67">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路网事件智能汇聚分析</w:t>
      </w:r>
    </w:p>
    <w:p w14:paraId="091E2A9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升级现有公路网管理系统公路事件统计、查询功能，路网运行综合报表（报告）统计功能。</w:t>
      </w:r>
    </w:p>
    <w:p w14:paraId="15D00788">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事件统计分析</w:t>
      </w:r>
    </w:p>
    <w:p w14:paraId="4ACF7C4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路网事件统计主要包括：天气预警信息、路网突发事件、恶劣天气影响事件、道路通行阻断事件等类型，能按照事件类别、影响线路、影响时间等类型对路网事件进行统计并自动汇总数据形成周数据总结、月数据总结、季数据总结、年数据总结。</w:t>
      </w:r>
    </w:p>
    <w:p w14:paraId="53B20A2D">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事件条件查询</w:t>
      </w:r>
    </w:p>
    <w:p w14:paraId="7EC807B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事件查询包括：路网事件查询（突发类、计划类事件）、天气查询（历史、实时天气信息）、天气预警信息查询（一般天气影响信息、重要天气预警信息）、道路通行状态查询（施工、限行、管控）等内容，需提供多条件筛选查询、导出等功能。</w:t>
      </w:r>
    </w:p>
    <w:p w14:paraId="638B34DA">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路网运行综合报表（报告）统计</w:t>
      </w:r>
    </w:p>
    <w:p w14:paraId="2D17854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路网运行综合报表（报告）统计主要针对全省各级公路管理机构，按照陕西省交通运输厅《陕西省干线公路网运行调度管理办法》，陕西省公路局《关于进一步规范全省高速公路路况信息报送工作的通知》等工作要求，全省各级公路管理机构需及时规范上报相关报表（报告）。主要包括：干线公路网运行情况日报表，公路交通管制情况通告、公路网运行情况季度/年度报告、公路网流量分析调查季度/年度报告、重要节假日</w:t>
      </w:r>
      <w:r>
        <w:rPr>
          <w:rFonts w:hint="eastAsia" w:ascii="宋体" w:hAnsi="宋体" w:cs="宋体"/>
          <w:b w:val="0"/>
          <w:bCs w:val="0"/>
          <w:color w:val="auto"/>
          <w:sz w:val="24"/>
          <w:szCs w:val="24"/>
          <w:highlight w:val="none"/>
          <w:lang w:val="en-US" w:eastAsia="zh-CN"/>
        </w:rPr>
        <w:t>干线公</w:t>
      </w:r>
      <w:r>
        <w:rPr>
          <w:rFonts w:hint="eastAsia" w:ascii="宋体" w:hAnsi="宋体" w:eastAsia="宋体" w:cs="宋体"/>
          <w:b w:val="0"/>
          <w:bCs w:val="0"/>
          <w:color w:val="auto"/>
          <w:sz w:val="24"/>
          <w:szCs w:val="24"/>
          <w:highlight w:val="none"/>
        </w:rPr>
        <w:t>路网运行分析研判报告等报表（报告），其中：各类报表（报告）由各级公路管理机构上传至公路网管理系统，公路交通管制情况通告的填报功能直接链接到事件接报功能中。需提供多条件筛选查询、导出等功能。</w:t>
      </w:r>
    </w:p>
    <w:p w14:paraId="6826A79F">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智能应急指挥调度</w:t>
      </w:r>
    </w:p>
    <w:p w14:paraId="7BDE1D0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升级现有公路网管理系统应急管理功能，开展智能应急指挥调度，遵循分级响应与应急联动原则，为公路交通突发事件提供全流程预警、处置、调度支持，同时对各类应急资源（队伍、装备、预案、知识库等）进行更新、维护与管理。</w:t>
      </w:r>
    </w:p>
    <w:p w14:paraId="1D3F53ED">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应急预警响应</w:t>
      </w:r>
    </w:p>
    <w:p w14:paraId="39962BF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系统需集成AI技术、AI大模型对突发事件自动进行分级预警，并结合公路网管理系统预案库和历史突发事件处置案例，自动生成初步应急处置方案，提出应急资源调拨建议，为后续应急处置工作提供决策支持。</w:t>
      </w:r>
    </w:p>
    <w:p w14:paraId="2BAA2C7B">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应急资源库管理</w:t>
      </w:r>
    </w:p>
    <w:p w14:paraId="1ECE33B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应急资源库管理涵盖以下主要内容：养护应急处置中心、应急物资库、专业应急队伍、行业专家库、政府协作单位、社会应急联动资源、应急知识库等要素。支持按照资源名称、类型、存放地点等多条件筛选查询、导出等功能。</w:t>
      </w:r>
    </w:p>
    <w:p w14:paraId="0AC5E2C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系统需提供便捷的应急物资调度申请界面功能（含高速公路应急物资调度），允许用户填写物资需求、使用目的、预计归还时间等信息，支持实现全省应急物资的“一键调拨”功能；需提供应急物资消耗统计，能按照物资名称、类别、使用时段、使用单位等多种条件统计汇总。</w:t>
      </w:r>
    </w:p>
    <w:p w14:paraId="5785407F">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应急预案管理</w:t>
      </w:r>
    </w:p>
    <w:p w14:paraId="3F4DC07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应急预案管理功能为全省各级公路网管理用户提供省级、市级、县级等公路总体应急预案、专项应急预案、应急处置预案的管理工作，需提供预案编辑、预案更新、预案查询等更新维护功能，便于在突发事件应急响应时能更加便捷地把预案生成可操作的应急处置方案，支持多条件筛选查询、导出等功能。</w:t>
      </w:r>
    </w:p>
    <w:p w14:paraId="0BAD005C">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④</w:t>
      </w:r>
      <w:r>
        <w:rPr>
          <w:rFonts w:hint="eastAsia" w:ascii="宋体" w:hAnsi="宋体" w:eastAsia="宋体" w:cs="宋体"/>
          <w:b/>
          <w:bCs/>
          <w:color w:val="auto"/>
          <w:sz w:val="24"/>
          <w:szCs w:val="24"/>
          <w:highlight w:val="none"/>
        </w:rPr>
        <w:t>应急演练管理</w:t>
      </w:r>
    </w:p>
    <w:p w14:paraId="040FBE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应急演练管理功能为全省各级公路管理单位记录查询本级应急演练活动组织、开展、总结、评估等环节的更新维护功能，支持多条件筛选查询、导出等功能。</w:t>
      </w:r>
    </w:p>
    <w:p w14:paraId="5A1B388F">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多源数据融合分析</w:t>
      </w:r>
    </w:p>
    <w:p w14:paraId="5C78422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升级现有</w:t>
      </w:r>
      <w:r>
        <w:rPr>
          <w:rFonts w:hint="eastAsia" w:ascii="宋体" w:hAnsi="宋体" w:cs="宋体"/>
          <w:b w:val="0"/>
          <w:bCs w:val="0"/>
          <w:color w:val="auto"/>
          <w:sz w:val="24"/>
          <w:szCs w:val="24"/>
          <w:highlight w:val="none"/>
          <w:lang w:val="en-US" w:eastAsia="zh-CN"/>
        </w:rPr>
        <w:t>干线</w:t>
      </w:r>
      <w:r>
        <w:rPr>
          <w:rFonts w:hint="eastAsia" w:ascii="宋体" w:hAnsi="宋体" w:eastAsia="宋体" w:cs="宋体"/>
          <w:b w:val="0"/>
          <w:bCs w:val="0"/>
          <w:color w:val="auto"/>
          <w:sz w:val="24"/>
          <w:szCs w:val="24"/>
          <w:highlight w:val="none"/>
          <w:lang w:val="en-US" w:eastAsia="zh-CN"/>
        </w:rPr>
        <w:t>公路网运行数据分析功能，实现路网运行基础信息汇总分析、应急资源统计分析功能。</w:t>
      </w:r>
    </w:p>
    <w:p w14:paraId="5C8DC3BB">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路网运行基础信息汇总分析</w:t>
      </w:r>
    </w:p>
    <w:p w14:paraId="187F367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路网运行基础信息汇总分析功能主要汇总统计全省干线公路网运行相关基础数据，能按照行政区划呈现各级</w:t>
      </w:r>
      <w:r>
        <w:rPr>
          <w:rFonts w:hint="eastAsia" w:ascii="宋体" w:hAnsi="宋体" w:cs="宋体"/>
          <w:b w:val="0"/>
          <w:bCs w:val="0"/>
          <w:color w:val="auto"/>
          <w:sz w:val="24"/>
          <w:szCs w:val="24"/>
          <w:highlight w:val="none"/>
          <w:lang w:val="en-US" w:eastAsia="zh-CN"/>
        </w:rPr>
        <w:t>干线</w:t>
      </w:r>
      <w:r>
        <w:rPr>
          <w:rFonts w:hint="eastAsia" w:ascii="宋体" w:hAnsi="宋体" w:eastAsia="宋体" w:cs="宋体"/>
          <w:b w:val="0"/>
          <w:bCs w:val="0"/>
          <w:color w:val="auto"/>
          <w:sz w:val="24"/>
          <w:szCs w:val="24"/>
          <w:highlight w:val="none"/>
        </w:rPr>
        <w:t>公路网管理单位路网运行基础信息（线路里程、管养里程、突发事件数量、公路阻断情况），系统需提供数据同比、环比、比重等分析比较，能以图表或图示等形式进行数据展示，支持按时间、类型等多条件筛选查询、导出等功能。</w:t>
      </w:r>
    </w:p>
    <w:p w14:paraId="6930B501">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特定场景应急资源统计分析</w:t>
      </w:r>
    </w:p>
    <w:p w14:paraId="0695B40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针对春运、夏季防汛、冬季除雪等特定场景提供全面的应急资源数据统计和分析功能。系统能汇总展示特定场景下人员、物资、设备的投入使用情况，包括资源分配、使用频率、资源消耗量等关键指标，并进行数据综合对比分析，能以图表或图示等形式进行数据展示，以评估不同事件或时间段内的资源使用效果和响应效率，以优化资源配置和决策制定。</w:t>
      </w:r>
    </w:p>
    <w:p w14:paraId="3F1415A7">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数据接口预留</w:t>
      </w:r>
    </w:p>
    <w:p w14:paraId="6F53CBA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网管理系统要遵循标准的接口开发规范要求，根据业务特点和实时性要求，与外部系统、外场设备的通信要根据不同系统的传输要求选择适当接口方式，需预留至少2个标准化的、可扩展的接口，以便后期与交通运输部公路阻断信息平台实现数据及功能对接，实现全省干线公路阻断信息的自动化上报。</w:t>
      </w:r>
    </w:p>
    <w:p w14:paraId="6249580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接口设计需遵循标准化的数据交换协议，确保与外部系统的无缝连接。能够接收相关阻断信息，如道路封闭、交通中断等，按照预定义的规则自动上传至部级信息平台。</w:t>
      </w:r>
    </w:p>
    <w:p w14:paraId="30C27319">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系统界面优化</w:t>
      </w:r>
    </w:p>
    <w:p w14:paraId="701C2CF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公路网管理系统界面优化需满足：</w:t>
      </w:r>
    </w:p>
    <w:p w14:paraId="53D648E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①</w:t>
      </w:r>
      <w:r>
        <w:rPr>
          <w:rFonts w:hint="eastAsia" w:ascii="宋体" w:hAnsi="宋体" w:eastAsia="宋体" w:cs="宋体"/>
          <w:b w:val="0"/>
          <w:bCs w:val="0"/>
          <w:color w:val="auto"/>
          <w:sz w:val="24"/>
          <w:szCs w:val="24"/>
          <w:highlight w:val="none"/>
        </w:rPr>
        <w:t>需进行系统模块布局优化，操作页面需根据用户习惯，合理布局导航、内容和操作按钮，减少用户操作路径；</w:t>
      </w:r>
    </w:p>
    <w:p w14:paraId="62CD21C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②</w:t>
      </w:r>
      <w:r>
        <w:rPr>
          <w:rFonts w:hint="eastAsia" w:ascii="宋体" w:hAnsi="宋体" w:eastAsia="宋体" w:cs="宋体"/>
          <w:b w:val="0"/>
          <w:bCs w:val="0"/>
          <w:color w:val="auto"/>
          <w:sz w:val="24"/>
          <w:szCs w:val="24"/>
          <w:highlight w:val="none"/>
        </w:rPr>
        <w:t>需进行信息展示优化，精简界面信息，突出重点，避免信息过载；</w:t>
      </w:r>
    </w:p>
    <w:p w14:paraId="30CFEE6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p>
    <w:p w14:paraId="5662882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③</w:t>
      </w:r>
      <w:r>
        <w:rPr>
          <w:rFonts w:hint="eastAsia" w:ascii="宋体" w:hAnsi="宋体" w:eastAsia="宋体" w:cs="宋体"/>
          <w:b w:val="0"/>
          <w:bCs w:val="0"/>
          <w:color w:val="auto"/>
          <w:sz w:val="24"/>
          <w:szCs w:val="24"/>
          <w:highlight w:val="none"/>
        </w:rPr>
        <w:t>需进行交互体验优化，简化操作流程，增加交互反馈，提升用户体验；</w:t>
      </w:r>
    </w:p>
    <w:p w14:paraId="684FE26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④</w:t>
      </w:r>
      <w:r>
        <w:rPr>
          <w:rFonts w:hint="eastAsia" w:ascii="宋体" w:hAnsi="宋体" w:eastAsia="宋体" w:cs="宋体"/>
          <w:b w:val="0"/>
          <w:bCs w:val="0"/>
          <w:color w:val="auto"/>
          <w:sz w:val="24"/>
          <w:szCs w:val="24"/>
          <w:highlight w:val="none"/>
        </w:rPr>
        <w:t>需进行视觉设计优化，统一风格、颜色，提高界面整体美观性，增强可视性；</w:t>
      </w:r>
    </w:p>
    <w:p w14:paraId="0CF6BC8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⑤</w:t>
      </w:r>
      <w:r>
        <w:rPr>
          <w:rFonts w:hint="eastAsia" w:ascii="宋体" w:hAnsi="宋体" w:eastAsia="宋体" w:cs="宋体"/>
          <w:b w:val="0"/>
          <w:bCs w:val="0"/>
          <w:color w:val="auto"/>
          <w:sz w:val="24"/>
          <w:szCs w:val="24"/>
          <w:highlight w:val="none"/>
        </w:rPr>
        <w:t>需进行响应式设计优化，适配不同屏幕大小，提供更好的移动端体验。</w:t>
      </w:r>
    </w:p>
    <w:p w14:paraId="4158DF8E">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服务要求</w:t>
      </w:r>
    </w:p>
    <w:p w14:paraId="03F44307">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）技术规范</w:t>
      </w:r>
    </w:p>
    <w:p w14:paraId="241EC79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以国家、行业相关标准规范为公路网管理系统升级的标准及依据，包括不限于如下法律法规、标准规范等：</w:t>
      </w:r>
    </w:p>
    <w:p w14:paraId="4480DB3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《中华人民共和国突发事件应对法》（2024年修订版）</w:t>
      </w:r>
    </w:p>
    <w:p w14:paraId="1CBA9ED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《交通运输应急管理规定》（交通运输部发布）</w:t>
      </w:r>
    </w:p>
    <w:p w14:paraId="29AC9D2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《陕西省公路交通突发事件应急预案》</w:t>
      </w:r>
    </w:p>
    <w:p w14:paraId="591D237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《陕西省公路局公路突发事件总体预案及专项预案》</w:t>
      </w:r>
    </w:p>
    <w:p w14:paraId="5C30A9A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《公路安全预警与应急信息管理要求》（JT 2024-26 征求意见稿）</w:t>
      </w:r>
    </w:p>
    <w:p w14:paraId="786DCAE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《公路交通应急处置技术规范》</w:t>
      </w:r>
    </w:p>
    <w:p w14:paraId="572E974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《普通公路网监测与应急指挥中心建设及运行规范》（陕西省地方标准）</w:t>
      </w:r>
    </w:p>
    <w:p w14:paraId="6C13A78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《信息安全技术信息系统通用安全技术要求》（GB/T20271-2006）</w:t>
      </w:r>
    </w:p>
    <w:p w14:paraId="1D48FF4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《计算机信息系统安全》（GA 216.1－1999）</w:t>
      </w:r>
    </w:p>
    <w:p w14:paraId="4422C4C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《计算机软件开发规范》（GB8566-88）</w:t>
      </w:r>
    </w:p>
    <w:p w14:paraId="333FE78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《公共安全重点区域视频图像信息采集规范》（GB 37300）</w:t>
      </w:r>
    </w:p>
    <w:p w14:paraId="04FBDCA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《信息安全技术网络安全等级保护基本要求》（GB/T 22239-2019）</w:t>
      </w:r>
    </w:p>
    <w:p w14:paraId="64A6AA4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《公共安全视频监控联网系统信息传输、交换、控制技术要求》（GB/T 28181-2016）</w:t>
      </w:r>
    </w:p>
    <w:p w14:paraId="248E474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《视频交通事件检测器》（GB/T 28789-2012）</w:t>
      </w:r>
    </w:p>
    <w:p w14:paraId="2460716F">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）运行要求</w:t>
      </w:r>
    </w:p>
    <w:p w14:paraId="034A9680">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安全性</w:t>
      </w:r>
    </w:p>
    <w:p w14:paraId="5363AAD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公路网管理系统需保证数据的完整性、可用性和保密性，平台应具备严格的访问控制措施（包括必要的物理安全策略、访问控制策略、信息加密策略等），安装部署所提供的软硬件设施需完全自主可控</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网络安全等级保护不低于三级等保要求，确保在使用过程中遵循相关法律法规，保护个人和组织的隐私权益。</w:t>
      </w:r>
    </w:p>
    <w:p w14:paraId="55D8EDCB">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可靠性</w:t>
      </w:r>
    </w:p>
    <w:p w14:paraId="2CB52A5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网管理系统属于实时在线业务系统，要求具备7×24小时不间断运行能力，在系统升级开发期间，要保障原有公路网管理系统能够正常稳定运行；在系统升级完毕试运行期间，要确保新的可视化平台与原有公路网管理系统之间数据交互稳定高效，系统整体运行流畅可靠。</w:t>
      </w:r>
    </w:p>
    <w:p w14:paraId="506B4041">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兼容性</w:t>
      </w:r>
    </w:p>
    <w:p w14:paraId="604004B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公路网管理系统需兼容行业主流服务器、操作系统、数据库及中间件，支持标准的API接口、数据格式交换，确保与第三方系统无缝对接。</w:t>
      </w:r>
    </w:p>
    <w:p w14:paraId="03EFF5A1">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④</w:t>
      </w:r>
      <w:r>
        <w:rPr>
          <w:rFonts w:hint="eastAsia" w:ascii="宋体" w:hAnsi="宋体" w:eastAsia="宋体" w:cs="宋体"/>
          <w:b/>
          <w:bCs/>
          <w:color w:val="auto"/>
          <w:sz w:val="24"/>
          <w:szCs w:val="24"/>
          <w:highlight w:val="none"/>
        </w:rPr>
        <w:t>可维护性</w:t>
      </w:r>
    </w:p>
    <w:p w14:paraId="4D59AD5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平台采用模块化和结构化程序设计思想，并产生结构文档工具，以提高系统的可维护性，同时要记录操作日志、系统运行状态、支持故障快速定位。</w:t>
      </w:r>
    </w:p>
    <w:p w14:paraId="3DAA0AC3">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⑤</w:t>
      </w:r>
      <w:r>
        <w:rPr>
          <w:rFonts w:hint="eastAsia" w:ascii="宋体" w:hAnsi="宋体" w:eastAsia="宋体" w:cs="宋体"/>
          <w:b/>
          <w:bCs/>
          <w:color w:val="auto"/>
          <w:sz w:val="24"/>
          <w:szCs w:val="24"/>
          <w:highlight w:val="none"/>
        </w:rPr>
        <w:t>可扩展性</w:t>
      </w:r>
    </w:p>
    <w:p w14:paraId="6A5287F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公路网系统升级方案应能满足业务发展需要，方便扩大应用范围和提高应用水平。系统中配置的软件和开发的系统应便于维护、升级、二次开发，支持信创要求，并具有支持多种接口的能力。</w:t>
      </w:r>
    </w:p>
    <w:p w14:paraId="3D2BD254">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⑥</w:t>
      </w:r>
      <w:r>
        <w:rPr>
          <w:rFonts w:hint="eastAsia" w:ascii="宋体" w:hAnsi="宋体" w:eastAsia="宋体" w:cs="宋体"/>
          <w:b/>
          <w:bCs/>
          <w:color w:val="auto"/>
          <w:sz w:val="24"/>
          <w:szCs w:val="24"/>
          <w:highlight w:val="none"/>
        </w:rPr>
        <w:t>易用性</w:t>
      </w:r>
    </w:p>
    <w:p w14:paraId="0F2DD66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在功能和人机交互界面上贴近多数用户日常习惯，模块和功能按钮的说明应定义清晰、命名直观，能够达到简单易用、提高效率的目的。系统架构的有关流程、用户、数据等的管理设计应简洁、直观，以便于后期运营与维护。</w:t>
      </w:r>
    </w:p>
    <w:p w14:paraId="67E5AC63">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）响应要求</w:t>
      </w:r>
    </w:p>
    <w:p w14:paraId="7589BCC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平台升级需提供良好的运行环境，系统运行响应需满足如下条件：</w:t>
      </w:r>
    </w:p>
    <w:p w14:paraId="6C97EEC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①</w:t>
      </w:r>
      <w:r>
        <w:rPr>
          <w:rFonts w:hint="eastAsia" w:ascii="宋体" w:hAnsi="宋体" w:eastAsia="宋体" w:cs="宋体"/>
          <w:b w:val="0"/>
          <w:bCs w:val="0"/>
          <w:color w:val="auto"/>
          <w:sz w:val="24"/>
          <w:szCs w:val="24"/>
          <w:highlight w:val="none"/>
        </w:rPr>
        <w:t>业务信息查询分析响应时间≤5秒；</w:t>
      </w:r>
    </w:p>
    <w:p w14:paraId="6321D9A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②</w:t>
      </w:r>
      <w:r>
        <w:rPr>
          <w:rFonts w:hint="eastAsia" w:ascii="宋体" w:hAnsi="宋体" w:eastAsia="宋体" w:cs="宋体"/>
          <w:b w:val="0"/>
          <w:bCs w:val="0"/>
          <w:color w:val="auto"/>
          <w:sz w:val="24"/>
          <w:szCs w:val="24"/>
          <w:highlight w:val="none"/>
        </w:rPr>
        <w:t>各类查询反馈时间≤5秒；</w:t>
      </w:r>
    </w:p>
    <w:p w14:paraId="1DD9ACD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③</w:t>
      </w:r>
      <w:r>
        <w:rPr>
          <w:rFonts w:hint="eastAsia" w:ascii="宋体" w:hAnsi="宋体" w:eastAsia="宋体" w:cs="宋体"/>
          <w:b w:val="0"/>
          <w:bCs w:val="0"/>
          <w:color w:val="auto"/>
          <w:sz w:val="24"/>
          <w:szCs w:val="24"/>
          <w:highlight w:val="none"/>
        </w:rPr>
        <w:t>平台接收数据到显示最新状态时间﹤2秒；</w:t>
      </w:r>
    </w:p>
    <w:p w14:paraId="3198697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④</w:t>
      </w:r>
      <w:r>
        <w:rPr>
          <w:rFonts w:hint="eastAsia" w:ascii="宋体" w:hAnsi="宋体" w:eastAsia="宋体" w:cs="宋体"/>
          <w:b w:val="0"/>
          <w:bCs w:val="0"/>
          <w:color w:val="auto"/>
          <w:sz w:val="24"/>
          <w:szCs w:val="24"/>
          <w:highlight w:val="none"/>
        </w:rPr>
        <w:t>返回记录超过200条以上的数据查询及涉及复杂计算统计的反应时间≤8秒；</w:t>
      </w:r>
    </w:p>
    <w:p w14:paraId="1015DED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⑤</w:t>
      </w:r>
      <w:r>
        <w:rPr>
          <w:rFonts w:hint="eastAsia" w:ascii="宋体" w:hAnsi="宋体" w:eastAsia="宋体" w:cs="宋体"/>
          <w:b w:val="0"/>
          <w:bCs w:val="0"/>
          <w:color w:val="auto"/>
          <w:sz w:val="24"/>
          <w:szCs w:val="24"/>
          <w:highlight w:val="none"/>
        </w:rPr>
        <w:t>≤100个用户并发获取地址信息时，每个地址匹配请求响应时间≤9秒；</w:t>
      </w:r>
    </w:p>
    <w:p w14:paraId="0484012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⑥</w:t>
      </w:r>
      <w:r>
        <w:rPr>
          <w:rFonts w:hint="eastAsia" w:ascii="宋体" w:hAnsi="宋体" w:eastAsia="宋体" w:cs="宋体"/>
          <w:b w:val="0"/>
          <w:bCs w:val="0"/>
          <w:color w:val="auto"/>
          <w:sz w:val="24"/>
          <w:szCs w:val="24"/>
          <w:highlight w:val="none"/>
        </w:rPr>
        <w:t>信息度量和统计的误差不超过5%；</w:t>
      </w:r>
    </w:p>
    <w:p w14:paraId="3A5A336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⑦</w:t>
      </w:r>
      <w:r>
        <w:rPr>
          <w:rFonts w:hint="eastAsia" w:ascii="宋体" w:hAnsi="宋体" w:eastAsia="宋体" w:cs="宋体"/>
          <w:b w:val="0"/>
          <w:bCs w:val="0"/>
          <w:color w:val="auto"/>
          <w:sz w:val="24"/>
          <w:szCs w:val="24"/>
          <w:highlight w:val="none"/>
        </w:rPr>
        <w:t>系统同时支持不低于200个用户的并发访问；</w:t>
      </w:r>
    </w:p>
    <w:p w14:paraId="1729A76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⑧</w:t>
      </w:r>
      <w:r>
        <w:rPr>
          <w:rFonts w:hint="eastAsia" w:ascii="宋体" w:hAnsi="宋体" w:eastAsia="宋体" w:cs="宋体"/>
          <w:b w:val="0"/>
          <w:bCs w:val="0"/>
          <w:color w:val="auto"/>
          <w:sz w:val="24"/>
          <w:szCs w:val="24"/>
          <w:highlight w:val="none"/>
        </w:rPr>
        <w:t>数据库服务器达到200个用户并发访问时，用户访问数据库的响应时间≤8秒；</w:t>
      </w:r>
    </w:p>
    <w:p w14:paraId="4154B03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⑨</w:t>
      </w:r>
      <w:r>
        <w:rPr>
          <w:rFonts w:hint="eastAsia" w:ascii="宋体" w:hAnsi="宋体" w:eastAsia="宋体" w:cs="宋体"/>
          <w:b w:val="0"/>
          <w:bCs w:val="0"/>
          <w:color w:val="auto"/>
          <w:sz w:val="24"/>
          <w:szCs w:val="24"/>
          <w:highlight w:val="none"/>
        </w:rPr>
        <w:t>一般故障恢复时间：MTTR﹤30分钟；</w:t>
      </w:r>
    </w:p>
    <w:p w14:paraId="019E9E4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⑩</w:t>
      </w:r>
      <w:r>
        <w:rPr>
          <w:rFonts w:hint="eastAsia" w:ascii="宋体" w:hAnsi="宋体" w:eastAsia="宋体" w:cs="宋体"/>
          <w:b w:val="0"/>
          <w:bCs w:val="0"/>
          <w:color w:val="auto"/>
          <w:sz w:val="24"/>
          <w:szCs w:val="24"/>
          <w:highlight w:val="none"/>
        </w:rPr>
        <w:t>数据处理能力：数据库支持3年以上的统计数据存储和处理；</w:t>
      </w:r>
    </w:p>
    <w:p w14:paraId="03D8F7C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注：系统升级后的运行响应效率不得低于原有公路网管理系统的运行响应效率。</w:t>
      </w:r>
    </w:p>
    <w:p w14:paraId="0EB92148">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实施</w:t>
      </w:r>
      <w:r>
        <w:rPr>
          <w:rFonts w:hint="eastAsia" w:ascii="宋体" w:hAnsi="宋体" w:eastAsia="宋体" w:cs="宋体"/>
          <w:b/>
          <w:bCs/>
          <w:color w:val="auto"/>
          <w:sz w:val="24"/>
          <w:szCs w:val="24"/>
          <w:highlight w:val="none"/>
        </w:rPr>
        <w:t>要求</w:t>
      </w:r>
    </w:p>
    <w:p w14:paraId="6E8218A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①</w:t>
      </w:r>
      <w:r>
        <w:rPr>
          <w:rFonts w:hint="eastAsia" w:ascii="宋体" w:hAnsi="宋体" w:eastAsia="宋体" w:cs="宋体"/>
          <w:b w:val="0"/>
          <w:bCs w:val="0"/>
          <w:color w:val="auto"/>
          <w:sz w:val="24"/>
          <w:szCs w:val="24"/>
          <w:highlight w:val="none"/>
        </w:rPr>
        <w:t>陕西省公路网管理与应急指挥系统升级项目服务单位（中标供应商）要按照软件开发全流程标准规范进行项目开发工作。在合同签订后，项目正式开发前，要对照本项目升级任务、功能需求、服务要求等内容，经与采购人充分沟通全面了解本项目需求后，编制《陕西省公路网管理与应急指挥系统升级项目实施方案》，主要内容应包括：实施目标、实施基础、实施内容、实施步骤、技术实现、测试计划、部署方案、培训运维、风险管理等内容。经与采购人共同确认后，正式开始项目开发工作。该方案将作为本项目最终验收的重要依据。</w:t>
      </w:r>
    </w:p>
    <w:p w14:paraId="3343F3A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②</w:t>
      </w:r>
      <w:r>
        <w:rPr>
          <w:rFonts w:hint="eastAsia" w:ascii="宋体" w:hAnsi="宋体" w:eastAsia="宋体" w:cs="宋体"/>
          <w:b w:val="0"/>
          <w:bCs w:val="0"/>
          <w:color w:val="auto"/>
          <w:sz w:val="24"/>
          <w:szCs w:val="24"/>
          <w:highlight w:val="none"/>
        </w:rPr>
        <w:t>在项目完工后，供应商需开展系统</w:t>
      </w:r>
      <w:r>
        <w:rPr>
          <w:rFonts w:hint="eastAsia" w:ascii="宋体" w:hAnsi="宋体" w:eastAsia="宋体" w:cs="宋体"/>
          <w:b w:val="0"/>
          <w:bCs w:val="0"/>
          <w:color w:val="auto"/>
          <w:sz w:val="24"/>
          <w:szCs w:val="24"/>
          <w:highlight w:val="none"/>
          <w:lang w:val="en-US" w:eastAsia="zh-CN"/>
        </w:rPr>
        <w:t>自</w:t>
      </w:r>
      <w:r>
        <w:rPr>
          <w:rFonts w:hint="eastAsia" w:ascii="宋体" w:hAnsi="宋体" w:eastAsia="宋体" w:cs="宋体"/>
          <w:b w:val="0"/>
          <w:bCs w:val="0"/>
          <w:color w:val="auto"/>
          <w:sz w:val="24"/>
          <w:szCs w:val="24"/>
          <w:highlight w:val="none"/>
        </w:rPr>
        <w:t>测试工作，及时发现并修正系统存在的漏洞与问题。</w:t>
      </w:r>
      <w:r>
        <w:rPr>
          <w:rFonts w:hint="eastAsia" w:ascii="宋体" w:hAnsi="宋体" w:eastAsia="宋体" w:cs="宋体"/>
          <w:b w:val="0"/>
          <w:bCs w:val="0"/>
          <w:color w:val="auto"/>
          <w:sz w:val="24"/>
          <w:szCs w:val="24"/>
          <w:highlight w:val="none"/>
          <w:lang w:val="en-US" w:eastAsia="zh-CN"/>
        </w:rPr>
        <w:t>系统自</w:t>
      </w:r>
      <w:r>
        <w:rPr>
          <w:rFonts w:hint="eastAsia" w:ascii="宋体" w:hAnsi="宋体" w:eastAsia="宋体" w:cs="宋体"/>
          <w:b w:val="0"/>
          <w:bCs w:val="0"/>
          <w:color w:val="auto"/>
          <w:sz w:val="24"/>
          <w:szCs w:val="24"/>
          <w:highlight w:val="none"/>
        </w:rPr>
        <w:t>测试通过后，开展不少于</w:t>
      </w:r>
      <w:r>
        <w:rPr>
          <w:rFonts w:hint="eastAsia" w:ascii="宋体" w:hAnsi="宋体" w:cs="宋体"/>
          <w:b w:val="0"/>
          <w:bCs w:val="0"/>
          <w:color w:val="auto"/>
          <w:sz w:val="24"/>
          <w:szCs w:val="24"/>
          <w:highlight w:val="none"/>
          <w:lang w:val="en-US" w:eastAsia="zh-CN"/>
        </w:rPr>
        <w:t>90天</w:t>
      </w:r>
      <w:r>
        <w:rPr>
          <w:rFonts w:hint="eastAsia" w:ascii="宋体" w:hAnsi="宋体" w:eastAsia="宋体" w:cs="宋体"/>
          <w:b w:val="0"/>
          <w:bCs w:val="0"/>
          <w:color w:val="auto"/>
          <w:sz w:val="24"/>
          <w:szCs w:val="24"/>
          <w:highlight w:val="none"/>
        </w:rPr>
        <w:t>的系统试运行，</w:t>
      </w:r>
      <w:r>
        <w:rPr>
          <w:rFonts w:hint="eastAsia" w:ascii="宋体" w:hAnsi="宋体" w:eastAsia="宋体" w:cs="宋体"/>
          <w:b w:val="0"/>
          <w:bCs w:val="0"/>
          <w:color w:val="auto"/>
          <w:sz w:val="24"/>
          <w:szCs w:val="24"/>
          <w:highlight w:val="none"/>
          <w:lang w:val="en-US" w:eastAsia="zh-CN"/>
        </w:rPr>
        <w:t>及时发现并解决</w:t>
      </w:r>
      <w:r>
        <w:rPr>
          <w:rFonts w:hint="eastAsia" w:ascii="宋体" w:hAnsi="宋体" w:cs="宋体"/>
          <w:b w:val="0"/>
          <w:bCs w:val="0"/>
          <w:color w:val="auto"/>
          <w:sz w:val="24"/>
          <w:szCs w:val="24"/>
          <w:highlight w:val="none"/>
          <w:lang w:val="en-US" w:eastAsia="zh-CN"/>
        </w:rPr>
        <w:t>系统</w:t>
      </w:r>
      <w:r>
        <w:rPr>
          <w:rFonts w:hint="eastAsia" w:ascii="宋体" w:hAnsi="宋体" w:eastAsia="宋体" w:cs="宋体"/>
          <w:b w:val="0"/>
          <w:bCs w:val="0"/>
          <w:color w:val="auto"/>
          <w:sz w:val="24"/>
          <w:szCs w:val="24"/>
          <w:highlight w:val="none"/>
          <w:lang w:val="en-US" w:eastAsia="zh-CN"/>
        </w:rPr>
        <w:t>存在各类问题故障，</w:t>
      </w:r>
      <w:r>
        <w:rPr>
          <w:rFonts w:hint="eastAsia" w:ascii="宋体" w:hAnsi="宋体" w:eastAsia="宋体" w:cs="宋体"/>
          <w:b w:val="0"/>
          <w:bCs w:val="0"/>
          <w:color w:val="auto"/>
          <w:sz w:val="24"/>
          <w:szCs w:val="24"/>
          <w:highlight w:val="none"/>
        </w:rPr>
        <w:t>试运行过程中，供应商需向采购人培训软件的实际操作方法和使用流程，提供软件使用操作手册，确保采购人能够顺利地使用软件。</w:t>
      </w:r>
    </w:p>
    <w:p w14:paraId="7119F1A6">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③</w:t>
      </w:r>
      <w:r>
        <w:rPr>
          <w:rFonts w:hint="eastAsia" w:ascii="宋体" w:hAnsi="宋体" w:eastAsia="宋体" w:cs="宋体"/>
          <w:b w:val="0"/>
          <w:bCs w:val="0"/>
          <w:color w:val="auto"/>
          <w:sz w:val="24"/>
          <w:szCs w:val="24"/>
          <w:highlight w:val="none"/>
        </w:rPr>
        <w:t>系统试运行通过后，供应商向采购人申请验收，经双方共同确认的</w:t>
      </w:r>
      <w:r>
        <w:rPr>
          <w:rFonts w:hint="eastAsia" w:ascii="宋体" w:hAnsi="宋体" w:cs="宋体"/>
          <w:b w:val="0"/>
          <w:bCs w:val="0"/>
          <w:color w:val="auto"/>
          <w:sz w:val="24"/>
          <w:szCs w:val="24"/>
          <w:highlight w:val="none"/>
          <w:lang w:eastAsia="zh-CN"/>
        </w:rPr>
        <w:t>第三方检测机构检测合格后</w:t>
      </w:r>
      <w:r>
        <w:rPr>
          <w:rFonts w:hint="eastAsia" w:ascii="宋体" w:hAnsi="宋体" w:eastAsia="宋体" w:cs="宋体"/>
          <w:b w:val="0"/>
          <w:bCs w:val="0"/>
          <w:color w:val="auto"/>
          <w:sz w:val="24"/>
          <w:szCs w:val="24"/>
          <w:highlight w:val="none"/>
        </w:rPr>
        <w:t>，采购人组织相关人员或专家组成验收小组对项目进行最终验收。</w:t>
      </w:r>
    </w:p>
    <w:p w14:paraId="5FB3AEE9">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售后要求</w:t>
      </w:r>
    </w:p>
    <w:p w14:paraId="1E57D82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公路网管理系统属于实时在线业务系统，服务单位要求具备7×24小时不间断技术支持及售后服务能力，确保系统稳定持久运行。</w:t>
      </w:r>
    </w:p>
    <w:p w14:paraId="0893598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在系统试运行及质量保证期内，出现任何系统故障及问题，服务单位需第一时间免费提供应急响应服务，需提供7*24小时电话咨询支持，1小时内应急响应，2小时内给出问题解决方案，如有需要24小时内到达故障现场解决问题。如未能到达现场，采购人则聘请第三方应急解决问题，在此过程所产生的所有费用由供应商承担。</w:t>
      </w:r>
    </w:p>
    <w:p w14:paraId="2BC77D6A">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质保</w:t>
      </w:r>
      <w:r>
        <w:rPr>
          <w:rFonts w:hint="eastAsia" w:ascii="宋体" w:hAnsi="宋体" w:eastAsia="宋体" w:cs="宋体"/>
          <w:b/>
          <w:bCs/>
          <w:color w:val="auto"/>
          <w:sz w:val="24"/>
          <w:szCs w:val="24"/>
          <w:highlight w:val="none"/>
        </w:rPr>
        <w:t>要求</w:t>
      </w:r>
    </w:p>
    <w:p w14:paraId="60E6AD04">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陕西省公路网管理与应急指挥系统升级项目最终验收合格后，服务单位需免费提供1年期系统运行故障修复、软件更新等质保服务，确保升级后的公路网管理系统平台安全、稳定、高效运行，质保期自项目履约验收合格之日起开始计算。</w:t>
      </w:r>
    </w:p>
    <w:p w14:paraId="29257A9D">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七、</w:t>
      </w:r>
      <w:r>
        <w:rPr>
          <w:rFonts w:hint="eastAsia" w:ascii="宋体" w:hAnsi="宋体" w:eastAsia="宋体" w:cs="宋体"/>
          <w:b/>
          <w:bCs/>
          <w:color w:val="auto"/>
          <w:sz w:val="24"/>
          <w:szCs w:val="24"/>
          <w:highlight w:val="none"/>
          <w:lang w:val="en-US" w:eastAsia="zh-CN"/>
        </w:rPr>
        <w:t>服务保障</w:t>
      </w:r>
    </w:p>
    <w:p w14:paraId="14C54FDA">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（一）乙方应保障本次项目开发中项目负责人及项目团队成员身份信息的真实可靠，必须具备项目管理、技术开发、故障处置等方面的服务能力，应按照合同约定的服务期限，如期完成项目开发任务。</w:t>
      </w:r>
    </w:p>
    <w:p w14:paraId="0E7E3727">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乙方应采取必要措施确保项目团队人员长期稳定。乙方在项目服务期内不得自行随意更换项目负责人，如需必要更换，必须征得甲方同意。因乙方原因造成项目负责人及团队成员变更，致使项目未按照约定期限如期完工的，由此</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造成</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损失，由</w:t>
      </w:r>
      <w:r>
        <w:rPr>
          <w:rFonts w:hint="eastAsia" w:ascii="宋体" w:hAnsi="宋体" w:eastAsia="宋体" w:cs="宋体"/>
          <w:color w:val="auto"/>
          <w:sz w:val="24"/>
          <w:szCs w:val="24"/>
          <w:highlight w:val="none"/>
          <w:lang w:val="en-US" w:eastAsia="zh-CN"/>
        </w:rPr>
        <w:t>乙方负责</w:t>
      </w:r>
      <w:r>
        <w:rPr>
          <w:rFonts w:hint="eastAsia" w:ascii="宋体" w:hAnsi="宋体" w:eastAsia="宋体" w:cs="宋体"/>
          <w:color w:val="auto"/>
          <w:sz w:val="24"/>
          <w:szCs w:val="24"/>
          <w:highlight w:val="none"/>
        </w:rPr>
        <w:t>赔偿。</w:t>
      </w:r>
    </w:p>
    <w:p w14:paraId="221E752E">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（三）技术支持和售后服务由乙方严格按投标（响应）文件及有关承诺执行，确保甲方正确安全使用。出现任何系统故障及问题，</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需第一时间免费提供应急响应服务，需提供7*24小时电话咨询支持，1小时内应急响应，2小时内给出问题解决方案，如有需要24小时内到达故障现场解决问题。如未能到达现场，</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则聘请第三方应急解决问题，在此过程所产生的所有费用由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承担。</w:t>
      </w:r>
      <w:r>
        <w:rPr>
          <w:rFonts w:hint="eastAsia" w:ascii="宋体" w:hAnsi="宋体" w:eastAsia="宋体" w:cs="宋体"/>
          <w:color w:val="auto"/>
          <w:sz w:val="24"/>
          <w:szCs w:val="24"/>
          <w:highlight w:val="none"/>
        </w:rPr>
        <w:t>售后服务联系方式：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62E93855">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怠</w:t>
      </w:r>
      <w:r>
        <w:rPr>
          <w:rFonts w:hint="eastAsia" w:ascii="宋体" w:hAnsi="宋体" w:eastAsia="宋体" w:cs="宋体"/>
          <w:color w:val="auto"/>
          <w:sz w:val="24"/>
          <w:szCs w:val="24"/>
          <w:highlight w:val="none"/>
          <w:lang w:val="en-US" w:eastAsia="zh-CN"/>
        </w:rPr>
        <w:t>慢</w:t>
      </w:r>
      <w:r>
        <w:rPr>
          <w:rFonts w:hint="eastAsia" w:ascii="宋体" w:hAnsi="宋体" w:eastAsia="宋体" w:cs="宋体"/>
          <w:color w:val="auto"/>
          <w:sz w:val="24"/>
          <w:szCs w:val="24"/>
          <w:highlight w:val="none"/>
        </w:rPr>
        <w:t>或不能履行售后义务，</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有权委托第三方处理，由此产生的费用和风险由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承担，费用由</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履约</w:t>
      </w:r>
      <w:r>
        <w:rPr>
          <w:rFonts w:hint="eastAsia" w:ascii="宋体" w:hAnsi="宋体" w:eastAsia="宋体" w:cs="宋体"/>
          <w:color w:val="auto"/>
          <w:sz w:val="24"/>
          <w:szCs w:val="24"/>
          <w:highlight w:val="none"/>
        </w:rPr>
        <w:t>保</w:t>
      </w:r>
      <w:r>
        <w:rPr>
          <w:rFonts w:hint="eastAsia" w:ascii="宋体" w:hAnsi="宋体" w:eastAsia="宋体" w:cs="宋体"/>
          <w:color w:val="auto"/>
          <w:sz w:val="24"/>
          <w:szCs w:val="24"/>
          <w:highlight w:val="none"/>
          <w:lang w:val="en-US" w:eastAsia="zh-CN"/>
        </w:rPr>
        <w:t>证</w:t>
      </w:r>
      <w:r>
        <w:rPr>
          <w:rFonts w:hint="eastAsia" w:ascii="宋体" w:hAnsi="宋体" w:eastAsia="宋体" w:cs="宋体"/>
          <w:color w:val="auto"/>
          <w:sz w:val="24"/>
          <w:szCs w:val="24"/>
          <w:highlight w:val="none"/>
        </w:rPr>
        <w:t>金中直接扣除，不足部分仍由供应商承担。</w:t>
      </w:r>
    </w:p>
    <w:p w14:paraId="521787E1">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八、</w:t>
      </w:r>
      <w:r>
        <w:rPr>
          <w:rFonts w:hint="eastAsia" w:ascii="宋体" w:hAnsi="宋体" w:eastAsia="宋体" w:cs="宋体"/>
          <w:b/>
          <w:bCs/>
          <w:color w:val="auto"/>
          <w:sz w:val="24"/>
          <w:szCs w:val="24"/>
          <w:highlight w:val="none"/>
          <w:lang w:eastAsia="zh-CN"/>
        </w:rPr>
        <w:t>履约</w:t>
      </w:r>
      <w:r>
        <w:rPr>
          <w:rFonts w:hint="eastAsia" w:ascii="宋体" w:hAnsi="宋体" w:eastAsia="宋体" w:cs="宋体"/>
          <w:b/>
          <w:bCs/>
          <w:color w:val="auto"/>
          <w:sz w:val="24"/>
          <w:szCs w:val="24"/>
          <w:highlight w:val="none"/>
        </w:rPr>
        <w:t>验收</w:t>
      </w:r>
    </w:p>
    <w:p w14:paraId="6F9F4530">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bidi="ar-SA"/>
        </w:rPr>
        <w:t>该项目完工后，系统试运行通过后，供应商向采购人申请验收，</w:t>
      </w:r>
      <w:r>
        <w:rPr>
          <w:rFonts w:hint="eastAsia" w:ascii="宋体" w:hAnsi="宋体" w:eastAsia="宋体" w:cs="宋体"/>
          <w:color w:val="auto"/>
          <w:sz w:val="24"/>
          <w:szCs w:val="24"/>
          <w:highlight w:val="none"/>
          <w:lang w:val="en-US" w:eastAsia="zh-CN"/>
        </w:rPr>
        <w:t>经双方共同确认的</w:t>
      </w:r>
      <w:r>
        <w:rPr>
          <w:rFonts w:hint="eastAsia" w:ascii="宋体" w:hAnsi="宋体" w:cs="宋体"/>
          <w:color w:val="auto"/>
          <w:sz w:val="24"/>
          <w:szCs w:val="24"/>
          <w:highlight w:val="none"/>
          <w:lang w:val="en-US" w:eastAsia="zh-CN"/>
        </w:rPr>
        <w:t>第三方检测机构检测合格后</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组织相关人员或专家组成验收小组对项目进行最终验收。验收合格后，</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填写终验验收单，验收不合格的，限期整改，整改过程中产生的费用和发生的一切损失由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承担；整改超过二次的，</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有权单方解除本合同，</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应无条件退还已收取的全部合同价款，并按合同总价10%向</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支付违约金，违约金不足弥补</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损失的，由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负责赔偿。</w:t>
      </w:r>
    </w:p>
    <w:p w14:paraId="58A8B3CF">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zh-CN"/>
        </w:rPr>
        <w:t>）验收依据：</w:t>
      </w:r>
    </w:p>
    <w:p w14:paraId="37007399">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1.本合同及附加文本；</w:t>
      </w:r>
    </w:p>
    <w:p w14:paraId="150373CA">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2.磋商文件、成交供应商的响应文件及澄清（承诺）函；</w:t>
      </w:r>
    </w:p>
    <w:p w14:paraId="59CC8A53">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kern w:val="0"/>
          <w:sz w:val="24"/>
          <w:szCs w:val="24"/>
          <w:highlight w:val="none"/>
          <w:lang w:val="en-US" w:eastAsia="zh-CN" w:bidi="ar-SA"/>
        </w:rPr>
        <w:t>《陕西省公路网管理与应急指挥系统升级项目实施方案》；</w:t>
      </w:r>
    </w:p>
    <w:p w14:paraId="2E093BA4">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第三方检测机构出具的检测报告</w:t>
      </w:r>
      <w:r>
        <w:rPr>
          <w:rFonts w:hint="eastAsia" w:ascii="宋体" w:hAnsi="宋体" w:eastAsia="宋体" w:cs="宋体"/>
          <w:color w:val="auto"/>
          <w:sz w:val="24"/>
          <w:szCs w:val="24"/>
          <w:highlight w:val="none"/>
          <w:lang w:val="en-US" w:eastAsia="zh-CN"/>
        </w:rPr>
        <w:t>；</w:t>
      </w:r>
    </w:p>
    <w:p w14:paraId="1C3E59BD">
      <w:pPr>
        <w:pStyle w:val="13"/>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.国家相应的标准、规范及《陕西省公路局政府采购项目履约验收办法》（陕公路办〔2024〕7号）。</w:t>
      </w:r>
    </w:p>
    <w:p w14:paraId="5849FEA1">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九、保密</w:t>
      </w:r>
      <w:r>
        <w:rPr>
          <w:rFonts w:hint="eastAsia" w:ascii="宋体" w:hAnsi="宋体" w:eastAsia="宋体" w:cs="宋体"/>
          <w:b/>
          <w:bCs/>
          <w:color w:val="auto"/>
          <w:sz w:val="24"/>
          <w:szCs w:val="24"/>
          <w:highlight w:val="none"/>
          <w:lang w:eastAsia="zh-CN"/>
        </w:rPr>
        <w:t>义务</w:t>
      </w:r>
    </w:p>
    <w:p w14:paraId="1F455416">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（一）对于甲方提供的文件、信息及资料，未经甲方书面许可，乙方不得向第三方透露。</w:t>
      </w:r>
    </w:p>
    <w:p w14:paraId="01AC465E">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（二）对于乙方提供的文件、信息及资料，未经乙方书面许可，甲方不得向第三方透露。</w:t>
      </w:r>
    </w:p>
    <w:p w14:paraId="5927E2A1">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（三）上述保密义务不因本合同的终止而终止。任何一方若违反保密义务，应向守约方承担合同总额【10】%的违约责任并赔偿全部损失。</w:t>
      </w:r>
    </w:p>
    <w:p w14:paraId="43BC7972">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十、知识产权</w:t>
      </w:r>
    </w:p>
    <w:p w14:paraId="0AC69E8A">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应对所供服务具有或已取得合法知识产权，</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应保证所供服务不会出现因第三方提出侵犯其专利权、商标权或其它知识产权而引发法律或经济纠纷，否则由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负责解决并承担全部责任；如因此影响到</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的正常使用，</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有权单方解除本合同，</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应无条件向</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退回已收取的全部合同价款，给</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一并赔偿。</w:t>
      </w:r>
    </w:p>
    <w:p w14:paraId="2CE94989">
      <w:pPr>
        <w:keepNext w:val="0"/>
        <w:keepLines w:val="0"/>
        <w:pageBreakBefore w:val="0"/>
        <w:kinsoku/>
        <w:wordWrap/>
        <w:overflowPunct/>
        <w:topLinePunct w:val="0"/>
        <w:autoSpaceDE/>
        <w:autoSpaceDN/>
        <w:bidi w:val="0"/>
        <w:adjustRightInd/>
        <w:snapToGrid/>
        <w:spacing w:line="400" w:lineRule="exact"/>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本项目开发所产生的合法</w:t>
      </w:r>
      <w:r>
        <w:rPr>
          <w:rFonts w:hint="eastAsia" w:ascii="宋体" w:hAnsi="宋体" w:eastAsia="宋体" w:cs="宋体"/>
          <w:color w:val="auto"/>
          <w:sz w:val="24"/>
          <w:szCs w:val="24"/>
          <w:highlight w:val="none"/>
        </w:rPr>
        <w:t>知识产权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其权属归甲方所有。本项目在履约验收通过后，乙方需将项目开发的全部资料（技术资料、程序源代码等）全部交给甲方，不得恶意删减、变更程序源代码，由此</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一并赔偿。</w:t>
      </w:r>
    </w:p>
    <w:p w14:paraId="782BD9A2">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十一</w:t>
      </w:r>
      <w:r>
        <w:rPr>
          <w:rFonts w:hint="eastAsia" w:ascii="宋体" w:hAnsi="宋体" w:eastAsia="宋体" w:cs="宋体"/>
          <w:b/>
          <w:bCs/>
          <w:color w:val="auto"/>
          <w:sz w:val="24"/>
          <w:szCs w:val="24"/>
          <w:highlight w:val="none"/>
        </w:rPr>
        <w:t>、甲方的违约责任</w:t>
      </w:r>
    </w:p>
    <w:p w14:paraId="7F23D65E">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Hans"/>
        </w:rPr>
        <w:t>合同签订后，乙方应将所需技术资料、数据的内容及标准以书面形式告知甲方，甲方未提供合同约定的技术资料，或者所提供的数据、资料不满足要求，造成工作延迟或者影响工作质量，甲方应承担相应责任</w:t>
      </w:r>
      <w:r>
        <w:rPr>
          <w:rFonts w:hint="eastAsia" w:ascii="宋体" w:hAnsi="宋体" w:eastAsia="宋体" w:cs="宋体"/>
          <w:color w:val="auto"/>
          <w:sz w:val="24"/>
          <w:szCs w:val="24"/>
          <w:highlight w:val="none"/>
        </w:rPr>
        <w:t>。</w:t>
      </w:r>
    </w:p>
    <w:p w14:paraId="7C46484E">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十二、</w:t>
      </w:r>
      <w:r>
        <w:rPr>
          <w:rFonts w:hint="eastAsia" w:ascii="宋体" w:hAnsi="宋体" w:eastAsia="宋体" w:cs="宋体"/>
          <w:b/>
          <w:bCs/>
          <w:color w:val="auto"/>
          <w:sz w:val="24"/>
          <w:szCs w:val="24"/>
          <w:highlight w:val="none"/>
        </w:rPr>
        <w:t>乙方的违约责任</w:t>
      </w:r>
    </w:p>
    <w:p w14:paraId="632FA828">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乙方迟延完成</w:t>
      </w:r>
      <w:r>
        <w:rPr>
          <w:rFonts w:hint="eastAsia" w:ascii="宋体" w:hAnsi="宋体" w:eastAsia="宋体" w:cs="宋体"/>
          <w:color w:val="auto"/>
          <w:sz w:val="24"/>
          <w:szCs w:val="24"/>
          <w:highlight w:val="none"/>
          <w:lang w:val="en-US" w:eastAsia="zh-CN"/>
        </w:rPr>
        <w:t>项目任务</w:t>
      </w:r>
      <w:r>
        <w:rPr>
          <w:rFonts w:hint="eastAsia" w:ascii="宋体" w:hAnsi="宋体" w:eastAsia="宋体" w:cs="宋体"/>
          <w:color w:val="auto"/>
          <w:sz w:val="24"/>
          <w:szCs w:val="24"/>
          <w:highlight w:val="none"/>
        </w:rPr>
        <w:t>，每延迟一天按照合同金额的</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rPr>
        <w:t>%应向甲方支付违约金；逾期</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天以上的，甲方有权随时解除合同。乙方应退还已收取的全部价款，给甲方造成损失的还应予以赔偿</w:t>
      </w:r>
      <w:r>
        <w:rPr>
          <w:rFonts w:hint="eastAsia" w:ascii="宋体" w:hAnsi="宋体" w:eastAsia="宋体" w:cs="宋体"/>
          <w:color w:val="auto"/>
          <w:sz w:val="24"/>
          <w:szCs w:val="24"/>
          <w:highlight w:val="none"/>
          <w:lang w:eastAsia="zh-CN"/>
        </w:rPr>
        <w:t>。</w:t>
      </w:r>
    </w:p>
    <w:p w14:paraId="14B517FF">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乙方因</w:t>
      </w:r>
      <w:r>
        <w:rPr>
          <w:rFonts w:hint="eastAsia" w:ascii="宋体" w:hAnsi="宋体" w:eastAsia="宋体" w:cs="宋体"/>
          <w:color w:val="auto"/>
          <w:sz w:val="24"/>
          <w:szCs w:val="24"/>
          <w:highlight w:val="none"/>
          <w:lang w:val="en-US" w:eastAsia="zh-CN"/>
        </w:rPr>
        <w:t>开发</w:t>
      </w:r>
      <w:r>
        <w:rPr>
          <w:rFonts w:hint="eastAsia" w:ascii="宋体" w:hAnsi="宋体" w:eastAsia="宋体" w:cs="宋体"/>
          <w:color w:val="auto"/>
          <w:sz w:val="24"/>
          <w:szCs w:val="24"/>
          <w:highlight w:val="none"/>
        </w:rPr>
        <w:t>不当使系统无法继续使用的，甲方有权扣除支付合同总价款</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%的违约金，违约金不足以弥补因此对甲方造成的损失，乙方应予以赔偿。</w:t>
      </w:r>
    </w:p>
    <w:p w14:paraId="179112C2">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乙方未在指定期限内全额缴纳履约保证金，甲方有权取消</w:t>
      </w:r>
      <w:r>
        <w:rPr>
          <w:rFonts w:hint="eastAsia" w:ascii="宋体" w:hAnsi="宋体" w:eastAsia="宋体" w:cs="宋体"/>
          <w:color w:val="auto"/>
          <w:sz w:val="24"/>
          <w:szCs w:val="24"/>
          <w:highlight w:val="none"/>
          <w:lang w:val="en-US" w:eastAsia="zh-CN"/>
        </w:rPr>
        <w:t>其</w:t>
      </w:r>
      <w:r>
        <w:rPr>
          <w:rFonts w:hint="eastAsia" w:ascii="宋体" w:hAnsi="宋体" w:eastAsia="宋体" w:cs="宋体"/>
          <w:color w:val="auto"/>
          <w:sz w:val="24"/>
          <w:szCs w:val="24"/>
          <w:highlight w:val="none"/>
        </w:rPr>
        <w:t>中标资格或随时解除合同。</w:t>
      </w:r>
    </w:p>
    <w:p w14:paraId="66911673">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每发现一次乙方项目负责人或团队技术人员随意变更，乙方向甲方承担合同总价款【2】%的违约金；</w:t>
      </w:r>
    </w:p>
    <w:p w14:paraId="59ACE202">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（五）每发现一次乙方服务不符合甲方要求或合同约定</w:t>
      </w:r>
      <w:r>
        <w:rPr>
          <w:rFonts w:hint="eastAsia" w:ascii="宋体" w:hAnsi="宋体" w:cs="宋体"/>
          <w:color w:val="auto"/>
          <w:sz w:val="24"/>
          <w:szCs w:val="24"/>
          <w:highlight w:val="none"/>
          <w:lang w:val="en-US" w:eastAsia="zh-CN"/>
        </w:rPr>
        <w:t>，且不能在服务期内及时整改的，</w:t>
      </w:r>
      <w:r>
        <w:rPr>
          <w:rFonts w:hint="eastAsia" w:ascii="宋体" w:hAnsi="宋体" w:eastAsia="宋体" w:cs="宋体"/>
          <w:color w:val="auto"/>
          <w:sz w:val="24"/>
          <w:szCs w:val="24"/>
          <w:highlight w:val="none"/>
          <w:lang w:val="en-US" w:eastAsia="zh-CN"/>
        </w:rPr>
        <w:t>乙方向甲方承担合同总价款【2】%的违约金，对甲方造成损失的，乙方还应予以赔偿，发现【3】次的，甲方有权单方解除合同并保留追究乙方违约责任的权利。</w:t>
      </w:r>
    </w:p>
    <w:p w14:paraId="518E04B0">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08B73DE3">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十三、约定</w:t>
      </w:r>
    </w:p>
    <w:p w14:paraId="56337152">
      <w:pPr>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）具体技术实施方案由甲乙双方另行约定。</w:t>
      </w:r>
    </w:p>
    <w:p w14:paraId="1DEC8BEE">
      <w:pPr>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）本合同其他未尽事宜，双方另行协商签订补充协议作为本合同的附件，补充协议与本合同具有同等的法律效力。</w:t>
      </w:r>
    </w:p>
    <w:p w14:paraId="17148A89">
      <w:pPr>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）本合同</w:t>
      </w:r>
      <w:r>
        <w:rPr>
          <w:rFonts w:hint="eastAsia" w:ascii="宋体" w:hAnsi="宋体" w:eastAsia="宋体" w:cs="宋体"/>
          <w:color w:val="auto"/>
          <w:sz w:val="24"/>
          <w:szCs w:val="24"/>
          <w:highlight w:val="none"/>
          <w:lang w:val="en-US" w:eastAsia="zh-CN"/>
        </w:rPr>
        <w:t>自甲乙双方法定代表人（负责人）或授权代表签字并加盖单位公章之日起生效。</w:t>
      </w:r>
    </w:p>
    <w:p w14:paraId="147229EB">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十四、合同争议的解决</w:t>
      </w:r>
    </w:p>
    <w:p w14:paraId="40297F3B">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合同执行中发生争议的，当事人双方应协商解决。协商达不成一致时，可向采购人所在地人民法院提请诉讼。</w:t>
      </w:r>
    </w:p>
    <w:p w14:paraId="0943C42B">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十五、不可抗力情况下的免责约定</w:t>
      </w:r>
    </w:p>
    <w:p w14:paraId="47B4FE0C">
      <w:pPr>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双方约定不可抗力情况指：双方不可预见、不可避免、不可克服的客观情况，但不包括双方的违约或疏忽。这些事件包括但不限于：战争、严重火灾、洪水、台风、地震等。</w:t>
      </w:r>
    </w:p>
    <w:p w14:paraId="4F5E1F4C">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十六、监督和管理</w:t>
      </w:r>
    </w:p>
    <w:p w14:paraId="2820FC47">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合同订立后，双方经协商一致需变更合同实质性条款或订立补充合同的，应先征得政府采购监督管理部门同意，并送其备案。</w:t>
      </w:r>
    </w:p>
    <w:p w14:paraId="1810094D">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甲乙双方均应自觉配合有关监督管理部门对合同履行情况的监督检查，如实反映情况，提供有关资料；否则，将对有关单位、当事人按照有关规定予以处罚。</w:t>
      </w:r>
    </w:p>
    <w:p w14:paraId="6EE71960">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十七、无效合同</w:t>
      </w:r>
    </w:p>
    <w:p w14:paraId="59D81057">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甲乙双方如因违反政府采购法及相关法律法规的规定，被宣告合同无效的，一切责任概由过错方自行承担。</w:t>
      </w:r>
    </w:p>
    <w:p w14:paraId="486A3A6F">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八</w:t>
      </w:r>
      <w:r>
        <w:rPr>
          <w:rFonts w:hint="eastAsia" w:ascii="宋体" w:hAnsi="宋体" w:eastAsia="宋体" w:cs="宋体"/>
          <w:b/>
          <w:bCs/>
          <w:color w:val="auto"/>
          <w:sz w:val="24"/>
          <w:szCs w:val="24"/>
          <w:highlight w:val="none"/>
        </w:rPr>
        <w:t>、合同订立</w:t>
      </w:r>
    </w:p>
    <w:p w14:paraId="2C2CBF7A">
      <w:pPr>
        <w:keepNext w:val="0"/>
        <w:keepLines w:val="0"/>
        <w:pageBreakBefore w:val="0"/>
        <w:kinsoku/>
        <w:wordWrap/>
        <w:overflowPunct/>
        <w:topLinePunct w:val="0"/>
        <w:autoSpaceDE/>
        <w:autoSpaceDN/>
        <w:bidi w:val="0"/>
        <w:adjustRightInd/>
        <w:snapToGrid/>
        <w:spacing w:line="400" w:lineRule="exact"/>
        <w:ind w:firstLine="42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本合同一式捌份，具有同等法律效力，甲方</w:t>
      </w:r>
      <w:r>
        <w:rPr>
          <w:rFonts w:hint="eastAsia" w:ascii="宋体" w:hAnsi="宋体" w:eastAsia="宋体" w:cs="宋体"/>
          <w:color w:val="auto"/>
          <w:sz w:val="24"/>
          <w:szCs w:val="24"/>
          <w:highlight w:val="none"/>
          <w:lang w:val="en-US" w:eastAsia="zh-CN"/>
        </w:rPr>
        <w:t>伍</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叁</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val="en-US" w:eastAsia="zh-CN"/>
        </w:rPr>
        <w:t>合同经双方法定代表人（负责人）或授权代表签字并加盖单位公章之日起生效</w:t>
      </w:r>
      <w:r>
        <w:rPr>
          <w:rFonts w:hint="eastAsia" w:ascii="宋体" w:hAnsi="宋体" w:eastAsia="宋体" w:cs="宋体"/>
          <w:color w:val="auto"/>
          <w:sz w:val="24"/>
          <w:szCs w:val="24"/>
          <w:highlight w:val="none"/>
        </w:rPr>
        <w:t>。（合同的服务承诺则长期有效）。</w:t>
      </w:r>
    </w:p>
    <w:p w14:paraId="72F1C8EC">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p>
    <w:p w14:paraId="4DCF611F">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p>
    <w:p w14:paraId="54BD8DB5">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本页以下无正文：</w:t>
      </w:r>
    </w:p>
    <w:p w14:paraId="6C49891D">
      <w:pPr>
        <w:keepNext w:val="0"/>
        <w:keepLines w:val="0"/>
        <w:pageBreakBefore w:val="0"/>
        <w:kinsoku/>
        <w:wordWrap/>
        <w:overflowPunct/>
        <w:topLinePunct w:val="0"/>
        <w:autoSpaceDE/>
        <w:autoSpaceDN/>
        <w:bidi w:val="0"/>
        <w:adjustRightInd/>
        <w:snapToGrid/>
        <w:spacing w:line="400" w:lineRule="exact"/>
        <w:jc w:val="both"/>
        <w:textAlignment w:val="auto"/>
        <w:rPr>
          <w:rFonts w:hint="default" w:ascii="宋体" w:hAnsi="宋体" w:eastAsia="宋体" w:cs="宋体"/>
          <w:color w:val="auto"/>
          <w:sz w:val="24"/>
          <w:szCs w:val="24"/>
          <w:highlight w:val="none"/>
          <w:lang w:val="en-US" w:eastAsia="zh-CN"/>
        </w:rPr>
      </w:pPr>
    </w:p>
    <w:p w14:paraId="40AEA4E6">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：陕西省公路局（盖章）</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(盖章)</w:t>
      </w:r>
    </w:p>
    <w:p w14:paraId="74DED76E">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地址：西安市含光北路110号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地址：</w:t>
      </w:r>
    </w:p>
    <w:p w14:paraId="3C230CAD">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邮政编码：710068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p>
    <w:p w14:paraId="2066C8C9">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法定代表人或其授权代理人：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法定代表人或其授权代理人：</w:t>
      </w:r>
    </w:p>
    <w:p w14:paraId="672CE3DB">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FD12EA1">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（签字）                      (签字) </w:t>
      </w:r>
    </w:p>
    <w:p w14:paraId="0AFEB004">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电话：  </w:t>
      </w:r>
    </w:p>
    <w:p w14:paraId="76B6FF69">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日期： </w:t>
      </w:r>
    </w:p>
    <w:p w14:paraId="6A13104F">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lang w:val="en-US" w:eastAsia="zh-CN"/>
        </w:rPr>
      </w:pPr>
    </w:p>
    <w:p w14:paraId="5EB12291">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highlight w:val="none"/>
          <w:lang w:val="en-US" w:eastAsia="zh-CN"/>
        </w:rPr>
      </w:pPr>
    </w:p>
    <w:p w14:paraId="27DE76B7">
      <w:pPr>
        <w:spacing w:line="360" w:lineRule="auto"/>
        <w:rPr>
          <w:color w:val="auto"/>
          <w:highlight w:val="none"/>
        </w:rPr>
      </w:pPr>
      <w:r>
        <w:rPr>
          <w:rFonts w:hint="eastAsia" w:ascii="宋体" w:hAnsi="宋体" w:eastAsia="宋体" w:cs="宋体"/>
          <w:color w:val="auto"/>
          <w:sz w:val="24"/>
          <w:szCs w:val="24"/>
          <w:highlight w:val="none"/>
          <w:lang w:val="en-US" w:eastAsia="zh-CN"/>
        </w:rPr>
        <w:t>注：本合同样本仅供参考，具体内容由采购人在签订时细化修改确定。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 xml:space="preserve">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C367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7B2271">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7B2271">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3YmQ3YzM2NTk4N2UzZDM0YjMwZTRmODJhNDY5ZTQifQ=="/>
  </w:docVars>
  <w:rsids>
    <w:rsidRoot w:val="00000000"/>
    <w:rsid w:val="05694CA2"/>
    <w:rsid w:val="113D431C"/>
    <w:rsid w:val="14122A18"/>
    <w:rsid w:val="20036306"/>
    <w:rsid w:val="23403C5C"/>
    <w:rsid w:val="262301AE"/>
    <w:rsid w:val="262400BC"/>
    <w:rsid w:val="264316F9"/>
    <w:rsid w:val="2C1C3C03"/>
    <w:rsid w:val="2DA954FB"/>
    <w:rsid w:val="38EC0201"/>
    <w:rsid w:val="3E820CD7"/>
    <w:rsid w:val="49730A95"/>
    <w:rsid w:val="4AC82401"/>
    <w:rsid w:val="53D67745"/>
    <w:rsid w:val="59546E2D"/>
    <w:rsid w:val="5C1D4FB4"/>
    <w:rsid w:val="61624A12"/>
    <w:rsid w:val="679F68D6"/>
    <w:rsid w:val="7058144F"/>
    <w:rsid w:val="7DC67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jc w:val="center"/>
      <w:outlineLvl w:val="0"/>
    </w:pPr>
    <w:rPr>
      <w:rFonts w:ascii="黑体" w:hAnsi="黑体"/>
      <w:b/>
      <w:kern w:val="0"/>
      <w:sz w:val="36"/>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line="360" w:lineRule="exact"/>
    </w:pPr>
    <w:rPr>
      <w:sz w:val="24"/>
    </w:rPr>
  </w:style>
  <w:style w:type="paragraph" w:styleId="6">
    <w:name w:val="Plain Text"/>
    <w:basedOn w:val="1"/>
    <w:qFormat/>
    <w:uiPriority w:val="99"/>
    <w:rPr>
      <w:rFonts w:ascii="宋体" w:hAnsi="Courier New"/>
    </w:rPr>
  </w:style>
  <w:style w:type="paragraph" w:styleId="7">
    <w:name w:val="footer"/>
    <w:basedOn w:val="1"/>
    <w:autoRedefine/>
    <w:qFormat/>
    <w:uiPriority w:val="99"/>
    <w:pPr>
      <w:tabs>
        <w:tab w:val="center" w:pos="4153"/>
        <w:tab w:val="right" w:pos="8306"/>
      </w:tabs>
      <w:snapToGrid w:val="0"/>
      <w:jc w:val="left"/>
    </w:pPr>
    <w:rPr>
      <w:sz w:val="18"/>
    </w:rPr>
  </w:style>
  <w:style w:type="paragraph" w:styleId="8">
    <w:name w:val="toc 9"/>
    <w:basedOn w:val="1"/>
    <w:next w:val="1"/>
    <w:qFormat/>
    <w:uiPriority w:val="0"/>
    <w:pPr>
      <w:wordWrap w:val="0"/>
      <w:ind w:left="2975"/>
    </w:pPr>
    <w:rPr>
      <w:rFonts w:ascii="Times New Roman" w:hAnsi="Times New Roman"/>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unhideWhenUsed/>
    <w:qFormat/>
    <w:uiPriority w:val="99"/>
    <w:pPr>
      <w:tabs>
        <w:tab w:val="left" w:pos="567"/>
      </w:tabs>
      <w:ind w:firstLine="420" w:firstLineChars="100"/>
    </w:p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customStyle="1" w:styleId="14">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11861</Words>
  <Characters>12093</Characters>
  <Lines>0</Lines>
  <Paragraphs>0</Paragraphs>
  <TotalTime>2</TotalTime>
  <ScaleCrop>false</ScaleCrop>
  <LinksUpToDate>false</LinksUpToDate>
  <CharactersWithSpaces>12396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2022-09-08T01:13:00Z</dcterms:created>
  <dc:creator>AOC</dc:creator>
  <cp:lastModifiedBy>Q 。</cp:lastModifiedBy>
  <dcterms:modified xsi:type="dcterms:W3CDTF">2025-07-03T08:08:00Z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0871048859F441A998A9BDF9ED9F8B10</vt:lpwstr>
  </property>
  <property fmtid="{D5CDD505-2E9C-101B-9397-08002B2CF9AE}" pid="4" name="KSOTemplateDocerSaveRecord">
    <vt:lpwstr>eyJoZGlkIjoiZDU3ODYxZTRmOGJhYzVmYThiMDc2NTZjMjk2NGU5NzMiLCJ1c2VySWQiOiI0MjQzMTY4MzIifQ==</vt:lpwstr>
  </property>
</Properties>
</file>