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版本号：SZT2025-SN-SC-ZC-GC-065420250709002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蟠龙校区维修改造项目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SZT2025-SN-SC-ZC-GC-0654</w:t>
      </w:r>
      <w:r>
        <w:br/>
      </w:r>
      <w:r>
        <w:br/>
      </w:r>
      <w:r>
        <w:br/>
      </w:r>
    </w:p>
    <w:p>
      <w:pPr>
        <w:pStyle w:val="null3"/>
        <w:jc w:val="center"/>
        <w:outlineLvl w:val="2"/>
      </w:pPr>
      <w:r>
        <w:rPr>
          <w:rFonts w:ascii="仿宋_GB2312" w:hAnsi="仿宋_GB2312" w:cs="仿宋_GB2312" w:eastAsia="仿宋_GB2312"/>
          <w:sz w:val="28"/>
          <w:b/>
        </w:rPr>
        <w:t>陕西机电职业技术学院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陕西机电职业技术学院</w:t>
      </w:r>
      <w:r>
        <w:rPr>
          <w:rFonts w:ascii="仿宋_GB2312" w:hAnsi="仿宋_GB2312" w:cs="仿宋_GB2312" w:eastAsia="仿宋_GB2312"/>
        </w:rPr>
        <w:t>委托，拟对</w:t>
      </w:r>
      <w:r>
        <w:rPr>
          <w:rFonts w:ascii="仿宋_GB2312" w:hAnsi="仿宋_GB2312" w:cs="仿宋_GB2312" w:eastAsia="仿宋_GB2312"/>
        </w:rPr>
        <w:t>蟠龙校区维修改造项目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SZT2025-SN-SC-ZC-GC-0654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蟠龙校区维修改造项目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蟠龙校区维修改造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采购包1（蟠龙校区维修改造1）：属于专门面向中小企业采购。</w:t>
      </w:r>
    </w:p>
    <w:p>
      <w:pPr>
        <w:pStyle w:val="null3"/>
      </w:pPr>
      <w:r>
        <w:rPr>
          <w:rFonts w:ascii="仿宋_GB2312" w:hAnsi="仿宋_GB2312" w:cs="仿宋_GB2312" w:eastAsia="仿宋_GB2312"/>
        </w:rPr>
        <w:t>采购包2（蟠龙校区维修改造2）：属于专门面向中小企业采购。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1、拟派项目负责人资质和专业要求：项目经理需具备建筑工程专业二级或以上注册建造师证书和安全生产考核合格证（B证），且无在建工程（提供承诺函）；</w:t>
      </w:r>
    </w:p>
    <w:p>
      <w:pPr>
        <w:pStyle w:val="null3"/>
      </w:pPr>
      <w:r>
        <w:rPr>
          <w:rFonts w:ascii="仿宋_GB2312" w:hAnsi="仿宋_GB2312" w:cs="仿宋_GB2312" w:eastAsia="仿宋_GB2312"/>
        </w:rPr>
        <w:t>2、法定代表人授权委托书：供应商应授权合法的人员参加磋商，其中法定代表人直接参加的，须提供法定代表人身份证，并与营业执照上信息一致。法定代表人授权代表参加的，须提供法定代表人授权书；</w:t>
      </w:r>
    </w:p>
    <w:p>
      <w:pPr>
        <w:pStyle w:val="null3"/>
      </w:pPr>
      <w:r>
        <w:rPr>
          <w:rFonts w:ascii="仿宋_GB2312" w:hAnsi="仿宋_GB2312" w:cs="仿宋_GB2312" w:eastAsia="仿宋_GB2312"/>
        </w:rPr>
        <w:t>3、建筑工程施工总承包三级及以上资质：供应商具备建筑工程施工总承包三级及以上资质和有效的安全生产许可证；（不接受批准件）</w:t>
      </w:r>
    </w:p>
    <w:p>
      <w:pPr>
        <w:pStyle w:val="null3"/>
      </w:pPr>
      <w:r>
        <w:rPr>
          <w:rFonts w:ascii="仿宋_GB2312" w:hAnsi="仿宋_GB2312" w:cs="仿宋_GB2312" w:eastAsia="仿宋_GB2312"/>
        </w:rPr>
        <w:t>4、供应商及项目经理信息在“陕西省住房和城乡建设厅”或“陕西省建筑市场监管与诚信信息发布平台”备案可查询，提供查询截图：供应商及项目经理信息在“陕西省住房和城乡建设厅”或“陕西省建筑市场监管与诚信信息发布平台”备案可查询，提供查询截图；</w:t>
      </w:r>
    </w:p>
    <w:p>
      <w:pPr>
        <w:pStyle w:val="null3"/>
      </w:pPr>
      <w:r>
        <w:rPr>
          <w:rFonts w:ascii="仿宋_GB2312" w:hAnsi="仿宋_GB2312" w:cs="仿宋_GB2312" w:eastAsia="仿宋_GB2312"/>
        </w:rPr>
        <w:t>5、本项目不接受联合体磋商：本项目不接受联合体磋商，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1、拟派项目负责人资质和专业要求：项目经理需具备建筑工程专业二级或以上注册建造师证书和安全生产考核合格证（B证），且无在建工程（提供承诺函）；</w:t>
      </w:r>
    </w:p>
    <w:p>
      <w:pPr>
        <w:pStyle w:val="null3"/>
      </w:pPr>
      <w:r>
        <w:rPr>
          <w:rFonts w:ascii="仿宋_GB2312" w:hAnsi="仿宋_GB2312" w:cs="仿宋_GB2312" w:eastAsia="仿宋_GB2312"/>
        </w:rPr>
        <w:t>2、法定代表人授权委托书：供应商应授权合法的人员参加磋商，其中法定代表人直接参加的，须提供法定代表人身份证，并与营业执照上信息一致。法定代表人授权代表参加的，须提供法定代表人授权书；</w:t>
      </w:r>
    </w:p>
    <w:p>
      <w:pPr>
        <w:pStyle w:val="null3"/>
      </w:pPr>
      <w:r>
        <w:rPr>
          <w:rFonts w:ascii="仿宋_GB2312" w:hAnsi="仿宋_GB2312" w:cs="仿宋_GB2312" w:eastAsia="仿宋_GB2312"/>
        </w:rPr>
        <w:t>3、建筑工程施工总承包三级及以上资质：供应商具备建筑工程施工总承包三级及以上资质和有效的安全生产许可证；（不接受批准件）</w:t>
      </w:r>
    </w:p>
    <w:p>
      <w:pPr>
        <w:pStyle w:val="null3"/>
      </w:pPr>
      <w:r>
        <w:rPr>
          <w:rFonts w:ascii="仿宋_GB2312" w:hAnsi="仿宋_GB2312" w:cs="仿宋_GB2312" w:eastAsia="仿宋_GB2312"/>
        </w:rPr>
        <w:t>4、供应商及项目经理信息在“陕西省住房和城乡建设厅”或“陕西省建筑市场监管与诚信信息发布平台”备案可查询，提供查询截图：供应商及项目经理信息在“陕西省住房和城乡建设厅”或“陕西省建筑市场监管与诚信信息发布平台”备案可查询，提供查询截图；</w:t>
      </w:r>
    </w:p>
    <w:p>
      <w:pPr>
        <w:pStyle w:val="null3"/>
      </w:pPr>
      <w:r>
        <w:rPr>
          <w:rFonts w:ascii="仿宋_GB2312" w:hAnsi="仿宋_GB2312" w:cs="仿宋_GB2312" w:eastAsia="仿宋_GB2312"/>
        </w:rPr>
        <w:t>5、本项目不接受联合体磋商：本项目不接受联合体磋商，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陕西机电职业技术学院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宝鸡市宝福路56号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0917-3633960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采购包2：300,000.00元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质量保证金缴纳比例：</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按包应向采购代理机构交纳招标代理服务费。采购代理服务费的收取参照国家计委颁布的《招标代理服务费收费管理暂行办法》（计价格[2002]1980号）中工程收费标准，按照成交金额差额定率累进法下浮20％计算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陕西机电职业技术学院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陕西机电职业技术学院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陕西机电职业技术学院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合同文本，磋商文件，响应文件，国内相应的标准、规范等。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合同文本，磋商文件，响应文件，国内相应的标准、规范等。</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1,198,434.48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蟠龙校区维修改造项目：标段一</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299,994.00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蟠龙校区维修改造项目：标段二</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标的名称：蟠龙校区维修改造项目：标段一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蟠龙校区维修改造项目：标段一</w:t>
            </w:r>
          </w:p>
          <w:p>
            <w:pPr>
              <w:pStyle w:val="null3"/>
              <w:jc w:val="both"/>
            </w:pPr>
            <w:r>
              <w:rPr>
                <w:rFonts w:ascii="仿宋_GB2312" w:hAnsi="仿宋_GB2312" w:cs="仿宋_GB2312" w:eastAsia="仿宋_GB2312"/>
                <w:sz w:val="24"/>
              </w:rPr>
              <w:t>一、公寓楼宿舍漏水抢修。漏水维修宿舍约</w:t>
            </w:r>
            <w:r>
              <w:rPr>
                <w:rFonts w:ascii="仿宋_GB2312" w:hAnsi="仿宋_GB2312" w:cs="仿宋_GB2312" w:eastAsia="仿宋_GB2312"/>
                <w:sz w:val="24"/>
              </w:rPr>
              <w:t>1300间；二、宿舍粉刷。公寓墙面局部粉刷；三、地下车库通道节能亮化工程。拆除、更换、安装感应灯82套双吊灯；四、公寓区地下室夹层排污管道更换及新作</w:t>
            </w:r>
            <w:r>
              <w:rPr>
                <w:rFonts w:ascii="仿宋_GB2312" w:hAnsi="仿宋_GB2312" w:cs="仿宋_GB2312" w:eastAsia="仿宋_GB2312"/>
                <w:sz w:val="24"/>
              </w:rPr>
              <w:t>。</w:t>
            </w:r>
            <w:r>
              <w:rPr>
                <w:rFonts w:ascii="仿宋_GB2312" w:hAnsi="仿宋_GB2312" w:cs="仿宋_GB2312" w:eastAsia="仿宋_GB2312"/>
                <w:sz w:val="24"/>
              </w:rPr>
              <w:t>排污管道更换及新作，含地下室墙面及部分线路恢复；五、博学楼采光瓦更换及新建排水沟。更换阳光板约</w:t>
            </w:r>
            <w:r>
              <w:rPr>
                <w:rFonts w:ascii="仿宋_GB2312" w:hAnsi="仿宋_GB2312" w:cs="仿宋_GB2312" w:eastAsia="仿宋_GB2312"/>
                <w:sz w:val="24"/>
              </w:rPr>
              <w:t>268㎡，四周散水缝修复，规格300m×1.2m，新增排水沟约200m；六、林间小道扩建。林间小道宽度1.3m扩建至3m，长度约130m，厚度0.15m，移装道檐、4个路灯。</w:t>
            </w:r>
            <w:r>
              <w:rPr>
                <w:rFonts w:ascii="仿宋_GB2312" w:hAnsi="仿宋_GB2312" w:cs="仿宋_GB2312" w:eastAsia="仿宋_GB2312"/>
                <w:sz w:val="21"/>
              </w:rPr>
              <w:t>详细参数见工程量清单</w:t>
            </w:r>
          </w:p>
          <w:p>
            <w:pPr>
              <w:pStyle w:val="null3"/>
            </w:pPr>
            <w:r>
              <w:rPr>
                <w:rFonts w:ascii="仿宋_GB2312" w:hAnsi="仿宋_GB2312" w:cs="仿宋_GB2312" w:eastAsia="仿宋_GB2312"/>
                <w:sz w:val="21"/>
              </w:rPr>
              <w:t>二、工程内容和施工地点、计划工期、缺陷责任期、质量保修期</w:t>
            </w:r>
          </w:p>
          <w:p>
            <w:pPr>
              <w:pStyle w:val="null3"/>
            </w:pPr>
            <w:r>
              <w:rPr>
                <w:rFonts w:ascii="仿宋_GB2312" w:hAnsi="仿宋_GB2312" w:cs="仿宋_GB2312" w:eastAsia="仿宋_GB2312"/>
                <w:sz w:val="21"/>
              </w:rPr>
              <w:t>（一）工程内容：陕西机电职业技术学院蟠龙校区维修改造。</w:t>
            </w:r>
          </w:p>
          <w:p>
            <w:pPr>
              <w:pStyle w:val="null3"/>
            </w:pPr>
            <w:r>
              <w:rPr>
                <w:rFonts w:ascii="仿宋_GB2312" w:hAnsi="仿宋_GB2312" w:cs="仿宋_GB2312" w:eastAsia="仿宋_GB2312"/>
                <w:sz w:val="21"/>
              </w:rPr>
              <w:t>（二）工程地点：陕西机电职业技术学院蟠龙校区。</w:t>
            </w:r>
          </w:p>
          <w:p>
            <w:pPr>
              <w:pStyle w:val="null3"/>
            </w:pPr>
            <w:r>
              <w:rPr>
                <w:rFonts w:ascii="仿宋_GB2312" w:hAnsi="仿宋_GB2312" w:cs="仿宋_GB2312" w:eastAsia="仿宋_GB2312"/>
                <w:sz w:val="21"/>
              </w:rPr>
              <w:t>（三）计划工期：50天</w:t>
            </w:r>
          </w:p>
          <w:p>
            <w:pPr>
              <w:pStyle w:val="null3"/>
            </w:pPr>
            <w:r>
              <w:rPr>
                <w:rFonts w:ascii="仿宋_GB2312" w:hAnsi="仿宋_GB2312" w:cs="仿宋_GB2312" w:eastAsia="仿宋_GB2312"/>
                <w:sz w:val="21"/>
              </w:rPr>
              <w:t>（四）缺陷责任期：一年</w:t>
            </w:r>
          </w:p>
          <w:p>
            <w:pPr>
              <w:pStyle w:val="null3"/>
            </w:pPr>
            <w:r>
              <w:rPr>
                <w:rFonts w:ascii="仿宋_GB2312" w:hAnsi="仿宋_GB2312" w:cs="仿宋_GB2312" w:eastAsia="仿宋_GB2312"/>
                <w:sz w:val="21"/>
              </w:rPr>
              <w:t>（五）质量保修期：验收合格后：1、装修工程2年；2、电气管线、灯具、给排水管道2年；3、供热系统2个采暖期；4、防水5年。</w:t>
            </w:r>
          </w:p>
          <w:p>
            <w:pPr>
              <w:pStyle w:val="null3"/>
            </w:pPr>
            <w:r>
              <w:rPr>
                <w:rFonts w:ascii="仿宋_GB2312" w:hAnsi="仿宋_GB2312" w:cs="仿宋_GB2312" w:eastAsia="仿宋_GB2312"/>
                <w:sz w:val="21"/>
              </w:rPr>
              <w:t>（六）付款方式：本项目无预付款，合同价为中标价，最终结算以审定金额为准，验收合格后30个日历日内支付至中标价总额的80%，审计结束后30个日历日内支付至审定价的97%，剩余3%留作质保金，待质保期满后无息全额支付。</w:t>
            </w:r>
          </w:p>
          <w:p>
            <w:pPr>
              <w:pStyle w:val="null3"/>
            </w:pPr>
            <w:r>
              <w:rPr>
                <w:rFonts w:ascii="仿宋_GB2312" w:hAnsi="仿宋_GB2312" w:cs="仿宋_GB2312" w:eastAsia="仿宋_GB2312"/>
                <w:sz w:val="21"/>
              </w:rPr>
              <w:t>合同工程量清单外增加的工程项目（中标价范围内）不再单独计取措施费。材料价甲方需认质认价，工程量实测实量。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标的名称：蟠龙校区维修改造项目：标段二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95"/>
              <w:jc w:val="both"/>
            </w:pPr>
            <w:r>
              <w:rPr>
                <w:rFonts w:ascii="仿宋_GB2312" w:hAnsi="仿宋_GB2312" w:cs="仿宋_GB2312" w:eastAsia="仿宋_GB2312"/>
                <w:sz w:val="24"/>
              </w:rPr>
              <w:t>一、项目概况</w:t>
            </w:r>
          </w:p>
          <w:p>
            <w:pPr>
              <w:pStyle w:val="null3"/>
              <w:spacing w:before="150"/>
              <w:jc w:val="both"/>
            </w:pPr>
            <w:r>
              <w:rPr>
                <w:rFonts w:ascii="仿宋_GB2312" w:hAnsi="仿宋_GB2312" w:cs="仿宋_GB2312" w:eastAsia="仿宋_GB2312"/>
                <w:sz w:val="24"/>
              </w:rPr>
              <w:t xml:space="preserve">蟠龙校区维修改造项目：标段二 </w:t>
            </w:r>
            <w:r>
              <w:rPr>
                <w:rFonts w:ascii="仿宋_GB2312" w:hAnsi="仿宋_GB2312" w:cs="仿宋_GB2312" w:eastAsia="仿宋_GB2312"/>
                <w:sz w:val="24"/>
              </w:rPr>
              <w:t>①</w:t>
            </w:r>
            <w:r>
              <w:rPr>
                <w:rFonts w:ascii="仿宋_GB2312" w:hAnsi="仿宋_GB2312" w:cs="仿宋_GB2312" w:eastAsia="仿宋_GB2312"/>
                <w:sz w:val="21"/>
              </w:rPr>
              <w:t>整个车间的配电线路、布局、气路布局施工；②办公场地方面，隔离出一间办公室、一间会议室和一间培训室，并安装空调。③拆除室内墙体和窗户，并重新安装卷帘门。④卷帘门出口需要进行路面硬化和路面外扩，保证供应车辆行驶。⑤场地内的文化建设和大屏电视显示。详细参数以工程量清单为准</w:t>
            </w:r>
          </w:p>
          <w:p>
            <w:pPr>
              <w:pStyle w:val="null3"/>
              <w:spacing w:before="180"/>
              <w:ind w:right="-270"/>
              <w:jc w:val="both"/>
            </w:pPr>
            <w:r>
              <w:rPr>
                <w:rFonts w:ascii="仿宋_GB2312" w:hAnsi="仿宋_GB2312" w:cs="仿宋_GB2312" w:eastAsia="仿宋_GB2312"/>
                <w:sz w:val="24"/>
              </w:rPr>
              <w:t>二、工程内容和施工地点、计划工期、缺陷责任期、质量保修期</w:t>
            </w:r>
          </w:p>
          <w:p>
            <w:pPr>
              <w:pStyle w:val="null3"/>
              <w:ind w:right="15" w:firstLine="455"/>
              <w:jc w:val="both"/>
            </w:pPr>
            <w:r>
              <w:rPr>
                <w:rFonts w:ascii="仿宋_GB2312" w:hAnsi="仿宋_GB2312" w:cs="仿宋_GB2312" w:eastAsia="仿宋_GB2312"/>
                <w:sz w:val="24"/>
                <w:color w:val="000000"/>
              </w:rPr>
              <w:t>（一）工程内容：</w:t>
            </w:r>
            <w:r>
              <w:rPr>
                <w:rFonts w:ascii="仿宋_GB2312" w:hAnsi="仿宋_GB2312" w:cs="仿宋_GB2312" w:eastAsia="仿宋_GB2312"/>
                <w:sz w:val="24"/>
                <w:color w:val="000000"/>
              </w:rPr>
              <w:t>陕西机电职业技术学院蟠龙校区维修改造</w:t>
            </w:r>
            <w:r>
              <w:rPr>
                <w:rFonts w:ascii="仿宋_GB2312" w:hAnsi="仿宋_GB2312" w:cs="仿宋_GB2312" w:eastAsia="仿宋_GB2312"/>
                <w:sz w:val="24"/>
                <w:color w:val="000000"/>
              </w:rPr>
              <w:t>。</w:t>
            </w:r>
          </w:p>
          <w:p>
            <w:pPr>
              <w:pStyle w:val="null3"/>
              <w:ind w:left="555" w:right="240"/>
              <w:jc w:val="both"/>
            </w:pPr>
            <w:r>
              <w:rPr>
                <w:rFonts w:ascii="仿宋_GB2312" w:hAnsi="仿宋_GB2312" w:cs="仿宋_GB2312" w:eastAsia="仿宋_GB2312"/>
                <w:sz w:val="24"/>
                <w:color w:val="000000"/>
              </w:rPr>
              <w:t>（二）工程地点：</w:t>
            </w:r>
            <w:r>
              <w:rPr>
                <w:rFonts w:ascii="仿宋_GB2312" w:hAnsi="仿宋_GB2312" w:cs="仿宋_GB2312" w:eastAsia="仿宋_GB2312"/>
                <w:sz w:val="24"/>
                <w:color w:val="000000"/>
              </w:rPr>
              <w:t>陕西机电职业技术学院蟠龙校区</w:t>
            </w:r>
            <w:r>
              <w:rPr>
                <w:rFonts w:ascii="仿宋_GB2312" w:hAnsi="仿宋_GB2312" w:cs="仿宋_GB2312" w:eastAsia="仿宋_GB2312"/>
                <w:sz w:val="24"/>
                <w:color w:val="000000"/>
              </w:rPr>
              <w:t>。</w:t>
            </w:r>
          </w:p>
          <w:p>
            <w:pPr>
              <w:pStyle w:val="null3"/>
              <w:ind w:left="570" w:right="240"/>
              <w:jc w:val="both"/>
            </w:pPr>
            <w:r>
              <w:rPr>
                <w:rFonts w:ascii="仿宋_GB2312" w:hAnsi="仿宋_GB2312" w:cs="仿宋_GB2312" w:eastAsia="仿宋_GB2312"/>
                <w:sz w:val="24"/>
                <w:color w:val="000000"/>
              </w:rPr>
              <w:t>（三）</w:t>
            </w:r>
            <w:r>
              <w:rPr>
                <w:rFonts w:ascii="仿宋_GB2312" w:hAnsi="仿宋_GB2312" w:cs="仿宋_GB2312" w:eastAsia="仿宋_GB2312"/>
                <w:sz w:val="21"/>
                <w:color w:val="000000"/>
              </w:rPr>
              <w:t>计划工期：50天</w:t>
            </w:r>
          </w:p>
          <w:p>
            <w:pPr>
              <w:pStyle w:val="null3"/>
              <w:ind w:left="-75" w:right="15" w:firstLine="543"/>
              <w:jc w:val="both"/>
            </w:pPr>
            <w:r>
              <w:rPr>
                <w:rFonts w:ascii="仿宋_GB2312" w:hAnsi="仿宋_GB2312" w:cs="仿宋_GB2312" w:eastAsia="仿宋_GB2312"/>
                <w:sz w:val="24"/>
                <w:color w:val="000000"/>
              </w:rPr>
              <w:t>（四）缺陷责任期：</w:t>
            </w:r>
            <w:r>
              <w:rPr>
                <w:rFonts w:ascii="仿宋_GB2312" w:hAnsi="仿宋_GB2312" w:cs="仿宋_GB2312" w:eastAsia="仿宋_GB2312"/>
                <w:sz w:val="24"/>
                <w:color w:val="000000"/>
              </w:rPr>
              <w:t>一年</w:t>
            </w:r>
          </w:p>
          <w:p>
            <w:pPr>
              <w:pStyle w:val="null3"/>
              <w:jc w:val="both"/>
            </w:pPr>
            <w:r>
              <w:rPr>
                <w:rFonts w:ascii="仿宋_GB2312" w:hAnsi="仿宋_GB2312" w:cs="仿宋_GB2312" w:eastAsia="仿宋_GB2312"/>
                <w:sz w:val="24"/>
                <w:color w:val="000000"/>
              </w:rPr>
              <w:t xml:space="preserve">    （五）质量保修期：</w:t>
            </w:r>
            <w:r>
              <w:rPr>
                <w:rFonts w:ascii="仿宋_GB2312" w:hAnsi="仿宋_GB2312" w:cs="仿宋_GB2312" w:eastAsia="仿宋_GB2312"/>
                <w:sz w:val="24"/>
                <w:color w:val="000000"/>
              </w:rPr>
              <w:t>验收合格后</w:t>
            </w:r>
            <w:r>
              <w:rPr>
                <w:rFonts w:ascii="仿宋_GB2312" w:hAnsi="仿宋_GB2312" w:cs="仿宋_GB2312" w:eastAsia="仿宋_GB2312"/>
                <w:sz w:val="24"/>
                <w:color w:val="000000"/>
              </w:rPr>
              <w:t>1、装修工程2年；2、电气管线、灯具、给排水管道2年；3、供热系统2个采暖期；4、防水5年</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rPr>
              <w:t>（六）付款方式：本项目无预付款，合同价为中标价，最终结算以审定金额为准，验收合格后30个日历日内支付至中标价总额的80%，审计结束后30个日历日内支付至审定价的97%，剩余3%留作质保金，待质保期满后无息全额支付。</w:t>
            </w:r>
          </w:p>
          <w:p>
            <w:pPr>
              <w:pStyle w:val="null3"/>
              <w:jc w:val="both"/>
            </w:pPr>
            <w:r>
              <w:rPr>
                <w:rFonts w:ascii="仿宋_GB2312" w:hAnsi="仿宋_GB2312" w:cs="仿宋_GB2312" w:eastAsia="仿宋_GB2312"/>
                <w:sz w:val="24"/>
              </w:rPr>
              <w:t>合同工程量清单外增加的工程项目（中标价范围内）不再单独计取措施费。</w:t>
            </w:r>
            <w:r>
              <w:rPr>
                <w:rFonts w:ascii="仿宋_GB2312" w:hAnsi="仿宋_GB2312" w:cs="仿宋_GB2312" w:eastAsia="仿宋_GB2312"/>
                <w:sz w:val="24"/>
              </w:rPr>
              <w:t>材料价甲方需认质认价，工程量实测实量。</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详见采购内容及要求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1、为顺利推进政府采购电子化交易平台试点应用工作，供应商需要在线提交所有通过电子化交易平台实施的政府采购项目的投标文件，同时，线下提交投标文件正本 壹 份、副本贰份、电子版壹 套（U盘一套标明供应商名称，随正本密封）。若系统电子投标文件与纸质投标文件不一致的，以系统电子投标文件为准。 2、定标环节采购人有权对投标文件承诺响应的内容进行复核，如有虚假响应，一经发现，取消成交资格并上报财政主管部门，列入政府采购黑名单。 3、评审顺序按包号顺序进行。供应商可参与两个包磋商，但只能成为一个包的第一成交候选人；若已成为一个包的第一成交候选人，则在其他包中参与评审但不参与成交候选人排序。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法人或其他组织磋商的，提供有效的营业执照或事业单位法人证书；分支机构磋商的，提供有效的分支机构营业执照及总公司的授权书；其他组织应提供合法证明文件）； 2）2024年度经审计的财务报告或在磋商日期前12个月内银行出具的资信证明； 3）提供具有履行本合同所必需专业技术能力的说明及承诺； 4）依法缴纳税收和社会保障资金的良好记录（截止磋商日期前12个月内任意1个月的缴费凭据或提供税务部门和社保部门出具的纳税证明和社保证明）。依法免税的供应商提供相应文件证明其依法免税；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法人或其他组织磋商的，提供有效的营业执照或事业单位法人证书；分支机构磋商的，提供有效的分支机构营业执照及总公司的授权书；其他组织应提供合法证明文件）； 2）2024年度经审计的财务报告或在磋商日期前12个月内银行出具的资信证明； 3）提供具有履行本合同所必需专业技术能力的说明及承诺； 4）依法缴纳税收和社会保障资金的良好记录（截止磋商日期前12个月内任意1个月的缴费凭据或提供税务部门和社保部门出具的纳税证明和社保证明）。依法免税的供应商提供相应文件证明其依法免税；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项目经理需具备建筑工程专业二级或以上注册建造师证书和安全生产考核合格证（B证），且无在建工程（提供承诺函）；</w:t>
            </w:r>
          </w:p>
        </w:tc>
        <w:tc>
          <w:tcPr>
            <w:tcW w:type="dxa" w:w="1661"/>
          </w:tcPr>
          <w:p>
            <w:pPr>
              <w:pStyle w:val="null3"/>
            </w:pPr>
            <w:r>
              <w:rPr>
                <w:rFonts w:ascii="仿宋_GB2312" w:hAnsi="仿宋_GB2312" w:cs="仿宋_GB2312" w:eastAsia="仿宋_GB2312"/>
              </w:rPr>
              <w:t>项目管理机构组成表 报价函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供应商应授权合法的人员参加磋商，其中法定代表人直接参加的，须提供法定代表人身份证，并与营业执照上信息一致。法定代表人授权代表参加的，须提供法定代表人授权书；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建筑工程施工总承包三级及以上资质</w:t>
            </w:r>
          </w:p>
        </w:tc>
        <w:tc>
          <w:tcPr>
            <w:tcW w:type="dxa" w:w="3322"/>
          </w:tcPr>
          <w:p>
            <w:pPr>
              <w:pStyle w:val="null3"/>
            </w:pPr>
            <w:r>
              <w:rPr>
                <w:rFonts w:ascii="仿宋_GB2312" w:hAnsi="仿宋_GB2312" w:cs="仿宋_GB2312" w:eastAsia="仿宋_GB2312"/>
              </w:rPr>
              <w:t>供应商具备建筑工程施工总承包三级及以上资质和有效的安全生产许可证；（不接受批准件）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供应商及项目经理信息在“陕西省住房和城乡建设厅”或“陕西省建筑市场监管与诚信信息发布平台”备案可查询，提供查询截图</w:t>
            </w:r>
          </w:p>
        </w:tc>
        <w:tc>
          <w:tcPr>
            <w:tcW w:type="dxa" w:w="3322"/>
          </w:tcPr>
          <w:p>
            <w:pPr>
              <w:pStyle w:val="null3"/>
            </w:pPr>
            <w:r>
              <w:rPr>
                <w:rFonts w:ascii="仿宋_GB2312" w:hAnsi="仿宋_GB2312" w:cs="仿宋_GB2312" w:eastAsia="仿宋_GB2312"/>
              </w:rPr>
              <w:t>供应商及项目经理信息在“陕西省住房和城乡建设厅”或“陕西省建筑市场监管与诚信信息发布平台”备案可查询，提供查询截图；</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项目经理需具备建筑工程专业二级或以上注册建造师证书和安全生产考核合格证（B证），且无在建工程（提供承诺函）；</w:t>
            </w:r>
          </w:p>
        </w:tc>
        <w:tc>
          <w:tcPr>
            <w:tcW w:type="dxa" w:w="1661"/>
          </w:tcPr>
          <w:p>
            <w:pPr>
              <w:pStyle w:val="null3"/>
            </w:pPr>
            <w:r>
              <w:rPr>
                <w:rFonts w:ascii="仿宋_GB2312" w:hAnsi="仿宋_GB2312" w:cs="仿宋_GB2312" w:eastAsia="仿宋_GB2312"/>
              </w:rPr>
              <w:t>项目管理机构组成表 报价函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供应商应授权合法的人员参加磋商，其中法定代表人直接参加的，须提供法定代表人身份证，并与营业执照上信息一致。法定代表人授权代表参加的，须提供法定代表人授权书；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建筑工程施工总承包三级及以上资质</w:t>
            </w:r>
          </w:p>
        </w:tc>
        <w:tc>
          <w:tcPr>
            <w:tcW w:type="dxa" w:w="3322"/>
          </w:tcPr>
          <w:p>
            <w:pPr>
              <w:pStyle w:val="null3"/>
            </w:pPr>
            <w:r>
              <w:rPr>
                <w:rFonts w:ascii="仿宋_GB2312" w:hAnsi="仿宋_GB2312" w:cs="仿宋_GB2312" w:eastAsia="仿宋_GB2312"/>
              </w:rPr>
              <w:t>供应商具备建筑工程施工总承包三级及以上资质和有效的安全生产许可证；（不接受批准件）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供应商及项目经理信息在“陕西省住房和城乡建设厅”或“陕西省建筑市场监管与诚信信息发布平台”备案可查询，提供查询截图</w:t>
            </w:r>
          </w:p>
        </w:tc>
        <w:tc>
          <w:tcPr>
            <w:tcW w:type="dxa" w:w="3322"/>
          </w:tcPr>
          <w:p>
            <w:pPr>
              <w:pStyle w:val="null3"/>
            </w:pPr>
            <w:r>
              <w:rPr>
                <w:rFonts w:ascii="仿宋_GB2312" w:hAnsi="仿宋_GB2312" w:cs="仿宋_GB2312" w:eastAsia="仿宋_GB2312"/>
              </w:rPr>
              <w:t>供应商及项目经理信息在“陕西省住房和城乡建设厅”或“陕西省建筑市场监管与诚信信息发布平台”备案可查询，提供查询截图；</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本项目无预付款，合同价为成交价，最终结算以审定金额为准，验收合格后30个日历日内支付至成交价总额的80%，审计结束后30个日历日内支付至审定价的97%，剩余3%留作质保金，待质保期满后无息全额支付。 合同工程量清单外增加的工程项目（中标价范围内）不再单独计取措施费。材料价甲方需认质认价，工程量实测实量。</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50天</w:t>
            </w:r>
          </w:p>
        </w:tc>
        <w:tc>
          <w:tcPr>
            <w:tcW w:type="dxa" w:w="1661"/>
          </w:tcPr>
          <w:p>
            <w:pPr>
              <w:pStyle w:val="null3"/>
            </w:pPr>
            <w:r>
              <w:rPr>
                <w:rFonts w:ascii="仿宋_GB2312" w:hAnsi="仿宋_GB2312" w:cs="仿宋_GB2312" w:eastAsia="仿宋_GB2312"/>
              </w:rPr>
              <w:t>响应文件封面 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验收合格后：1、装修工程2年；2、电气管线、灯具、给排水管道2年；3、供热系统2个采暖期；4、防水5年。</w:t>
            </w:r>
          </w:p>
        </w:tc>
        <w:tc>
          <w:tcPr>
            <w:tcW w:type="dxa" w:w="1661"/>
          </w:tcPr>
          <w:p>
            <w:pPr>
              <w:pStyle w:val="null3"/>
            </w:pPr>
            <w:r>
              <w:rPr>
                <w:rFonts w:ascii="仿宋_GB2312" w:hAnsi="仿宋_GB2312" w:cs="仿宋_GB2312" w:eastAsia="仿宋_GB2312"/>
              </w:rPr>
              <w:t>响应文件封面 商务及技术偏离表.docx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本项目无预付款，合同价为成交价，最终结算以审定金额为准，验收合格后30个日历日内支付至成交价总额的80%，审计结束后30个日历日内支付至审定价的97%，剩余3%留作质保金，待质保期满后无息全额支付。 合同工程量清单外增加的工程项目（中标价范围内）不再单独计取措施费。材料价甲方需认质认价，工程量实测实量。</w:t>
            </w:r>
          </w:p>
        </w:tc>
        <w:tc>
          <w:tcPr>
            <w:tcW w:type="dxa" w:w="1661"/>
          </w:tcPr>
          <w:p>
            <w:pPr>
              <w:pStyle w:val="null3"/>
            </w:pPr>
            <w:r>
              <w:rPr>
                <w:rFonts w:ascii="仿宋_GB2312" w:hAnsi="仿宋_GB2312" w:cs="仿宋_GB2312" w:eastAsia="仿宋_GB2312"/>
              </w:rPr>
              <w:t>响应文件封面 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50天</w:t>
            </w:r>
          </w:p>
        </w:tc>
        <w:tc>
          <w:tcPr>
            <w:tcW w:type="dxa" w:w="1661"/>
          </w:tcPr>
          <w:p>
            <w:pPr>
              <w:pStyle w:val="null3"/>
            </w:pPr>
            <w:r>
              <w:rPr>
                <w:rFonts w:ascii="仿宋_GB2312" w:hAnsi="仿宋_GB2312" w:cs="仿宋_GB2312" w:eastAsia="仿宋_GB2312"/>
              </w:rPr>
              <w:t>响应文件封面 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验收合格后：1、装修工程2年；2、电气管线、灯具、给排水管道2年；3、供热系统2个采暖期；4、防水5年。</w:t>
            </w:r>
          </w:p>
        </w:tc>
        <w:tc>
          <w:tcPr>
            <w:tcW w:type="dxa" w:w="1661"/>
          </w:tcPr>
          <w:p>
            <w:pPr>
              <w:pStyle w:val="null3"/>
            </w:pPr>
            <w:r>
              <w:rPr>
                <w:rFonts w:ascii="仿宋_GB2312" w:hAnsi="仿宋_GB2312" w:cs="仿宋_GB2312" w:eastAsia="仿宋_GB2312"/>
              </w:rPr>
              <w:t>响应文件封面 商务及技术偏离表.docx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针对本项目提供的实施方案进行综合评审。 A.实施方案完整详细、有针对性，完全满足项目实施，具有优化建议的得10分； B.实施方案完整，可行，能满足项目实施的全部要求的得8分； C.实施方案非专门针对本项目，存在少量逻辑漏洞或前后内容不一致的得5分； D.实施方案有较大缺陷，或完全套用其他项目且内容较少的得2分;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针对本项目提供具体的安全作业方案及安全配套措施进行综合评审。 A.提供具体详细、有针对性的安全作业方案及安全配套措施，完全符合采购人安全作业要求且具有优化建议的，得10分； B.提供安全作业方案及安全配套措施，符合采购人安全作业的要求，得8分； C.提供的安全作业方案及安全配套措施非专门针对本项目，套用其他项目内容，存在少量逻辑漏洞或前后内容不一致的得5分； D.提供的安全作业方案及安全配套措施简陋，存在影响采购人安全作业要求实现的，得2分。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A.措施计划详细齐全、合理且切实可行，完全满足采购人需求，具有优化建议的得10分； B.措施计划齐全、合理、切实可行，满足采购人需求得8分； C.措施计划非专门针对本项目，存在少量逻辑漏洞或前后内容不一致的得5分； D.措施计划有较大缺陷，或完全套用其他项目且内容较少的得2分；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针对本项目提供的工程质量及工期的技术组织措施进行综合评审。 A.措施计划详细齐全、合理且切实可行，完全满足采购人需求，具有优化建议的得10分； B.措施计划齐全、合理、切实可行，满足采购人需求得8分； C.措施计划非专门针对本项目，存在少量逻辑漏洞或前后内容不一致的得5分； D.措施计划有较大缺陷，或完全套用其他项目且内容较少的得2分；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针对本项目的项目组织管理机构配备进行综合评审。 A.机构设置合理完善，人员配备齐全，技术经验丰富，人员专业性强，完全满足项目需求得10分； B.机构设置合理，人员配备齐全，且具备从业经验，满足项目需求得8分； C.机构设置非专门针对本项目，人员配备、技术经验有欠缺的得5分； D.机构设置、人员配备不完整，或完整但无相关经验的得2分；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针对本项目投入的施工机械配备和材料投入计划等进行综合评审。 A.施工机械配备合理并提供设备来源证明材料，证明材料齐全且投入材料环保性优于国家标准的得10分； B.施工机械配备合理和材料环保性较好，提供了设备来源证明材料的得8分； C.施工机械配备和材料投入计划基本合理、可行，但未提供其他证明材料的得5分； D.施工机械配备和材料投入计划较差，影响本项目实施的得2分；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针对本项目的劳动力安排计划及劳务分包情况表，根据合理、可行程度进行综合评审。 A.劳动力安排计划及劳务分包完整、合理、可行，有利于本项目实施的得5分； B.劳动力安排计划及劳务分包合理、可行的，基本能满足项目实施的得3分； C.劳动力安排计划及劳务分包可行性较差，存在缺陷的得2分； D.未提供得0分。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项目负责人及主要人员.docx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提供供应商2022年1月至今同类项目业绩；每提供1份计1分，满分5分。（以合同签订日期为准）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满足磋商文件要求且最后报价最低的磋商报价为磋商基准价，其价格分为满分。其他供应商的价格分统一按照下列公式计算：报价得分=（磋商基准价/最后报价）×最后报价总分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针对本项目提供的实施方案进行综合评审。 A.实施方案完整详细、有针对性，完全满足项目实施，具有优化建议的得10分； B.实施方案完整，可行，能满足项目实施的全部要求的得8分； C.实施方案非专门针对本项目，存在少量逻辑漏洞或前后内容不一致的得5分； D.实施方案有较大缺陷，或完全套用其他项目且内容较少的得2分;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针对本项目提供具体的安全作业方案及安全配套措施进行综合评审。 A.提供具体详细、有针对性的安全作业方案及安全配套措施，完全符合采购人安全作业要求且具有优化建议的，得10分； B.提供安全作业方案及安全配套措施，符合采购人安全作业的要求，得8分； C.提供的安全作业方案及安全配套措施非专门针对本项目，套用其他项目内容，存在少量逻辑漏洞或前后内容不一致的得5分； D.提供的安全作业方案及安全配套措施简陋，存在影响采购人安全作业要求实现的，得2分。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A.措施计划详细齐全、合理且切实可行，完全满足采购人需求，具有优化建议的得10分； B.措施计划齐全、合理、切实可行，满足采购人需求得8分； C.措施计划非专门针对本项目，存在少量逻辑漏洞或前后内容不一致的得5分； D.措施计划有较大缺陷，或完全套用其他项目且内容较少的得2分；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针对本项目提供的工程质量及工期的技术组织措施进行综合评审。 A.措施计划详细齐全、合理且切实可行，完全满足采购人需求，具有优化建议的得10分； B.措施计划齐全、合理、切实可行，满足采购人需求得8分； C.措施计划非专门针对本项目，存在少量逻辑漏洞或前后内容不一致的得5分； D.措施计划有较大缺陷，或完全套用其他项目且内容较少的得2分；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针对本项目的项目组织管理机构配备进行综合评审。 A.机构设置合理完善，人员配备齐全，技术经验丰富，人员专业性强，完全满足项目需求得10分； B.机构设置合理，人员配备齐全，且具备从业经验，满足项目需求得8分； C.机构设置非专门针对本项目，人员配备、技术经验有欠缺的得5分； D.机构设置、人员配备不完整，或完整但无相关经验的得2分；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针对本项目投入的施工机械配备和材料投入计划等进行综合评审。 A.施工机械配备合理并提供设备来源证明材料，证明材料齐全且投入材料环保性优于国家标准的得10分； B.施工机械配备合理和材料环保性较好，提供了设备来源证明材料的得8分； C.施工机械配备和材料投入计划基本合理、可行，但未提供其他证明材料的得5分； D.施工机械配备和材料投入计划较差，影响本项目实施的得2分；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针对本项目的劳动力安排计划及劳务分包情况表，根据合理、可行程度进行综合评审。 A.劳动力安排计划及劳务分包完整、合理、可行，有利于本项目实施的得5分； B.劳动力安排计划及劳务分包合理、可行的，基本能满足项目实施的得3分； C.劳动力安排计划及劳务分包可行性较差，存在缺陷的得2分； D.未提供得0分。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项目负责人及主要人员.docx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提供供应商2022年1月至今同类项目业绩；每提供1份计1分，满分5分。（以合同签订日期为准）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满足磋商文件要求且最后报价最低的磋商报价为磋商基准价，其价格分为满分。其他供应商的价格分统一按照下列公式计算：报价得分=（磋商基准价/最后报价）×最后报价总分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详见附件：项目负责人及主要人员.docx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详见附件：磋商报价表.docx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详见附件：项目负责人及主要人员.docx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详见附件：磋商报价表.docx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详见附件：合同模版2(1).docx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