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版本号：WSQ-2025-43720250703001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新建铁路延安至榆林项目（四）考古勘探劳务协作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WSQ-2025-437</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新建铁路延安至榆林项目（四）考古勘探劳务协作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WSQ-2025-437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新建铁路延安至榆林项目（四）考古勘探劳务协作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新建铁路延安至榆林项目（四）考古勘探劳务协作，具体内容详见招标文件第三章。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审查：财务状况报告：提供2023年度或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审查：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审查：税收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法定代表人授权委托书审查：法定代表人授权委托书：法法定代表人直接参加投标的，须出具法定代表人身份证及法定代表人身份证明，法定代表人授权代表参加投标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6、无重大违法记录：无重大违法记录：供应商参加政府采购活动前3年内在经营活动中没有重大违法记录；供应商需在项目电子化交易系统中按要求填写《投标函》完成承诺并进行电子签章。</w:t>
      </w:r>
    </w:p>
    <w:p>
      <w:pPr>
        <w:pStyle w:val="null3"/>
      </w:pPr>
      <w:r>
        <w:rPr>
          <w:rFonts w:ascii="仿宋_GB2312" w:hAnsi="仿宋_GB2312" w:cs="仿宋_GB2312" w:eastAsia="仿宋_GB2312"/>
        </w:rPr>
        <w:t>7、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8、其他承诺响应：具有履行合同所必需的设备和专业技术能力；未为本项目提供整体设计、规范编制或者项目管理、监理、检测等服务；供应商需在项目电子化交易系统中按要求填写《投标函》完成承诺并进行电子签章。</w:t>
      </w:r>
    </w:p>
    <w:p>
      <w:pPr>
        <w:pStyle w:val="null3"/>
      </w:pPr>
      <w:r>
        <w:rPr>
          <w:rFonts w:ascii="仿宋_GB2312" w:hAnsi="仿宋_GB2312" w:cs="仿宋_GB2312" w:eastAsia="仿宋_GB2312"/>
        </w:rPr>
        <w:t>9、控股管理关系：控股管理关系：单位负责人为同一人或者存在直接控股、管理关系的供应商，不得参加同一合同下的政府采购活动；供应商需在项目电子化交易系统中按要求填写《投标函》完成承诺并进行电子签章。</w:t>
      </w:r>
    </w:p>
    <w:p>
      <w:pPr>
        <w:pStyle w:val="null3"/>
      </w:pPr>
      <w:r>
        <w:rPr>
          <w:rFonts w:ascii="仿宋_GB2312" w:hAnsi="仿宋_GB2312" w:cs="仿宋_GB2312" w:eastAsia="仿宋_GB2312"/>
        </w:rPr>
        <w:t>10、联合体：本项目不接受联合体投标，不允许分包；供应商需在项目电子化交易系统中按要求填写《承诺书》完成承诺并进行电子签章。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029-84198629 15389248069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采购包1：4,170,610.23元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服务类标准，按照优惠后的下浮费率收费计取，成交服务费按差额定率累进法计算，分包的项目，按包收取。服务费不足5000元的，按5000元收取。 100以下（不含）： 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按规范执行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联系电话：029-84198629 15389248069</w:t>
      </w:r>
    </w:p>
    <w:p>
      <w:pPr>
        <w:pStyle w:val="null3"/>
      </w:pPr>
      <w:r>
        <w:rPr>
          <w:rFonts w:ascii="仿宋_GB2312" w:hAnsi="仿宋_GB2312" w:cs="仿宋_GB2312" w:eastAsia="仿宋_GB2312"/>
        </w:rPr>
        <w:t>地址：陕西省西安市长安区常宁新区神禾二路西安恒大养生谷公寓12号楼1单元15层1501号</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榆林市清涧县、绥德县、米脂县、横山区、榆阳区，面积为1324003.25㎡，服务期：150个工作日。必须严格按照《考古勘探工作规程》（试行）进行施工。普探布点间距为梅花孔1米布设，加点位置偏差小于20厘米，深度为天然原始土层以下10厘米，对勘探出的古遗址、古墓葬等古文化遗迹做好绘图、照相、测绘、定点等工作。必须有勘探工作日志及原始资料记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4,170,610.23</w:t>
      </w:r>
    </w:p>
    <w:p>
      <w:pPr>
        <w:pStyle w:val="null3"/>
      </w:pPr>
      <w:r>
        <w:rPr>
          <w:rFonts w:ascii="仿宋_GB2312" w:hAnsi="仿宋_GB2312" w:cs="仿宋_GB2312" w:eastAsia="仿宋_GB2312"/>
        </w:rPr>
        <w:t>采购包最高限价（元）: 4,170,610.23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考古勘探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4,170,610.23</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标的名称：考古勘探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所配备人员充足，可保证本项目顺利实施。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150个工作日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榆林市清涧县、绥德县、米脂县、横山区、榆阳区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完成合同内容，提交验收报告</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法律途径解决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开标当日，供应商应保持通讯畅通，以便出现询标时能及时在线。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2023年度或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法定代表人直接参加投标的，须出具法定代表人身份证及法定代表人身份证明，法定代表人授权代表参加投标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业绩一览表.docx 中小企业声明函 承诺书.docx 技术指标偏差表.docx 商务条款响应说明.docx 法定代表人身份证明书.docx 供应商应提交的相关资格证明材料.docx 投标函 残疾人福利性单位声明函 标的清单 投标文件封面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投标人报价未超过采购预算价或者最高限价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1、提供针对本项目的考古勘探方案质量控制，对质量检查措施、检验控制系统等有详细说明。 ①内容具体、完整、详细、全面、可行性强，计6-10分； ②内容欠缺、薄弱、仅能满足项目需求，计1-6分； ③未提供不得分。 2、提供针对本项目的考古勘探方案技术，供应商对考古勘探方案技术有详细说明。 ①内容具体、完整、详细、全面、可行性强，6-10分； ②内容欠缺、薄弱、仅能满足项目需求，计1-6分； ③未提供不得分。 3、提供针对本项目的工期目标和工作计划，包含工作任务、技术路线、人员分工和职责、工作进度、文物保护措施等，并对其有详细说明。 ①内容具体、完整、详细、全面、可行性强，计4-7分； ②内容欠缺、薄弱、仅能满足项目需求，计1-4分； ③未提供不得分。 4、提供针对本项目的考古勘探方案安全管理体系与措施，并对考古勘探方案安全管理体系与措施有详细说明。 ①内容具体、完整、详细、全面、可行性强，计4-8分； ②内容欠缺、薄弱、仅能满足项目需求，计 1-4分； ③未提供不得分。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提出针对本项目的具体服务承诺，包含接到项目后响应时间、完成时间、后续服务及过程服务等内容等，并对其有详细说明。 ①内容具体、完整、详细、全面、可行性强，计3-5分； ②内容欠缺、薄弱的、仅能满足项目需求，计 1-3分； ③未提供方案不得分。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提供针对本项目可能出现的安全情况进行应急预案及并提供具体措施。 ①急预案及措施针对性强，能及时解决问题，计3-5分； ②急预案及措施简单空泛计1-3分； ③未提供不计分。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拟投入本项目人员配备</w:t>
            </w:r>
          </w:p>
        </w:tc>
        <w:tc>
          <w:tcPr>
            <w:tcW w:type="dxa" w:w="2492"/>
          </w:tcPr>
          <w:p>
            <w:pPr>
              <w:pStyle w:val="null3"/>
            </w:pPr>
            <w:r>
              <w:rPr>
                <w:rFonts w:ascii="仿宋_GB2312" w:hAnsi="仿宋_GB2312" w:cs="仿宋_GB2312" w:eastAsia="仿宋_GB2312"/>
              </w:rPr>
              <w:t>根据供应商提供的项目组管理人员、技师、探工、资料员等配置情况，以其人数、技术职称、专业配置等进行比较。 ①项目组人员配置合理、分工及职责明确，计6-10分； ②项目组人员配置不合理、无明确的分工及职责，计1-6分； ③未提供人员配备不计分。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设备投入</w:t>
            </w:r>
          </w:p>
        </w:tc>
        <w:tc>
          <w:tcPr>
            <w:tcW w:type="dxa" w:w="2492"/>
          </w:tcPr>
          <w:p>
            <w:pPr>
              <w:pStyle w:val="null3"/>
            </w:pPr>
            <w:r>
              <w:rPr>
                <w:rFonts w:ascii="仿宋_GB2312" w:hAnsi="仿宋_GB2312" w:cs="仿宋_GB2312" w:eastAsia="仿宋_GB2312"/>
              </w:rPr>
              <w:t>根据采购要求能提供保障本项目顺利进行的设施、设备及工具，配置合理，根据所提供设备的贴合性、先进性、以及数量、品质、新旧程度等计1-5分。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1、提供近三年（2022年1月至今）考古勘探工作业绩，每提供一项得2分（以中标通知书或合同复印件为准），满分10分。 2、提供考古发掘单位出具的考古勘探验收意见书。一个优秀3分，良好2分，合格1分，不合格0分，提供2022年1月至今的证明材料（最多提供5份），满分15分。 以上业绩可重复。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价格分统一采用低价优先法计算，即满足招标文件要求且最低的投标报价为评审基准价，其价格分为满分。其他供应商的价格分统一按照下列公式计算：价格分=(评审基准价／投标报价)×报价得分分值；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