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版本号：JRZC-202504920250804001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医疗废物收集及处置项目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JRZC-2025049</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陕西炬荣招标代理有限公司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陕西炬荣招标代理有限公司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医疗废物收集及处置项目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JRZC-2025049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医疗废物收集及处置项目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延安大学附属医院年产生医疗废物约410吨，其中包括感染性废物约300吨、损伤性废物约100吨、化学性废物约4吨、病理及药物性废物4吨。现我院诚向社会上有医疗废物处置资质及处置能力的医疗废物处置公司，通过公开、公平竞标的形式，对我院医疗废物进行集中收集、转移运输及无害化处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采购包1（延安大学附属医院医疗废物收集及处置项目）：属于专门面向中小企业采购。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1、营业执照：具有独立承担民事责任能力的法人或其他组织，提供合法有效的统一社会信用代码的营业执照（附年度报告书）或事业单位法人证书等国家规定的相关证明，自然人参与的提供其身份证明；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3、税收缴纳证明：提供2024年度7月至2025年度7月份任意一个月份的缴税凭证或依法免税的供应商应提供相关文件证明；</w:t>
      </w:r>
    </w:p>
    <w:p>
      <w:pPr>
        <w:pStyle w:val="null3"/>
      </w:pPr>
      <w:r>
        <w:rPr>
          <w:rFonts w:ascii="仿宋_GB2312" w:hAnsi="仿宋_GB2312" w:cs="仿宋_GB2312" w:eastAsia="仿宋_GB2312"/>
        </w:rPr>
        <w:t>4、社会保障资金缴纳证明：提供2024年7月份至2025年7月份任意一个月份的社会保障资金缴存证明或社保机构开具的社会保险参保缴费情况证明；依法不需要缴纳社会保障资金的应提供相关文件证明；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财务状况证明：供应商须提供2023年度或2024年度的财务审计报告(成立时间至提交响应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6、资质证书：供应商需具有道路运输经营许可证（经营范围：危险货物运输）和医疗废物经营许可证（核准经营类别：医疗废物：包括感染性废物、损伤性废物、病理性废物、化学性废物、药物性废物）；</w:t>
      </w:r>
    </w:p>
    <w:p>
      <w:pPr>
        <w:pStyle w:val="null3"/>
      </w:pPr>
      <w:r>
        <w:rPr>
          <w:rFonts w:ascii="仿宋_GB2312" w:hAnsi="仿宋_GB2312" w:cs="仿宋_GB2312" w:eastAsia="仿宋_GB2312"/>
        </w:rPr>
        <w:t>7、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p>
      <w:pPr>
        <w:pStyle w:val="null3"/>
      </w:pPr>
      <w:r>
        <w:rPr>
          <w:rFonts w:ascii="仿宋_GB2312" w:hAnsi="仿宋_GB2312" w:cs="仿宋_GB2312" w:eastAsia="仿宋_GB2312"/>
        </w:rPr>
        <w:t>8、中小企业声明函：供应商需提供中小企业声明函；</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陕西炬荣招标代理有限公司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延安市新区坤岗国际七号楼一单元602室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0911-8887276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依据《国家发展改革委关于进一步放开建设项目专业服务价格的通知》发改价格〔2015〕299号参照原国家计委颁布的《招标代理服务收费管理暂行办法》（计价格[2002]1980号）及发改办价格[2003]857号文件的规定标准收取，由成交供应商在领取成交通知书前向采购代理机构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陕西炬荣招标代理有限公司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陕西炬荣招标代理有限公司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陕西炬荣招标代理有限公司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联系电话：0911-8887276</w:t>
      </w:r>
    </w:p>
    <w:p>
      <w:pPr>
        <w:pStyle w:val="null3"/>
      </w:pPr>
      <w:r>
        <w:rPr>
          <w:rFonts w:ascii="仿宋_GB2312" w:hAnsi="仿宋_GB2312" w:cs="仿宋_GB2312" w:eastAsia="仿宋_GB2312"/>
        </w:rPr>
        <w:t>地址：延安市新区坤岗国际七号楼一单元602室</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延安大学附属医院年产生医疗废物约</w:t>
      </w:r>
      <w:r>
        <w:rPr>
          <w:rFonts w:ascii="仿宋_GB2312" w:hAnsi="仿宋_GB2312" w:cs="仿宋_GB2312" w:eastAsia="仿宋_GB2312"/>
        </w:rPr>
        <w:t>410吨，其中包括感染性废物约300吨、损伤性废物约100吨、化学性废物约4吨、</w:t>
      </w:r>
      <w:r>
        <w:rPr>
          <w:rFonts w:ascii="仿宋_GB2312" w:hAnsi="仿宋_GB2312" w:cs="仿宋_GB2312" w:eastAsia="仿宋_GB2312"/>
        </w:rPr>
        <w:t>病理</w:t>
      </w:r>
      <w:r>
        <w:rPr>
          <w:rFonts w:ascii="仿宋_GB2312" w:hAnsi="仿宋_GB2312" w:cs="仿宋_GB2312" w:eastAsia="仿宋_GB2312"/>
        </w:rPr>
        <w:t>及药物</w:t>
      </w:r>
      <w:r>
        <w:rPr>
          <w:rFonts w:ascii="仿宋_GB2312" w:hAnsi="仿宋_GB2312" w:cs="仿宋_GB2312" w:eastAsia="仿宋_GB2312"/>
        </w:rPr>
        <w:t>性废物</w:t>
      </w:r>
      <w:r>
        <w:rPr>
          <w:rFonts w:ascii="仿宋_GB2312" w:hAnsi="仿宋_GB2312" w:cs="仿宋_GB2312" w:eastAsia="仿宋_GB2312"/>
        </w:rPr>
        <w:t>4吨</w:t>
      </w:r>
      <w:r>
        <w:rPr>
          <w:rFonts w:ascii="仿宋_GB2312" w:hAnsi="仿宋_GB2312" w:cs="仿宋_GB2312" w:eastAsia="仿宋_GB2312"/>
        </w:rPr>
        <w:t>。现我院诚向社会上有医疗废物处置资质及处置能力的医疗废物处置公司，通过公开、公平竞标的形式，对我院医疗废物进行集中收集、转移运输及无害化处置。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医疗废物收集及处置项目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医疗废物收集及处置项目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具备合法的医疗废物处置资质，具备无害化处置我院各类医疗废物的设施设备能力，具有满足我院医疗废物集中收集、转移运输及无害化处置的能力。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满足医院医疗废物正常转移运输，下临床科室收集人员至少3人。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满足我院医疗废物收集、转移运输需求。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质量要求：符合国家及相关行业合格标准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延安大学附属医院院本部及附属分院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三个月支付一次，甲方收到乙方提供的正规发票和银行账号后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三个月支付一次，甲方收到乙方提供的正规发票和银行账号后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三个月支付一次，甲方收到乙方提供的正规发票和银行账号后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三个月支付一次，甲方收到乙方提供的正规发票和银行账号后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供应商须提供2023年度或2024年度的财务审计报告(成立时间至提交响应文件截止时间不足一年的可提供成立后任意时段的资产负债表)，或其基本存款账户开户银行出具的资信证明及基本存款账户开户信息；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具有独立承担民事责任能力的法人或其他组织，提供合法有效的统一社会信用代码的营业执照（附年度报告书）或事业单位法人证书等国家规定的相关证明，自然人参与的提供其身份证明；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提供2024年度7月至2025年度7月份任意一个月份的缴税凭证或依法免税的供应商应提供相关文件证明；</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提供2024年7月份至2025年7月份任意一个月份的社会保障资金缴存证明或社保机构开具的社会保险参保缴费情况证明；依法不需要缴纳社会保障资金的应提供相关文件证明；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供应商须提供2023年度或2024年度的财务审计报告(成立时间至提交响应文件截止时间不足一年的可提供成立后任意时段的资产负债表)，或其基本存款账户开户银行出具的资信证明及基本存款账户开户信息；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供应商需具有道路运输经营许可证（经营范围：危险货物运输）和医疗废物经营许可证（核准经营类别：医疗废物：包括感染性废物、损伤性废物、病理性废物、化学性废物、药物性废物）；</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 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符合采购文件的实质性要求</w:t>
            </w:r>
          </w:p>
        </w:tc>
        <w:tc>
          <w:tcPr>
            <w:tcW w:type="dxa" w:w="3322"/>
          </w:tcPr>
          <w:p>
            <w:pPr>
              <w:pStyle w:val="null3"/>
            </w:pPr>
            <w:r>
              <w:rPr>
                <w:rFonts w:ascii="仿宋_GB2312" w:hAnsi="仿宋_GB2312" w:cs="仿宋_GB2312" w:eastAsia="仿宋_GB2312"/>
              </w:rPr>
              <w:t>供应商按照采购文件要求上传响应文件并进行电子签章</w:t>
            </w:r>
          </w:p>
        </w:tc>
        <w:tc>
          <w:tcPr>
            <w:tcW w:type="dxa" w:w="1661"/>
          </w:tcPr>
          <w:p>
            <w:pPr>
              <w:pStyle w:val="null3"/>
            </w:pPr>
            <w:r>
              <w:rPr>
                <w:rFonts w:ascii="仿宋_GB2312" w:hAnsi="仿宋_GB2312" w:cs="仿宋_GB2312" w:eastAsia="仿宋_GB2312"/>
              </w:rPr>
              <w:t>响应文件封面 供应商认为有必要说明的其他问题.docx 标的清单 报价表 商务应答表.docx 响应函 资质证明文件.docx 服务方案.docx 服务内容应答表.docx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不属于采购文件规定的无效情形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供应商认为有必要说明的其他问题.docx 标的清单 报价表 商务应答表.docx 响应函 资质证明文件.docx 服务方案.docx 服务内容应答表.docx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均符合采购文件要求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响应文件的语言及计量单位</w:t>
            </w:r>
          </w:p>
        </w:tc>
        <w:tc>
          <w:tcPr>
            <w:tcW w:type="dxa" w:w="3322"/>
          </w:tcPr>
          <w:p>
            <w:pPr>
              <w:pStyle w:val="null3"/>
            </w:pPr>
            <w:r>
              <w:rPr>
                <w:rFonts w:ascii="仿宋_GB2312" w:hAnsi="仿宋_GB2312" w:cs="仿宋_GB2312" w:eastAsia="仿宋_GB2312"/>
              </w:rPr>
              <w:t>均符合采购文件要求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供应商针对医废的收集、清运及处置内容出具具体的实施方案。（医废的收集、清运及处置内容包括：感染性废物、损伤性废物、病理性废物、化学性废物、药物性废物。 方案切实可行，内容完整、全面、计划具体合理得(18-25]分； 方案可行性、内容完整性、计划合理性较高，得(12-18]分； 方案可行性、内容完整性、计划合理性一般，得(6-12]分； 方案可行性、内容完整性、计划合理性较差，得[0-6]分。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根据供应商提供的安全检查制度（至少包括安全隐患检查的工作程序和计划等）进行综合评价： 制度健全、完善、切实可行，得(11-15]分； 制度比较全面、基本可行，得(6-10]分； 制度不够全面，得[0-5]分；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供应商根据采购人要求的全部服务内容，有切实可行的质量、进度、响应时间保证承诺和保障措施： 承诺可行、措施合理、针对性强，得(11-15]分； 承诺符合要求、措施基本合理、有一定针对性，得(6-10]分； 承诺基本符合要求、措施可行性、针对性一般，得[0-5]分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根据供应商针对各种突发状况提供的应急处理方案、补救措施及相关应急服务承诺进行评价： 方案详实明确，预见情形充分，处理措施合法有力、灵活妥当，有针对性，得(11-15]分； 方案比较详实，预见情形比较充分，处理措施合法，有一定针对性，得(6-10]分； 方案粗略，难以实施，得[0-5]分。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拟投入本项目服务的人员（下临床科室收集人员至少3人）及相关设备配置是否完全满足本项目需求； 人员及设备配备安排合理，管理人员与服务人员的搭配合理，能完全满足本项目要求，得(11-15]分； 人员及设备配备安排基本合理，管理人员与服务人员的搭配基本合理，基本满足本项目要求，得(6-10]分； 人员及设备配备的合理性较差，得[0-5]分。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供应商提供2021年1月1日起至今业绩，每提供一份业绩得1分，最高得5分。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1、本次磋商设最高限价（采购预算）。供应商的磋商报价超过最高限价的视为废标，不再参与下一步评审。 2、未超出财政预算，实质性满足磋商文件要求且最后报价最低的报价为磋商基准价，其价格分为满分10分。其它供应商的价格分统一按照下列公式计算：（磋商基准价/最后磋商报价）×10。 3、磋商报价不完整的，不进入评标基准价的计算，本项得 0 分。 4、磋商小组三分之二以上成员认为某磋商报价有低于成本价嫌疑的，有可能影响产品质量或者不能诚信履约的，应当要求其在评审现场合理的时间内提供书面说明，必要时提交相关证明材料;供应商不能证明其报价合理性的，磋商小组应当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