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版本号：XHZB-25-03820250731001</w:t>
      </w:r>
      <w:r>
        <w:br/>
      </w:r>
      <w:r>
        <w:br/>
      </w:r>
      <w:r>
        <w:br/>
      </w:r>
      <w:r>
        <w:br/>
      </w:r>
      <w:r>
        <w:br/>
      </w:r>
    </w:p>
    <w:p>
      <w:pPr>
        <w:pStyle w:val="null3"/>
        <w:jc w:val="center"/>
        <w:outlineLvl w:val="0"/>
      </w:pPr>
      <w:r>
        <w:rPr>
          <w:rFonts w:ascii="仿宋_GB2312" w:hAnsi="仿宋_GB2312" w:cs="仿宋_GB2312" w:eastAsia="仿宋_GB2312"/>
          <w:sz w:val="48"/>
          <w:b/>
        </w:rPr>
        <w:t>招 标 文 件</w:t>
      </w:r>
      <w:r>
        <w:br/>
      </w:r>
      <w:r>
        <w:br/>
      </w:r>
      <w:r>
        <w:br/>
      </w:r>
    </w:p>
    <w:p>
      <w:pPr>
        <w:pStyle w:val="null3"/>
        <w:jc w:val="center"/>
        <w:outlineLvl w:val="1"/>
      </w:pPr>
      <w:r>
        <w:rPr>
          <w:rFonts w:ascii="仿宋_GB2312" w:hAnsi="仿宋_GB2312" w:cs="仿宋_GB2312" w:eastAsia="仿宋_GB2312"/>
          <w:sz w:val="36"/>
          <w:b/>
        </w:rPr>
        <w:t>（服务类）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陕西省地下水超采综合治理方案</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XHZB-25-038</w:t>
      </w:r>
      <w:r>
        <w:br/>
      </w:r>
      <w:r>
        <w:br/>
      </w:r>
      <w:r>
        <w:br/>
      </w:r>
    </w:p>
    <w:p>
      <w:pPr>
        <w:pStyle w:val="null3"/>
        <w:jc w:val="center"/>
        <w:outlineLvl w:val="2"/>
      </w:pPr>
      <w:r>
        <w:rPr>
          <w:rFonts w:ascii="仿宋_GB2312" w:hAnsi="仿宋_GB2312" w:cs="仿宋_GB2312" w:eastAsia="仿宋_GB2312"/>
          <w:sz w:val="28"/>
          <w:b/>
        </w:rPr>
        <w:t>陕西省地下水保护与监测中心</w:t>
      </w:r>
    </w:p>
    <w:p>
      <w:pPr>
        <w:pStyle w:val="null3"/>
        <w:jc w:val="center"/>
        <w:outlineLvl w:val="2"/>
      </w:pPr>
      <w:r>
        <w:rPr>
          <w:rFonts w:ascii="仿宋_GB2312" w:hAnsi="仿宋_GB2312" w:cs="仿宋_GB2312" w:eastAsia="仿宋_GB2312"/>
          <w:sz w:val="28"/>
          <w:b/>
        </w:rPr>
        <w:t>信宏工程咨询有限公司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2025年07月31日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投标邀请</w:t>
      </w:r>
    </w:p>
    <w:p>
      <w:pPr>
        <w:pStyle w:val="null3"/>
        <w:ind w:firstLine="480"/>
      </w:pPr>
      <w:r>
        <w:rPr>
          <w:rFonts w:ascii="仿宋_GB2312" w:hAnsi="仿宋_GB2312" w:cs="仿宋_GB2312" w:eastAsia="仿宋_GB2312"/>
        </w:rPr>
        <w:t>信宏工程咨询有限公司</w:t>
      </w:r>
      <w:r>
        <w:rPr>
          <w:rFonts w:ascii="仿宋_GB2312" w:hAnsi="仿宋_GB2312" w:cs="仿宋_GB2312" w:eastAsia="仿宋_GB2312"/>
        </w:rPr>
        <w:t>（以下简称“代理机构”）受</w:t>
      </w:r>
      <w:r>
        <w:rPr>
          <w:rFonts w:ascii="仿宋_GB2312" w:hAnsi="仿宋_GB2312" w:cs="仿宋_GB2312" w:eastAsia="仿宋_GB2312"/>
        </w:rPr>
        <w:t>陕西省地下水保护与监测中心</w:t>
      </w:r>
      <w:r>
        <w:rPr>
          <w:rFonts w:ascii="仿宋_GB2312" w:hAnsi="仿宋_GB2312" w:cs="仿宋_GB2312" w:eastAsia="仿宋_GB2312"/>
        </w:rPr>
        <w:t>委托，拟对</w:t>
      </w:r>
      <w:r>
        <w:rPr>
          <w:rFonts w:ascii="仿宋_GB2312" w:hAnsi="仿宋_GB2312" w:cs="仿宋_GB2312" w:eastAsia="仿宋_GB2312"/>
        </w:rPr>
        <w:t>陕西省地下水超采综合治理方案</w:t>
      </w:r>
      <w:r>
        <w:rPr>
          <w:rFonts w:ascii="仿宋_GB2312" w:hAnsi="仿宋_GB2312" w:cs="仿宋_GB2312" w:eastAsia="仿宋_GB2312"/>
        </w:rPr>
        <w:t>进行国内公开招标，兹邀请符合本次招标要求的供应商参加投标。</w:t>
      </w:r>
    </w:p>
    <w:p>
      <w:pPr>
        <w:pStyle w:val="null3"/>
        <w:outlineLvl w:val="2"/>
      </w:pPr>
      <w:r>
        <w:rPr>
          <w:rFonts w:ascii="仿宋_GB2312" w:hAnsi="仿宋_GB2312" w:cs="仿宋_GB2312" w:eastAsia="仿宋_GB2312"/>
          <w:sz w:val="28"/>
          <w:b/>
        </w:rPr>
        <w:t>一、采购项目编号：</w:t>
      </w:r>
      <w:r>
        <w:rPr>
          <w:rFonts w:ascii="仿宋_GB2312" w:hAnsi="仿宋_GB2312" w:cs="仿宋_GB2312" w:eastAsia="仿宋_GB2312"/>
          <w:sz w:val="28"/>
          <w:b/>
        </w:rPr>
        <w:t>XHZB-25-038</w:t>
      </w:r>
    </w:p>
    <w:p>
      <w:pPr>
        <w:pStyle w:val="null3"/>
        <w:outlineLvl w:val="2"/>
      </w:pPr>
      <w:r>
        <w:rPr>
          <w:rFonts w:ascii="仿宋_GB2312" w:hAnsi="仿宋_GB2312" w:cs="仿宋_GB2312" w:eastAsia="仿宋_GB2312"/>
          <w:sz w:val="28"/>
          <w:b/>
        </w:rPr>
        <w:t>二、采购项目名称：</w:t>
      </w:r>
      <w:r>
        <w:rPr>
          <w:rFonts w:ascii="仿宋_GB2312" w:hAnsi="仿宋_GB2312" w:cs="仿宋_GB2312" w:eastAsia="仿宋_GB2312"/>
          <w:sz w:val="28"/>
          <w:b/>
        </w:rPr>
        <w:t>陕西省地下水超采综合治理方案</w:t>
      </w:r>
    </w:p>
    <w:p>
      <w:pPr>
        <w:pStyle w:val="null3"/>
        <w:outlineLvl w:val="2"/>
      </w:pPr>
      <w:r>
        <w:rPr>
          <w:rFonts w:ascii="仿宋_GB2312" w:hAnsi="仿宋_GB2312" w:cs="仿宋_GB2312" w:eastAsia="仿宋_GB2312"/>
          <w:sz w:val="28"/>
          <w:b/>
        </w:rPr>
        <w:t>三、招标项目简介</w:t>
      </w:r>
    </w:p>
    <w:p>
      <w:pPr>
        <w:pStyle w:val="null3"/>
        <w:ind w:firstLine="480"/>
      </w:pPr>
      <w:r>
        <w:rPr>
          <w:rFonts w:ascii="仿宋_GB2312" w:hAnsi="仿宋_GB2312" w:cs="仿宋_GB2312" w:eastAsia="仿宋_GB2312"/>
        </w:rPr>
        <w:t>在调查及收集相关资料的基础上，按照《陕西省地下水超采区治理方案》（陕水发〔2016〕39号）明确的治理目标和措施，结合第三次全国水资源调查评价、地下水管控指标确定等相关成果，复核 2016～2020年超采区治理任务完成情况，在2016～2020年超采区治理的基础上，对2021年以来超采区治理效果进行评估；分析超采区地下水开发利用情况，明确地下水超采状况，确定地下水超采治理目标，提出地下水超采治理措施，明确保障措施，健全地下水管理措施，为我省地下水资源可持续利用提供技术支撑，完成陕西省2016-2023年地下水超采治理评估报告及相关附表附图、陕西省地下水超采综合治理方案报告及相关附表附图。</w:t>
      </w:r>
    </w:p>
    <w:p>
      <w:pPr>
        <w:pStyle w:val="null3"/>
        <w:outlineLvl w:val="2"/>
      </w:pPr>
      <w:r>
        <w:rPr>
          <w:rFonts w:ascii="仿宋_GB2312" w:hAnsi="仿宋_GB2312" w:cs="仿宋_GB2312" w:eastAsia="仿宋_GB2312"/>
          <w:sz w:val="28"/>
          <w:b/>
        </w:rPr>
        <w:t>四、供应商参加本次政府采购活动应具备的条件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落实政府采购促进中小企业发展的相关政策：</w:t>
      </w:r>
    </w:p>
    <w:p>
      <w:pPr>
        <w:pStyle w:val="null3"/>
      </w:pPr>
      <w:r>
        <w:rPr>
          <w:rFonts w:ascii="仿宋_GB2312" w:hAnsi="仿宋_GB2312" w:cs="仿宋_GB2312" w:eastAsia="仿宋_GB2312"/>
        </w:rPr>
        <w:t>无</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法定代表人授权委托书：法定代表人授权委托书：法定代表人授权书(附法定代表人、被授权人身份证复印件)及被授权人身份证复印件(法定代表人直接参加投标的，须提供法定代表人身份证明及身份证复印件)；非法人单位参照执行。</w:t>
      </w:r>
    </w:p>
    <w:p>
      <w:pPr>
        <w:pStyle w:val="null3"/>
      </w:pPr>
      <w:r>
        <w:rPr>
          <w:rFonts w:ascii="仿宋_GB2312" w:hAnsi="仿宋_GB2312" w:cs="仿宋_GB2312" w:eastAsia="仿宋_GB2312"/>
        </w:rPr>
        <w:t>2、投标人关联关系声明：单位负责人为同一人或者存在直接控股、管理关系的不同投标人，不得参加同一项目的招标活动；（提供承诺书）</w:t>
      </w:r>
    </w:p>
    <w:p>
      <w:pPr>
        <w:pStyle w:val="null3"/>
      </w:pPr>
      <w:r>
        <w:rPr>
          <w:rFonts w:ascii="仿宋_GB2312" w:hAnsi="仿宋_GB2312" w:cs="仿宋_GB2312" w:eastAsia="仿宋_GB2312"/>
        </w:rPr>
        <w:t>3、企业信用：企业信用：供应商不得为“信用中国” 网站（www.creditchina.gov.cn）中列入重大税收违法失信主体的供应商；不得为“中国执行信息公开网”（http://zxgk.court.gov.cn）中列入失信被执行人名单的供应商；不得为“中国政府采购网”（www.ccgp.gov.cn）政府采购严重违法失信行为记录名单中被财政部门禁止参加政府采购活动的供应商；</w:t>
      </w:r>
    </w:p>
    <w:p>
      <w:pPr>
        <w:pStyle w:val="null3"/>
      </w:pPr>
      <w:r>
        <w:rPr>
          <w:rFonts w:ascii="仿宋_GB2312" w:hAnsi="仿宋_GB2312" w:cs="仿宋_GB2312" w:eastAsia="仿宋_GB2312"/>
        </w:rPr>
        <w:t>4、资质条件：供应商须具备工程设计水利行业乙级(含乙级)及以上资质； （注：以投标文件中提供的复印件加盖公章为准）</w:t>
      </w:r>
    </w:p>
    <w:p>
      <w:pPr>
        <w:pStyle w:val="null3"/>
      </w:pPr>
      <w:r>
        <w:rPr>
          <w:rFonts w:ascii="仿宋_GB2312" w:hAnsi="仿宋_GB2312" w:cs="仿宋_GB2312" w:eastAsia="仿宋_GB2312"/>
        </w:rPr>
        <w:t>5、非联合体投标：本项目不接受联合体投标； （注：以投标文件中提供的承诺书为准）</w:t>
      </w:r>
    </w:p>
    <w:p>
      <w:pPr>
        <w:pStyle w:val="null3"/>
        <w:outlineLvl w:val="2"/>
      </w:pPr>
      <w:r>
        <w:rPr>
          <w:rFonts w:ascii="仿宋_GB2312" w:hAnsi="仿宋_GB2312" w:cs="仿宋_GB2312" w:eastAsia="仿宋_GB2312"/>
          <w:sz w:val="28"/>
          <w:b/>
        </w:rPr>
        <w:t>五、电子化采购相关事项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六、招标文件获取时间、方式及地址</w:t>
      </w:r>
    </w:p>
    <w:p>
      <w:pPr>
        <w:pStyle w:val="null3"/>
        <w:ind w:firstLine="480"/>
      </w:pPr>
      <w:r>
        <w:rPr>
          <w:rFonts w:ascii="仿宋_GB2312" w:hAnsi="仿宋_GB2312" w:cs="仿宋_GB2312" w:eastAsia="仿宋_GB2312"/>
        </w:rPr>
        <w:t>（一）招标文件获取时间：详见采购公告</w:t>
      </w:r>
    </w:p>
    <w:p>
      <w:pPr>
        <w:pStyle w:val="null3"/>
        <w:ind w:firstLine="480"/>
      </w:pPr>
      <w:r>
        <w:rPr>
          <w:rFonts w:ascii="仿宋_GB2312" w:hAnsi="仿宋_GB2312" w:cs="仿宋_GB2312" w:eastAsia="仿宋_GB2312"/>
        </w:rPr>
        <w:t xml:space="preserve"> （二）在招标文件获取开始时间前，采购人或代理机构将本项目招标文件上传至项目电子化交易系统，向供应商提供。供应商通过项目电子化交易系统获取招标文件。成功获取招标文件的，供应商将收到已获取招标文件的回执函。未成功获取招标文件的供应商，不得参与本次采购活动，不得对招标文件提起质疑。</w:t>
      </w:r>
    </w:p>
    <w:p>
      <w:pPr>
        <w:pStyle w:val="null3"/>
        <w:ind w:firstLine="480"/>
      </w:pPr>
      <w:r>
        <w:rPr>
          <w:rFonts w:ascii="仿宋_GB2312" w:hAnsi="仿宋_GB2312" w:cs="仿宋_GB2312" w:eastAsia="仿宋_GB2312"/>
        </w:rPr>
        <w:t xml:space="preserve"> 成功获取招标文件后，采购人或代理机构进行澄清或者修改的，澄清或者修改的内容可能影响投标文件编制的，采购人或代理机构将通过项目电子化交易系统发布澄清或者修改后的招标文件，供应商应当重新获取招标文件；澄清或者修改后的招标文件发布日期距提交投标文件截止日期不足15日的，采购人或代理机构顺延提交投标文件的截止时间。供应商未重新获取招标文件或者未按照澄清或者修改后的招标文件编制投标文件进行投标的，自行承担不利后果。</w:t>
      </w:r>
    </w:p>
    <w:p>
      <w:pPr>
        <w:pStyle w:val="null3"/>
        <w:outlineLvl w:val="2"/>
      </w:pPr>
      <w:r>
        <w:rPr>
          <w:rFonts w:ascii="仿宋_GB2312" w:hAnsi="仿宋_GB2312" w:cs="仿宋_GB2312" w:eastAsia="仿宋_GB2312"/>
          <w:sz w:val="28"/>
          <w:b/>
        </w:rPr>
        <w:t>七、投标文件提交截止时间及开标时间、地点、方式</w:t>
      </w:r>
    </w:p>
    <w:p>
      <w:pPr>
        <w:pStyle w:val="null3"/>
        <w:ind w:firstLine="480"/>
      </w:pPr>
      <w:r>
        <w:rPr>
          <w:rFonts w:ascii="仿宋_GB2312" w:hAnsi="仿宋_GB2312" w:cs="仿宋_GB2312" w:eastAsia="仿宋_GB2312"/>
        </w:rPr>
        <w:t>（一）投标文件提交截止时间及开标时间：详见采购公告</w:t>
      </w:r>
    </w:p>
    <w:p>
      <w:pPr>
        <w:pStyle w:val="null3"/>
        <w:ind w:firstLine="480"/>
      </w:pPr>
      <w:r>
        <w:rPr>
          <w:rFonts w:ascii="仿宋_GB2312" w:hAnsi="仿宋_GB2312" w:cs="仿宋_GB2312" w:eastAsia="仿宋_GB2312"/>
        </w:rPr>
        <w:t xml:space="preserve"> （二）投标文件提交方式、地点：供应商应当在投标文件提交截止时间前，通过项目电子化交易系统提交投标文件。成功提交的，供应商将收到已提交投标文件的回执函。</w:t>
      </w:r>
    </w:p>
    <w:p>
      <w:pPr>
        <w:pStyle w:val="null3"/>
        <w:ind w:firstLine="480"/>
      </w:pPr>
      <w:r>
        <w:rPr>
          <w:rFonts w:ascii="仿宋_GB2312" w:hAnsi="仿宋_GB2312" w:cs="仿宋_GB2312" w:eastAsia="仿宋_GB2312"/>
        </w:rPr>
        <w:t>（三）本项目采取网上开标，即采购人或代理机构通过项目电子化交易系统“开标/开启大厅”组织在线开标。</w:t>
      </w:r>
    </w:p>
    <w:p>
      <w:pPr>
        <w:pStyle w:val="null3"/>
        <w:outlineLvl w:val="2"/>
      </w:pPr>
      <w:r>
        <w:rPr>
          <w:rFonts w:ascii="仿宋_GB2312" w:hAnsi="仿宋_GB2312" w:cs="仿宋_GB2312" w:eastAsia="仿宋_GB2312"/>
          <w:sz w:val="28"/>
          <w:b/>
        </w:rPr>
        <w:t>八、本投标邀请在陕西省政府采购网以公告形式发布</w:t>
      </w:r>
    </w:p>
    <w:p>
      <w:pPr>
        <w:pStyle w:val="null3"/>
        <w:outlineLvl w:val="2"/>
      </w:pPr>
      <w:r>
        <w:rPr>
          <w:rFonts w:ascii="仿宋_GB2312" w:hAnsi="仿宋_GB2312" w:cs="仿宋_GB2312" w:eastAsia="仿宋_GB2312"/>
          <w:sz w:val="28"/>
          <w:b/>
        </w:rPr>
        <w:t>九、供应商信用融资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中标（成交）结果、中标（成交）通知书等信息在线向银行提出贷款意向申请、查看贷款审批情况等。</w:t>
      </w:r>
    </w:p>
    <w:p>
      <w:pPr>
        <w:pStyle w:val="null3"/>
        <w:outlineLvl w:val="2"/>
      </w:pPr>
      <w:r>
        <w:rPr>
          <w:rFonts w:ascii="仿宋_GB2312" w:hAnsi="仿宋_GB2312" w:cs="仿宋_GB2312" w:eastAsia="仿宋_GB2312"/>
          <w:sz w:val="28"/>
          <w:b/>
        </w:rPr>
        <w:t>十、联系方式</w:t>
      </w:r>
    </w:p>
    <w:p>
      <w:pPr>
        <w:pStyle w:val="null3"/>
        <w:outlineLvl w:val="2"/>
      </w:pPr>
      <w:r>
        <w:rPr>
          <w:rFonts w:ascii="仿宋_GB2312" w:hAnsi="仿宋_GB2312" w:cs="仿宋_GB2312" w:eastAsia="仿宋_GB2312"/>
          <w:sz w:val="28"/>
          <w:b/>
        </w:rPr>
        <w:t xml:space="preserve">采购人： </w:t>
      </w:r>
      <w:r>
        <w:rPr>
          <w:rFonts w:ascii="仿宋_GB2312" w:hAnsi="仿宋_GB2312" w:cs="仿宋_GB2312" w:eastAsia="仿宋_GB2312"/>
          <w:sz w:val="28"/>
          <w:b/>
        </w:rPr>
        <w:t>陕西省地下水保护与监测中心</w:t>
      </w:r>
    </w:p>
    <w:p>
      <w:pPr>
        <w:pStyle w:val="null3"/>
      </w:pPr>
      <w:r>
        <w:rPr>
          <w:rFonts w:ascii="仿宋_GB2312" w:hAnsi="仿宋_GB2312" w:cs="仿宋_GB2312" w:eastAsia="仿宋_GB2312"/>
        </w:rPr>
        <w:t xml:space="preserve"> 地址： </w:t>
      </w:r>
      <w:r>
        <w:rPr>
          <w:rFonts w:ascii="仿宋_GB2312" w:hAnsi="仿宋_GB2312" w:cs="仿宋_GB2312" w:eastAsia="仿宋_GB2312"/>
        </w:rPr>
        <w:t>陕西省西安市莲湖路185号</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710003</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甘晓静</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029-87347603</w:t>
      </w:r>
    </w:p>
    <w:p>
      <w:pPr>
        <w:pStyle w:val="null3"/>
        <w:outlineLvl w:val="2"/>
      </w:pPr>
      <w:r>
        <w:rPr>
          <w:rFonts w:ascii="仿宋_GB2312" w:hAnsi="仿宋_GB2312" w:cs="仿宋_GB2312" w:eastAsia="仿宋_GB2312"/>
          <w:sz w:val="28"/>
          <w:b/>
        </w:rPr>
        <w:t>代理机构：</w:t>
      </w:r>
      <w:r>
        <w:rPr>
          <w:rFonts w:ascii="仿宋_GB2312" w:hAnsi="仿宋_GB2312" w:cs="仿宋_GB2312" w:eastAsia="仿宋_GB2312"/>
          <w:sz w:val="28"/>
          <w:b/>
        </w:rPr>
        <w:t>信宏工程咨询有限公司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陕西省西安市雁塔区西安曲江新区雁塔南路金辉环球中心C座514室</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710061</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万仕彬、耿萍、黄菲、田丰原</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029-88185520</w:t>
      </w:r>
    </w:p>
    <w:p>
      <w:pPr>
        <w:pStyle w:val="null3"/>
        <w:outlineLvl w:val="2"/>
      </w:pPr>
      <w:r>
        <w:rPr>
          <w:rFonts w:ascii="仿宋_GB2312" w:hAnsi="仿宋_GB2312" w:cs="仿宋_GB2312" w:eastAsia="仿宋_GB2312"/>
          <w:sz w:val="28"/>
          <w:b/>
        </w:rPr>
        <w:t>采购监督机构：</w:t>
      </w:r>
      <w:r>
        <w:rPr>
          <w:rFonts w:ascii="仿宋_GB2312" w:hAnsi="仿宋_GB2312" w:cs="仿宋_GB2312" w:eastAsia="仿宋_GB2312"/>
          <w:sz w:val="28"/>
          <w:b/>
        </w:rPr>
        <w:t>财政厅政府采购管理处</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柴老师、杨老师</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029-68936409、029-68936410</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投标人须知</w:t>
      </w:r>
    </w:p>
    <w:p>
      <w:pPr>
        <w:pStyle w:val="null3"/>
        <w:outlineLvl w:val="2"/>
      </w:pPr>
      <w:r>
        <w:rPr>
          <w:rFonts w:ascii="仿宋_GB2312" w:hAnsi="仿宋_GB2312" w:cs="仿宋_GB2312" w:eastAsia="仿宋_GB2312"/>
          <w:sz w:val="28"/>
          <w:b/>
        </w:rPr>
        <w:t>2.1投标人须知前附表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采购包1：2,250,000.00元</w:t>
            </w:r>
            <w:r>
              <w:rPr>
                <w:rFonts w:ascii="仿宋_GB2312" w:hAnsi="仿宋_GB2312" w:cs="仿宋_GB2312" w:eastAsia="仿宋_GB2312"/>
              </w:rPr>
              <w:t xml:space="preserve"> 投标人的采购包投标报价高于采购包采购预算的，其投标文件将按无效处理。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投标人的采购包投标报价高于最高限价的，其投标文件将按无效处理。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评标方法</w:t>
            </w:r>
          </w:p>
        </w:tc>
        <w:tc>
          <w:tcPr>
            <w:tcW w:type="dxa" w:w="5004"/>
          </w:tcPr>
          <w:p>
            <w:pPr>
              <w:pStyle w:val="null3"/>
            </w:pPr>
            <w:r>
              <w:rPr>
                <w:rFonts w:ascii="仿宋_GB2312" w:hAnsi="仿宋_GB2312" w:cs="仿宋_GB2312" w:eastAsia="仿宋_GB2312"/>
              </w:rPr>
              <w:t>采购包1：综合评分法</w:t>
            </w:r>
            <w:r>
              <w:rPr>
                <w:rFonts w:ascii="仿宋_GB2312" w:hAnsi="仿宋_GB2312" w:cs="仿宋_GB2312" w:eastAsia="仿宋_GB2312"/>
              </w:rPr>
              <w:t xml:space="preserve"> （详见第五章）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r>
              <w:rPr>
                <w:rFonts w:ascii="仿宋_GB2312" w:hAnsi="仿宋_GB2312" w:cs="仿宋_GB2312" w:eastAsia="仿宋_GB2312"/>
              </w:rPr>
              <w:t xml:space="preserve"> 如以联合体响应的，联合体各方均应当具备本招标文件要求的资格条件和能力。</w:t>
            </w:r>
          </w:p>
          <w:p>
            <w:pPr>
              <w:pStyle w:val="null3"/>
            </w:pPr>
            <w:r>
              <w:rPr>
                <w:rFonts w:ascii="仿宋_GB2312" w:hAnsi="仿宋_GB2312" w:cs="仿宋_GB2312" w:eastAsia="仿宋_GB2312"/>
              </w:rPr>
              <w:t xml:space="preserve"> （1）联合体各方均应具有承担本项目必备的条件，如相应的人力、物力、资金等。</w:t>
            </w:r>
          </w:p>
          <w:p>
            <w:pPr>
              <w:pStyle w:val="null3"/>
            </w:pPr>
            <w:r>
              <w:rPr>
                <w:rFonts w:ascii="仿宋_GB2312" w:hAnsi="仿宋_GB2312" w:cs="仿宋_GB2312" w:eastAsia="仿宋_GB2312"/>
              </w:rPr>
              <w:t xml:space="preserve"> （2）招标文件对投标人资格条件有特殊要求的，联合体各个成员都应当具备规定的相应资格条件。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乙级，则该联合体资质等级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 xml:space="preserve"> 1.根据《财政部发展改革委生态环境部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 xml:space="preserve"> 2.本项目采购</w:t>
            </w:r>
            <w:r>
              <w:rPr>
                <w:rFonts w:ascii="仿宋_GB2312" w:hAnsi="仿宋_GB2312" w:cs="仿宋_GB2312" w:eastAsia="仿宋_GB2312"/>
              </w:rPr>
              <w:t>/</w:t>
            </w:r>
            <w:r>
              <w:rPr>
                <w:rFonts w:ascii="仿宋_GB2312" w:hAnsi="仿宋_GB2312" w:cs="仿宋_GB2312" w:eastAsia="仿宋_GB2312"/>
              </w:rPr>
              <w:t>产品属于节能产品政府采购品目清单中应强制采购的产品范围，供应商应当提供国家确定的认证机构出具的、处于有效期之内的节能产品认证证书，否则作无效投标处理。</w:t>
            </w:r>
          </w:p>
          <w:p>
            <w:pPr>
              <w:pStyle w:val="null3"/>
            </w:pPr>
            <w:r>
              <w:rPr>
                <w:rFonts w:ascii="仿宋_GB2312" w:hAnsi="仿宋_GB2312" w:cs="仿宋_GB2312" w:eastAsia="仿宋_GB2312"/>
              </w:rPr>
              <w:t xml:space="preserve"> 3.本项目采购</w:t>
            </w:r>
            <w:r>
              <w:rPr>
                <w:rFonts w:ascii="仿宋_GB2312" w:hAnsi="仿宋_GB2312" w:cs="仿宋_GB2312" w:eastAsia="仿宋_GB2312"/>
              </w:rPr>
              <w:t>/</w:t>
            </w:r>
            <w:r>
              <w:rPr>
                <w:rFonts w:ascii="仿宋_GB2312" w:hAnsi="仿宋_GB2312" w:cs="仿宋_GB2312" w:eastAsia="仿宋_GB2312"/>
              </w:rPr>
              <w:t>产品属于节能产品政府采购品目清单中应优先采购的产品范围，本项目采购</w:t>
            </w:r>
            <w:r>
              <w:rPr>
                <w:rFonts w:ascii="仿宋_GB2312" w:hAnsi="仿宋_GB2312" w:cs="仿宋_GB2312" w:eastAsia="仿宋_GB2312"/>
              </w:rPr>
              <w:t>/</w:t>
            </w:r>
            <w:r>
              <w:rPr>
                <w:rFonts w:ascii="仿宋_GB2312" w:hAnsi="仿宋_GB2312" w:cs="仿宋_GB2312" w:eastAsia="仿宋_GB2312"/>
              </w:rPr>
              <w:t>产品属于环境标志产品政府采购品目清单中应优先采购的产品范围，评审得分/响应报价相同的，按供应商提供的优先采购产品认证证书数量由多到少顺序排列。</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 xml:space="preserve"> 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关于本项目采购包中执行小微企业（监狱企业、残疾人福利性单位视同小微企业）价格扣除情况、具体扣除比例和规则详见第五章。</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w:t>
            </w:r>
          </w:p>
          <w:p>
            <w:pPr>
              <w:pStyle w:val="null3"/>
            </w:pPr>
            <w:r>
              <w:rPr>
                <w:rFonts w:ascii="仿宋_GB2312" w:hAnsi="仿宋_GB2312" w:cs="仿宋_GB2312" w:eastAsia="仿宋_GB2312"/>
              </w:rPr>
              <w:t>使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标委员会采取随机抽取方式确定一个投标人获得中标人推荐资格，其他同品牌投标人不作为中标候选人。</w:t>
            </w:r>
          </w:p>
          <w:p>
            <w:pPr>
              <w:pStyle w:val="null3"/>
            </w:pPr>
            <w:r>
              <w:rPr>
                <w:rFonts w:ascii="仿宋_GB2312" w:hAnsi="仿宋_GB2312" w:cs="仿宋_GB2312" w:eastAsia="仿宋_GB2312"/>
              </w:rPr>
              <w:t>采用最低评标价法的采购项目，提供相同品牌产品的不同投标人参加同一合同项下投标的，以其中通过资格审查、符合性审查且报价最低的参加评标；报价相同的，由采购人或者采购人委托评标委员会按照随机抽取方式确定一个参加评标的投标人，其他投标无效。</w:t>
            </w:r>
          </w:p>
          <w:p>
            <w:pPr>
              <w:pStyle w:val="null3"/>
            </w:pPr>
            <w:r>
              <w:rPr>
                <w:rFonts w:ascii="仿宋_GB2312" w:hAnsi="仿宋_GB2312" w:cs="仿宋_GB2312" w:eastAsia="仿宋_GB2312"/>
              </w:rPr>
              <w:t>核心产品清单详见第三章。</w:t>
            </w:r>
          </w:p>
          <w:p>
            <w:pPr>
              <w:pStyle w:val="null3"/>
            </w:pPr>
            <w:r>
              <w:rPr>
                <w:rFonts w:ascii="仿宋_GB2312" w:hAnsi="仿宋_GB2312" w:cs="仿宋_GB2312" w:eastAsia="仿宋_GB2312"/>
              </w:rPr>
              <w:t>在符合性审查环节提供核心产品品牌不足3个的，视为有效投标人不足3家。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不正当竞争预防措施（实质性要求）</w:t>
            </w:r>
          </w:p>
        </w:tc>
        <w:tc>
          <w:tcPr>
            <w:tcW w:type="dxa" w:w="5004"/>
          </w:tcPr>
          <w:p>
            <w:pPr>
              <w:pStyle w:val="null3"/>
            </w:pPr>
            <w:r>
              <w:rPr>
                <w:rFonts w:ascii="仿宋_GB2312" w:hAnsi="仿宋_GB2312" w:cs="仿宋_GB2312" w:eastAsia="仿宋_GB2312"/>
              </w:rPr>
              <w:t>在评标过程中，评标委员会认为投标人投标报价明显低于其他通过符合性审查投标人的投标报价，有可能影响产品质量或者不能诚信履约的，评标委员会应当要求其在合理的时间内通过项目电子化交易系统进行书面说明，必要时提交相关证明材料。投标人提交的书面说明，应当加盖投标人公章，在评标委员会要求的时间内通过项目电子化交易系统进行提交，否则视为不能证明其投标报价合理性。投标人不能证明其投标报价合理性的，评标委员会应当将其投标文件作为无效投标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投标保证金</w:t>
            </w:r>
          </w:p>
        </w:tc>
        <w:tc>
          <w:tcPr>
            <w:tcW w:type="dxa" w:w="5004"/>
          </w:tcPr>
          <w:p>
            <w:pPr>
              <w:pStyle w:val="null3"/>
            </w:pPr>
            <w:r>
              <w:rPr>
                <w:rFonts w:ascii="仿宋_GB2312" w:hAnsi="仿宋_GB2312" w:cs="仿宋_GB2312" w:eastAsia="仿宋_GB2312"/>
              </w:rPr>
              <w:t>采购包1保证金金额：10,000.00元</w:t>
            </w:r>
          </w:p>
          <w:p>
            <w:pPr>
              <w:pStyle w:val="null3"/>
            </w:pPr>
            <w:r>
              <w:rPr>
                <w:rFonts w:ascii="仿宋_GB2312" w:hAnsi="仿宋_GB2312" w:cs="仿宋_GB2312" w:eastAsia="仿宋_GB2312"/>
              </w:rPr>
              <w:t>缴交渠道：电子保函,转账、支票、汇票等（需通过实体账户、户名及开户行信息）</w:t>
            </w:r>
          </w:p>
          <w:p>
            <w:pPr>
              <w:pStyle w:val="null3"/>
            </w:pPr>
            <w:r>
              <w:rPr>
                <w:rFonts w:ascii="仿宋_GB2312" w:hAnsi="仿宋_GB2312" w:cs="仿宋_GB2312" w:eastAsia="仿宋_GB2312"/>
              </w:rPr>
              <w:t>开户名称：中国工商银行西安雁塔南路支行（长安区支行）</w:t>
            </w:r>
          </w:p>
          <w:p>
            <w:pPr>
              <w:pStyle w:val="null3"/>
            </w:pPr>
            <w:r>
              <w:rPr>
                <w:rFonts w:ascii="仿宋_GB2312" w:hAnsi="仿宋_GB2312" w:cs="仿宋_GB2312" w:eastAsia="仿宋_GB2312"/>
              </w:rPr>
              <w:t>开户银行：信宏工程咨询有限公司</w:t>
            </w:r>
          </w:p>
          <w:p>
            <w:pPr>
              <w:pStyle w:val="null3"/>
            </w:pPr>
            <w:r>
              <w:rPr>
                <w:rFonts w:ascii="仿宋_GB2312" w:hAnsi="仿宋_GB2312" w:cs="仿宋_GB2312" w:eastAsia="仿宋_GB2312"/>
              </w:rPr>
              <w:t>银行账号：3700 0351 1910 0019 340</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采购包1：缴纳</w:t>
            </w:r>
          </w:p>
          <w:p>
            <w:pPr>
              <w:pStyle w:val="null3"/>
            </w:pPr>
            <w:r>
              <w:rPr>
                <w:rFonts w:ascii="仿宋_GB2312" w:hAnsi="仿宋_GB2312" w:cs="仿宋_GB2312" w:eastAsia="仿宋_GB2312"/>
              </w:rPr>
              <w:t>本采购包履约保证金为合同金额的5%</w:t>
            </w:r>
          </w:p>
          <w:p>
            <w:pPr>
              <w:pStyle w:val="null3"/>
            </w:pPr>
            <w:r>
              <w:rPr>
                <w:rFonts w:ascii="仿宋_GB2312" w:hAnsi="仿宋_GB2312" w:cs="仿宋_GB2312" w:eastAsia="仿宋_GB2312"/>
              </w:rPr>
              <w:t>说明：投标人在中标后向采购人缴纳履约保证金，履约保证金在验收合格无质量问题后10日内退还，办理履约保证金需要的手续费（不限于银行手续费、担保费等）等由中标人自行承担。</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投标有效期（实质性要求）</w:t>
            </w:r>
          </w:p>
        </w:tc>
        <w:tc>
          <w:tcPr>
            <w:tcW w:type="dxa" w:w="5004"/>
          </w:tcPr>
          <w:p>
            <w:pPr>
              <w:pStyle w:val="null3"/>
            </w:pPr>
            <w:r>
              <w:rPr>
                <w:rFonts w:ascii="仿宋_GB2312" w:hAnsi="仿宋_GB2312" w:cs="仿宋_GB2312" w:eastAsia="仿宋_GB2312"/>
              </w:rPr>
              <w:t>提交投标文件的截止之日起不少于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招标代理服务费（实质性要求）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参照国家计委关于印发《招标代理服务收费管理暂行办法》的通知（计价格〔2002〕1980号）、《国家发展和改革委员会办公厅关于招标代理服务收费有关问题的通知》（发改办价格〔2003〕857号）文件规定，以中标价为基数收取代理服务费。</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中标通知书</w:t>
            </w:r>
          </w:p>
        </w:tc>
        <w:tc>
          <w:tcPr>
            <w:tcW w:type="dxa" w:w="5004"/>
          </w:tcPr>
          <w:p>
            <w:pPr>
              <w:pStyle w:val="null3"/>
            </w:pPr>
            <w:r>
              <w:rPr>
                <w:rFonts w:ascii="仿宋_GB2312" w:hAnsi="仿宋_GB2312" w:cs="仿宋_GB2312" w:eastAsia="仿宋_GB2312"/>
              </w:rPr>
              <w:t>采购结果公告发布的同时，采购人或代理机构通过项目电子化交易系统向中标供应商发出中标通知书；中标供应商通过项目电子化交易系统获取中标通知书。</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政府采购合同签订之日起2个工作日内，采购人将政府采购合同在陕西省政府采购网予以公告；政府采购合同签订之日起7个工作日内，采购人将政府采购合同报本级财政部门备案。</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是否组织潜在投标人现场考察</w:t>
            </w:r>
          </w:p>
        </w:tc>
        <w:tc>
          <w:tcPr>
            <w:tcW w:type="dxa" w:w="5004"/>
          </w:tcPr>
          <w:p>
            <w:pPr>
              <w:pStyle w:val="null3"/>
            </w:pPr>
            <w:r>
              <w:rPr>
                <w:rFonts w:ascii="仿宋_GB2312" w:hAnsi="仿宋_GB2312" w:cs="仿宋_GB2312" w:eastAsia="仿宋_GB2312"/>
              </w:rPr>
              <w:t>采购包1：组织现场踏勘：否</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出现下列情形之一的，采购人或者代理机构应当中止电子化采购活动，并保留相关证明材料备查： </w:t>
            </w:r>
          </w:p>
          <w:p>
            <w:pPr>
              <w:pStyle w:val="null3"/>
            </w:pPr>
            <w:r>
              <w:rPr>
                <w:rFonts w:ascii="仿宋_GB2312" w:hAnsi="仿宋_GB2312" w:cs="仿宋_GB2312" w:eastAsia="仿宋_GB2312"/>
              </w:rPr>
              <w:t>（一）交易系统发生故障（包括感染病毒、应用或数据库出错）而无法正常使用的；</w:t>
            </w:r>
          </w:p>
          <w:p>
            <w:pPr>
              <w:pStyle w:val="null3"/>
            </w:pPr>
            <w:r>
              <w:rPr>
                <w:rFonts w:ascii="仿宋_GB2312" w:hAnsi="仿宋_GB2312" w:cs="仿宋_GB2312" w:eastAsia="仿宋_GB2312"/>
              </w:rPr>
              <w:t>（二）因组织场所停电、断网等原因，导致采购活动无法继续通过交易系统实施的；</w:t>
            </w:r>
          </w:p>
          <w:p>
            <w:pPr>
              <w:pStyle w:val="null3"/>
            </w:pPr>
            <w:r>
              <w:rPr>
                <w:rFonts w:ascii="仿宋_GB2312" w:hAnsi="仿宋_GB2312" w:cs="仿宋_GB2312" w:eastAsia="仿宋_GB2312"/>
              </w:rPr>
              <w:t>（三）其他无法保证电子化交易的公平、公正和安全的情况。</w:t>
            </w:r>
          </w:p>
          <w:p>
            <w:pPr>
              <w:pStyle w:val="null3"/>
            </w:pPr>
            <w:r>
              <w:rPr>
                <w:rFonts w:ascii="仿宋_GB2312" w:hAnsi="仿宋_GB2312" w:cs="仿宋_GB2312" w:eastAsia="仿宋_GB2312"/>
              </w:rPr>
              <w:t>出现上述的情形，不影响采购公平、公正的，采购人或者代理机构可以待上述情形消除后继续组织采购活动；影响或者可能影响采购公平、公正的，采购人或者代理机构应当依法废标。</w:t>
            </w:r>
          </w:p>
          <w:p>
            <w:pPr>
              <w:pStyle w:val="null3"/>
            </w:pPr>
            <w:r>
              <w:rPr>
                <w:rFonts w:ascii="仿宋_GB2312" w:hAnsi="仿宋_GB2312" w:cs="仿宋_GB2312" w:eastAsia="仿宋_GB2312"/>
              </w:rPr>
              <w:t xml:space="preserve"> （一）交易系统发生故障（包括感染病毒、应用或数据库出错）而无法正常使用的；</w:t>
            </w:r>
          </w:p>
          <w:p>
            <w:pPr>
              <w:pStyle w:val="null3"/>
            </w:pPr>
            <w:r>
              <w:rPr>
                <w:rFonts w:ascii="仿宋_GB2312" w:hAnsi="仿宋_GB2312" w:cs="仿宋_GB2312" w:eastAsia="仿宋_GB2312"/>
              </w:rPr>
              <w:t xml:space="preserve"> （二）因组织场所停电、断网等原因，导致采购活动无法继续通过交易系统实施的；</w:t>
            </w:r>
          </w:p>
          <w:p>
            <w:pPr>
              <w:pStyle w:val="null3"/>
            </w:pPr>
            <w:r>
              <w:rPr>
                <w:rFonts w:ascii="仿宋_GB2312" w:hAnsi="仿宋_GB2312" w:cs="仿宋_GB2312" w:eastAsia="仿宋_GB2312"/>
              </w:rPr>
              <w:t xml:space="preserve"> （三）其他无法保证电子化交易的公平、公正和安全的情况。 出现上述的情形，不影响采购公平、公正的，采购人或者采购代理机构可以待上述情形消除后继续组织采购活动；影响或者可能影响采购公平、公正的，采购人或者采购代理机构应当依法废标。</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2.2.1适用范围</w:t>
      </w:r>
    </w:p>
    <w:p>
      <w:pPr>
        <w:pStyle w:val="null3"/>
        <w:ind w:firstLine="480"/>
      </w:pPr>
      <w:r>
        <w:rPr>
          <w:rFonts w:ascii="仿宋_GB2312" w:hAnsi="仿宋_GB2312" w:cs="仿宋_GB2312" w:eastAsia="仿宋_GB2312"/>
        </w:rPr>
        <w:t>一、本招标文件仅适用于本次公开招标采购项目。</w:t>
      </w:r>
    </w:p>
    <w:p>
      <w:pPr>
        <w:pStyle w:val="null3"/>
        <w:ind w:firstLine="480"/>
      </w:pPr>
      <w:r>
        <w:rPr>
          <w:rFonts w:ascii="仿宋_GB2312" w:hAnsi="仿宋_GB2312" w:cs="仿宋_GB2312" w:eastAsia="仿宋_GB2312"/>
        </w:rPr>
        <w:t xml:space="preserve"> 二、本招标文件的最终解释权由</w:t>
      </w:r>
      <w:r>
        <w:rPr>
          <w:rFonts w:ascii="仿宋_GB2312" w:hAnsi="仿宋_GB2312" w:cs="仿宋_GB2312" w:eastAsia="仿宋_GB2312"/>
        </w:rPr>
        <w:t>陕西省地下水保护与监测中心</w:t>
      </w:r>
      <w:r>
        <w:rPr>
          <w:rFonts w:ascii="仿宋_GB2312" w:hAnsi="仿宋_GB2312" w:cs="仿宋_GB2312" w:eastAsia="仿宋_GB2312"/>
        </w:rPr>
        <w:t>和</w:t>
      </w:r>
      <w:r>
        <w:rPr>
          <w:rFonts w:ascii="仿宋_GB2312" w:hAnsi="仿宋_GB2312" w:cs="仿宋_GB2312" w:eastAsia="仿宋_GB2312"/>
        </w:rPr>
        <w:t>信宏工程咨询有限公司</w:t>
      </w:r>
      <w:r>
        <w:rPr>
          <w:rFonts w:ascii="仿宋_GB2312" w:hAnsi="仿宋_GB2312" w:cs="仿宋_GB2312" w:eastAsia="仿宋_GB2312"/>
        </w:rPr>
        <w:t>享有。对招标文件中供应商参加本次政府采购活动应当具备的条件，招标项目技术、服务、商务及其他要求，评标细则及标准由</w:t>
      </w:r>
      <w:r>
        <w:rPr>
          <w:rFonts w:ascii="仿宋_GB2312" w:hAnsi="仿宋_GB2312" w:cs="仿宋_GB2312" w:eastAsia="仿宋_GB2312"/>
        </w:rPr>
        <w:t>陕西省地下水保护与监测中心</w:t>
      </w:r>
      <w:r>
        <w:rPr>
          <w:rFonts w:ascii="仿宋_GB2312" w:hAnsi="仿宋_GB2312" w:cs="仿宋_GB2312" w:eastAsia="仿宋_GB2312"/>
        </w:rPr>
        <w:t>负责解释。除上述招标文件内容，其他内容由</w:t>
      </w:r>
      <w:r>
        <w:rPr>
          <w:rFonts w:ascii="仿宋_GB2312" w:hAnsi="仿宋_GB2312" w:cs="仿宋_GB2312" w:eastAsia="仿宋_GB2312"/>
        </w:rPr>
        <w:t>信宏工程咨询有限公司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一、“采购人”是指依法进行政府采购的各级国家机关、事业单位、团体组织。本次招标的采购人是</w:t>
      </w:r>
      <w:r>
        <w:rPr>
          <w:rFonts w:ascii="仿宋_GB2312" w:hAnsi="仿宋_GB2312" w:cs="仿宋_GB2312" w:eastAsia="仿宋_GB2312"/>
        </w:rPr>
        <w:t>陕西省地下水保护与监测中心</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二、“投标人”是指按照采购公告规定获取了招标文件，拟参加投标和向采购人提供货物、工程或服务的法人、其他组织或者自然人。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信宏工程咨询有限公司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四、“网上开标”是指代理机构通过项目电子化交易系统在线完成签到、开标、唱标和记录等活动，供应商通过项目电子化交易系统在线完成投标文件解密、参与开标活动。</w:t>
      </w:r>
    </w:p>
    <w:p>
      <w:pPr>
        <w:pStyle w:val="null3"/>
        <w:ind w:firstLine="480"/>
      </w:pPr>
      <w:r>
        <w:rPr>
          <w:rFonts w:ascii="仿宋_GB2312" w:hAnsi="仿宋_GB2312" w:cs="仿宋_GB2312" w:eastAsia="仿宋_GB2312"/>
        </w:rPr>
        <w:t xml:space="preserve"> 五、“电子评标”是指通过项目电子化交易系统在线完成资格审查小组和评审小组组建，开展资格和符合性审查、比较与评价、出具评标报告、推荐中标候选供应商等活动。</w:t>
      </w:r>
    </w:p>
    <w:p>
      <w:pPr>
        <w:pStyle w:val="null3"/>
        <w:outlineLvl w:val="2"/>
      </w:pPr>
      <w:r>
        <w:rPr>
          <w:rFonts w:ascii="仿宋_GB2312" w:hAnsi="仿宋_GB2312" w:cs="仿宋_GB2312" w:eastAsia="仿宋_GB2312"/>
          <w:sz w:val="28"/>
          <w:b/>
        </w:rPr>
        <w:t>2.3招标文件</w:t>
      </w:r>
    </w:p>
    <w:p>
      <w:pPr>
        <w:pStyle w:val="null3"/>
        <w:outlineLvl w:val="3"/>
      </w:pPr>
      <w:r>
        <w:rPr>
          <w:rFonts w:ascii="仿宋_GB2312" w:hAnsi="仿宋_GB2312" w:cs="仿宋_GB2312" w:eastAsia="仿宋_GB2312"/>
          <w:sz w:val="24"/>
          <w:b/>
        </w:rPr>
        <w:t>2.3.1招标文件的构成</w:t>
      </w:r>
    </w:p>
    <w:p>
      <w:pPr>
        <w:pStyle w:val="null3"/>
        <w:ind w:firstLine="480"/>
      </w:pPr>
      <w:r>
        <w:rPr>
          <w:rFonts w:ascii="仿宋_GB2312" w:hAnsi="仿宋_GB2312" w:cs="仿宋_GB2312" w:eastAsia="仿宋_GB2312"/>
        </w:rPr>
        <w:t xml:space="preserve"> 一、招标文件是投标人准备投标文件和参加投标的依据，同时也是资格审查、评标的重要依据。招标文件用以阐明招标项目所需的资质、技术、服务及报价等要求、招标投标程序、有关规定和注意事项以及合同主要条款等。本招标文件包括以下内容：</w:t>
      </w:r>
    </w:p>
    <w:p>
      <w:pPr>
        <w:pStyle w:val="null3"/>
        <w:ind w:firstLine="480"/>
      </w:pPr>
      <w:r>
        <w:rPr>
          <w:rFonts w:ascii="仿宋_GB2312" w:hAnsi="仿宋_GB2312" w:cs="仿宋_GB2312" w:eastAsia="仿宋_GB2312"/>
        </w:rPr>
        <w:t>（一）投标邀请；</w:t>
      </w:r>
    </w:p>
    <w:p>
      <w:pPr>
        <w:pStyle w:val="null3"/>
        <w:ind w:firstLine="480"/>
      </w:pPr>
      <w:r>
        <w:rPr>
          <w:rFonts w:ascii="仿宋_GB2312" w:hAnsi="仿宋_GB2312" w:cs="仿宋_GB2312" w:eastAsia="仿宋_GB2312"/>
        </w:rPr>
        <w:t>（二）投标人须知；</w:t>
      </w:r>
    </w:p>
    <w:p>
      <w:pPr>
        <w:pStyle w:val="null3"/>
        <w:ind w:firstLine="480"/>
      </w:pPr>
      <w:r>
        <w:rPr>
          <w:rFonts w:ascii="仿宋_GB2312" w:hAnsi="仿宋_GB2312" w:cs="仿宋_GB2312" w:eastAsia="仿宋_GB2312"/>
        </w:rPr>
        <w:t>（三）招标项目技术、服务、商务及其他要求；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（五）评标办法；</w:t>
      </w:r>
    </w:p>
    <w:p>
      <w:pPr>
        <w:pStyle w:val="null3"/>
        <w:ind w:firstLine="480"/>
      </w:pPr>
      <w:r>
        <w:rPr>
          <w:rFonts w:ascii="仿宋_GB2312" w:hAnsi="仿宋_GB2312" w:cs="仿宋_GB2312" w:eastAsia="仿宋_GB2312"/>
        </w:rPr>
        <w:t>（六）投标文件格式；</w:t>
      </w:r>
    </w:p>
    <w:p>
      <w:pPr>
        <w:pStyle w:val="null3"/>
        <w:ind w:firstLine="480"/>
      </w:pPr>
      <w:r>
        <w:rPr>
          <w:rFonts w:ascii="仿宋_GB2312" w:hAnsi="仿宋_GB2312" w:cs="仿宋_GB2312" w:eastAsia="仿宋_GB2312"/>
        </w:rPr>
        <w:t>（七）拟签订采购合同文本。</w:t>
      </w:r>
    </w:p>
    <w:p>
      <w:pPr>
        <w:pStyle w:val="null3"/>
        <w:ind w:firstLine="480"/>
      </w:pPr>
      <w:r>
        <w:rPr>
          <w:rFonts w:ascii="仿宋_GB2312" w:hAnsi="仿宋_GB2312" w:cs="仿宋_GB2312" w:eastAsia="仿宋_GB2312"/>
        </w:rPr>
        <w:t xml:space="preserve"> 二、投标人应认真阅读和充分理解招标文件中所有的事项、格式条款和规范要求。投标人没有对招标文件全面作出实质性响应所产生的风险由投标人承担。</w:t>
      </w:r>
    </w:p>
    <w:p>
      <w:pPr>
        <w:pStyle w:val="null3"/>
        <w:outlineLvl w:val="3"/>
      </w:pPr>
      <w:r>
        <w:rPr>
          <w:rFonts w:ascii="仿宋_GB2312" w:hAnsi="仿宋_GB2312" w:cs="仿宋_GB2312" w:eastAsia="仿宋_GB2312"/>
          <w:sz w:val="24"/>
          <w:b/>
        </w:rPr>
        <w:t>2.3.2招标文件的澄清和修改</w:t>
      </w:r>
    </w:p>
    <w:p>
      <w:pPr>
        <w:pStyle w:val="null3"/>
        <w:ind w:firstLine="480"/>
      </w:pPr>
      <w:r>
        <w:rPr>
          <w:rFonts w:ascii="仿宋_GB2312" w:hAnsi="仿宋_GB2312" w:cs="仿宋_GB2312" w:eastAsia="仿宋_GB2312"/>
        </w:rPr>
        <w:t>一、在投标文件提交截止时间前，采购人或者代理机构可以对已发出的招标文件进行必要的澄清或者修改。</w:t>
      </w:r>
    </w:p>
    <w:p>
      <w:pPr>
        <w:pStyle w:val="null3"/>
        <w:ind w:firstLine="480"/>
      </w:pPr>
      <w:r>
        <w:rPr>
          <w:rFonts w:ascii="仿宋_GB2312" w:hAnsi="仿宋_GB2312" w:cs="仿宋_GB2312" w:eastAsia="仿宋_GB2312"/>
        </w:rPr>
        <w:t xml:space="preserve"> 二、澄清或者修改的内容为招标文件的组成部分，采购人或者代理机构将在陕西省政府采购网发布更正公告，投标人应及时关注本项目更正公告信息，按更正后公告要求进行响应。更正内容可能影响投标文件编制的，采购人或者代理机构将通过项目电子化交易系统发布更正后的招标文件，投标人应依据更正后的招标文件编制投标文件。若投标人未按前述要求进行投标响应的，自行承担不利后果。</w:t>
      </w:r>
    </w:p>
    <w:p>
      <w:pPr>
        <w:pStyle w:val="null3"/>
        <w:outlineLvl w:val="2"/>
      </w:pPr>
      <w:r>
        <w:rPr>
          <w:rFonts w:ascii="仿宋_GB2312" w:hAnsi="仿宋_GB2312" w:cs="仿宋_GB2312" w:eastAsia="仿宋_GB2312"/>
          <w:sz w:val="28"/>
          <w:b/>
        </w:rPr>
        <w:t>2.4投标文件</w:t>
      </w:r>
    </w:p>
    <w:p>
      <w:pPr>
        <w:pStyle w:val="null3"/>
        <w:outlineLvl w:val="3"/>
      </w:pPr>
      <w:r>
        <w:rPr>
          <w:rFonts w:ascii="仿宋_GB2312" w:hAnsi="仿宋_GB2312" w:cs="仿宋_GB2312" w:eastAsia="仿宋_GB2312"/>
          <w:sz w:val="24"/>
          <w:b/>
        </w:rPr>
        <w:t>2.4.1投标文件的语言</w:t>
      </w:r>
    </w:p>
    <w:p>
      <w:pPr>
        <w:pStyle w:val="null3"/>
        <w:ind w:firstLine="480"/>
      </w:pPr>
      <w:r>
        <w:rPr>
          <w:rFonts w:ascii="仿宋_GB2312" w:hAnsi="仿宋_GB2312" w:cs="仿宋_GB2312" w:eastAsia="仿宋_GB2312"/>
        </w:rPr>
        <w:t xml:space="preserve"> 一、投标人提交的投标文件以及投标人与采购人或代理机构就有关投标的所有来往书面文件均须使用中文。投标文件中如附有外文资料，主要部分要对应翻译成中文并附在相关外文资料后面。未翻译的外文资料，评标委员会将其视为无效材料。</w:t>
      </w:r>
    </w:p>
    <w:p>
      <w:pPr>
        <w:pStyle w:val="null3"/>
        <w:ind w:firstLine="480"/>
      </w:pPr>
      <w:r>
        <w:rPr>
          <w:rFonts w:ascii="仿宋_GB2312" w:hAnsi="仿宋_GB2312" w:cs="仿宋_GB2312" w:eastAsia="仿宋_GB2312"/>
        </w:rPr>
        <w:t>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三、如因未翻译而造成对投标人的不利后果，由投标人承担。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除招标文件中另有规定外，本项目均采用国家法定的计量单位。</w:t>
      </w:r>
    </w:p>
    <w:p>
      <w:pPr>
        <w:pStyle w:val="null3"/>
        <w:outlineLvl w:val="3"/>
      </w:pPr>
      <w:r>
        <w:rPr>
          <w:rFonts w:ascii="仿宋_GB2312" w:hAnsi="仿宋_GB2312" w:cs="仿宋_GB2312" w:eastAsia="仿宋_GB2312"/>
          <w:sz w:val="24"/>
          <w:b/>
        </w:rPr>
        <w:t>2.4.3投标货币</w:t>
      </w:r>
    </w:p>
    <w:p>
      <w:pPr>
        <w:pStyle w:val="null3"/>
        <w:ind w:firstLine="480"/>
      </w:pPr>
      <w:r>
        <w:rPr>
          <w:rFonts w:ascii="仿宋_GB2312" w:hAnsi="仿宋_GB2312" w:cs="仿宋_GB2312" w:eastAsia="仿宋_GB2312"/>
        </w:rPr>
        <w:t>本次项目均以人民币报价。</w:t>
      </w:r>
    </w:p>
    <w:p>
      <w:pPr>
        <w:pStyle w:val="null3"/>
        <w:outlineLvl w:val="3"/>
      </w:pPr>
      <w:r>
        <w:rPr>
          <w:rFonts w:ascii="仿宋_GB2312" w:hAnsi="仿宋_GB2312" w:cs="仿宋_GB2312" w:eastAsia="仿宋_GB2312"/>
          <w:sz w:val="24"/>
          <w:b/>
        </w:rPr>
        <w:t>2.4.4知识产权</w:t>
      </w:r>
    </w:p>
    <w:p>
      <w:pPr>
        <w:pStyle w:val="null3"/>
        <w:ind w:firstLine="480"/>
      </w:pPr>
      <w:r>
        <w:rPr>
          <w:rFonts w:ascii="仿宋_GB2312" w:hAnsi="仿宋_GB2312" w:cs="仿宋_GB2312" w:eastAsia="仿宋_GB2312"/>
        </w:rPr>
        <w:t xml:space="preserve"> 一、投标人应保证在本项目中使用的任何技术、产品和服务（包括部分使用），不会产生因第三方提出侵犯其专利权、商标权或其它知识产权而引起的法律和经济纠纷，如因专利权、商标权或其它知识产权而引起法律和经济纠纷，由投标人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投标人将在采购项目实施过程中采用自有或者第三方知识成果的，使用该知识成果后，投标人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三、如采用投标人所不拥有的知识产权，则在投标报价中必须包括合法使用该知识产权的相关费用。</w:t>
      </w:r>
    </w:p>
    <w:p>
      <w:pPr>
        <w:pStyle w:val="null3"/>
        <w:outlineLvl w:val="3"/>
      </w:pPr>
      <w:r>
        <w:rPr>
          <w:rFonts w:ascii="仿宋_GB2312" w:hAnsi="仿宋_GB2312" w:cs="仿宋_GB2312" w:eastAsia="仿宋_GB2312"/>
          <w:sz w:val="24"/>
          <w:b/>
        </w:rPr>
        <w:t>2.4.5投标文件的组成</w:t>
      </w:r>
    </w:p>
    <w:p>
      <w:pPr>
        <w:pStyle w:val="null3"/>
        <w:ind w:firstLine="480"/>
      </w:pPr>
      <w:r>
        <w:rPr>
          <w:rFonts w:ascii="仿宋_GB2312" w:hAnsi="仿宋_GB2312" w:cs="仿宋_GB2312" w:eastAsia="仿宋_GB2312"/>
        </w:rPr>
        <w:t>投标人应当按照招标文件的要求编制投标文件。投标文件应当对招标文件提出的要求和条件作出明确响应。</w:t>
      </w:r>
    </w:p>
    <w:p>
      <w:pPr>
        <w:pStyle w:val="null3"/>
        <w:ind w:firstLine="480"/>
      </w:pPr>
      <w:r>
        <w:rPr>
          <w:rFonts w:ascii="仿宋_GB2312" w:hAnsi="仿宋_GB2312" w:cs="仿宋_GB2312" w:eastAsia="仿宋_GB2312"/>
        </w:rPr>
        <w:t>投标文件具体内容详见第六章。</w:t>
      </w:r>
    </w:p>
    <w:p>
      <w:pPr>
        <w:pStyle w:val="null3"/>
        <w:outlineLvl w:val="3"/>
      </w:pPr>
      <w:r>
        <w:rPr>
          <w:rFonts w:ascii="仿宋_GB2312" w:hAnsi="仿宋_GB2312" w:cs="仿宋_GB2312" w:eastAsia="仿宋_GB2312"/>
          <w:sz w:val="24"/>
          <w:b/>
        </w:rPr>
        <w:t>2.4.6投标文件格式</w:t>
      </w:r>
    </w:p>
    <w:p>
      <w:pPr>
        <w:pStyle w:val="null3"/>
        <w:ind w:firstLine="480"/>
      </w:pPr>
      <w:r>
        <w:rPr>
          <w:rFonts w:ascii="仿宋_GB2312" w:hAnsi="仿宋_GB2312" w:cs="仿宋_GB2312" w:eastAsia="仿宋_GB2312"/>
        </w:rPr>
        <w:t>一、投标人应按照招标文件第六章中提供的“投标文件格式”填写相关内容。</w:t>
      </w:r>
    </w:p>
    <w:p>
      <w:pPr>
        <w:pStyle w:val="null3"/>
        <w:ind w:firstLine="480"/>
      </w:pPr>
      <w:r>
        <w:rPr>
          <w:rFonts w:ascii="仿宋_GB2312" w:hAnsi="仿宋_GB2312" w:cs="仿宋_GB2312" w:eastAsia="仿宋_GB2312"/>
        </w:rPr>
        <w:t>二、对于没有格式要求的投标文件由投标人自行编写。</w:t>
      </w:r>
    </w:p>
    <w:p>
      <w:pPr>
        <w:pStyle w:val="null3"/>
        <w:outlineLvl w:val="3"/>
      </w:pPr>
      <w:r>
        <w:rPr>
          <w:rFonts w:ascii="仿宋_GB2312" w:hAnsi="仿宋_GB2312" w:cs="仿宋_GB2312" w:eastAsia="仿宋_GB2312"/>
          <w:sz w:val="24"/>
          <w:b/>
        </w:rPr>
        <w:t>2.4.7投标报价（实质性要求）</w:t>
      </w:r>
    </w:p>
    <w:p>
      <w:pPr>
        <w:pStyle w:val="null3"/>
        <w:ind w:firstLine="480"/>
      </w:pPr>
      <w:r>
        <w:rPr>
          <w:rFonts w:ascii="仿宋_GB2312" w:hAnsi="仿宋_GB2312" w:cs="仿宋_GB2312" w:eastAsia="仿宋_GB2312"/>
        </w:rPr>
        <w:t>一、投标人的报价是投标人响应招标项目要求的全部工作内容的价格体现，包括投标人完成本项目所需的一切费用。</w:t>
      </w:r>
    </w:p>
    <w:p>
      <w:pPr>
        <w:pStyle w:val="null3"/>
        <w:ind w:firstLine="480"/>
      </w:pPr>
      <w:r>
        <w:rPr>
          <w:rFonts w:ascii="仿宋_GB2312" w:hAnsi="仿宋_GB2312" w:cs="仿宋_GB2312" w:eastAsia="仿宋_GB2312"/>
        </w:rPr>
        <w:t xml:space="preserve"> 二、投标人每种货物及服务内容只允许有一个报价，并且在合同履行过程中是固定不变的，任何有选择或可调整的报价将不予接受，并按无效投标处理。</w:t>
      </w:r>
    </w:p>
    <w:p>
      <w:pPr>
        <w:pStyle w:val="null3"/>
        <w:ind w:firstLine="480"/>
      </w:pPr>
      <w:r>
        <w:rPr>
          <w:rFonts w:ascii="仿宋_GB2312" w:hAnsi="仿宋_GB2312" w:cs="仿宋_GB2312" w:eastAsia="仿宋_GB2312"/>
        </w:rPr>
        <w:t xml:space="preserve"> 三、投标文件报价出现前后不一致的，按照招标文件第五章评标办法规定予以修正，修正后的报价经投标人通过项目电子化交易系统进行确认，并加盖投标人（法定名称）电子印章，投标人未在规定时间内确认的，其投标无效。</w:t>
      </w:r>
    </w:p>
    <w:p>
      <w:pPr>
        <w:pStyle w:val="null3"/>
        <w:outlineLvl w:val="3"/>
      </w:pPr>
      <w:r>
        <w:rPr>
          <w:rFonts w:ascii="仿宋_GB2312" w:hAnsi="仿宋_GB2312" w:cs="仿宋_GB2312" w:eastAsia="仿宋_GB2312"/>
          <w:sz w:val="24"/>
          <w:b/>
        </w:rPr>
        <w:t>2.4.8投标有效期（实质性要求）</w:t>
      </w:r>
    </w:p>
    <w:p>
      <w:pPr>
        <w:pStyle w:val="null3"/>
        <w:ind w:firstLine="480"/>
      </w:pPr>
      <w:r>
        <w:rPr>
          <w:rFonts w:ascii="仿宋_GB2312" w:hAnsi="仿宋_GB2312" w:cs="仿宋_GB2312" w:eastAsia="仿宋_GB2312"/>
        </w:rPr>
        <w:t xml:space="preserve"> 投标有效期详见第二章“投标人须知前附表”，投标文件未明确投标有效期或者投标有效期小于“投标人须知前附表”中投标有效期要求的，其投标文件按无效处理。</w:t>
      </w:r>
    </w:p>
    <w:p>
      <w:pPr>
        <w:pStyle w:val="null3"/>
        <w:outlineLvl w:val="3"/>
      </w:pPr>
      <w:r>
        <w:rPr>
          <w:rFonts w:ascii="仿宋_GB2312" w:hAnsi="仿宋_GB2312" w:cs="仿宋_GB2312" w:eastAsia="仿宋_GB2312"/>
          <w:sz w:val="24"/>
          <w:b/>
        </w:rPr>
        <w:t>2.4.9投标文件的制作、签章和加密（实质性要求）</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二、投标人应按照客户端操作要求，对应招标文件的每项实质性要求，逐一如实响应；未如实响应或者响应内容不符合招标文件对应项的要求的，其投标文件作无效处理。</w:t>
      </w:r>
    </w:p>
    <w:p>
      <w:pPr>
        <w:pStyle w:val="null3"/>
        <w:ind w:firstLine="480"/>
      </w:pPr>
      <w:r>
        <w:rPr>
          <w:rFonts w:ascii="仿宋_GB2312" w:hAnsi="仿宋_GB2312" w:cs="仿宋_GB2312" w:eastAsia="仿宋_GB2312"/>
        </w:rPr>
        <w:t xml:space="preserve"> 三、投标人完成投标文件编制后，应按照招标文件第一章明确的签章要求，使用互认的证书及签章对投标文件进行电子签章和加密。</w:t>
      </w:r>
    </w:p>
    <w:p>
      <w:pPr>
        <w:pStyle w:val="null3"/>
        <w:ind w:firstLine="480"/>
      </w:pPr>
      <w:r>
        <w:rPr>
          <w:rFonts w:ascii="仿宋_GB2312" w:hAnsi="仿宋_GB2312" w:cs="仿宋_GB2312" w:eastAsia="仿宋_GB2312"/>
        </w:rPr>
        <w:t xml:space="preserve"> 四、招标文件澄清或者修改的内容可能影响投标文件编制的，代理机构将重新发布澄清或者修改后的招标文件，投标人应重新获取澄清或者修改后的招标文件，按照澄清或者修改后的招标文件进行投标文件编制、签章和加密。</w:t>
      </w:r>
    </w:p>
    <w:p>
      <w:pPr>
        <w:pStyle w:val="null3"/>
        <w:outlineLvl w:val="3"/>
      </w:pPr>
      <w:r>
        <w:rPr>
          <w:rFonts w:ascii="仿宋_GB2312" w:hAnsi="仿宋_GB2312" w:cs="仿宋_GB2312" w:eastAsia="仿宋_GB2312"/>
          <w:sz w:val="24"/>
          <w:b/>
        </w:rPr>
        <w:t>2.4.10投标文件的提交</w:t>
      </w:r>
    </w:p>
    <w:p>
      <w:pPr>
        <w:pStyle w:val="null3"/>
        <w:ind w:firstLine="480"/>
      </w:pPr>
      <w:r>
        <w:rPr>
          <w:rFonts w:ascii="仿宋_GB2312" w:hAnsi="仿宋_GB2312" w:cs="仿宋_GB2312" w:eastAsia="仿宋_GB2312"/>
        </w:rPr>
        <w:t>一、（实质性要求）投标人应当在投标文件提交截止时间前，通过项目电子化交易系统完成投标文件提交。</w:t>
      </w:r>
    </w:p>
    <w:p>
      <w:pPr>
        <w:pStyle w:val="null3"/>
        <w:ind w:firstLine="480"/>
      </w:pPr>
      <w:r>
        <w:rPr>
          <w:rFonts w:ascii="仿宋_GB2312" w:hAnsi="仿宋_GB2312" w:cs="仿宋_GB2312" w:eastAsia="仿宋_GB2312"/>
        </w:rPr>
        <w:t xml:space="preserve"> 二、在投标文件提交截止时间后，采购人或者代理机构不再接受投标人提交投标文件。投标人应充分考虑影响投标文件提交的各种因素，确保在投标文件提交截止时间前完成提交。</w:t>
      </w:r>
    </w:p>
    <w:p>
      <w:pPr>
        <w:pStyle w:val="null3"/>
        <w:outlineLvl w:val="3"/>
      </w:pPr>
      <w:r>
        <w:rPr>
          <w:rFonts w:ascii="仿宋_GB2312" w:hAnsi="仿宋_GB2312" w:cs="仿宋_GB2312" w:eastAsia="仿宋_GB2312"/>
          <w:sz w:val="24"/>
          <w:b/>
        </w:rPr>
        <w:t>2.4.11投标文件的补充、修改、撤回（实质性要求）</w:t>
      </w:r>
    </w:p>
    <w:p>
      <w:pPr>
        <w:pStyle w:val="null3"/>
        <w:ind w:firstLine="480"/>
      </w:pPr>
      <w:r>
        <w:rPr>
          <w:rFonts w:ascii="仿宋_GB2312" w:hAnsi="仿宋_GB2312" w:cs="仿宋_GB2312" w:eastAsia="仿宋_GB2312"/>
        </w:rPr>
        <w:t xml:space="preserve"> 投标文件提交截止时间前，投标人可以补充、修改或者撤回已成功提交的投标文件；对投标文件进行补充、修改的，应当先行撤回已提交的投标文件，补充、修改后重新提交。</w:t>
      </w:r>
    </w:p>
    <w:p>
      <w:pPr>
        <w:pStyle w:val="null3"/>
        <w:ind w:firstLine="480"/>
      </w:pPr>
      <w:r>
        <w:rPr>
          <w:rFonts w:ascii="仿宋_GB2312" w:hAnsi="仿宋_GB2312" w:cs="仿宋_GB2312" w:eastAsia="仿宋_GB2312"/>
        </w:rPr>
        <w:t>供应商投标文件撤回后，视为未提交过投标文件。</w:t>
      </w:r>
    </w:p>
    <w:p>
      <w:pPr>
        <w:pStyle w:val="null3"/>
        <w:outlineLvl w:val="2"/>
      </w:pPr>
      <w:r>
        <w:rPr>
          <w:rFonts w:ascii="仿宋_GB2312" w:hAnsi="仿宋_GB2312" w:cs="仿宋_GB2312" w:eastAsia="仿宋_GB2312"/>
          <w:sz w:val="28"/>
          <w:b/>
        </w:rPr>
        <w:t>2.5开标、资格审查、评标和中标</w:t>
      </w:r>
    </w:p>
    <w:p>
      <w:pPr>
        <w:pStyle w:val="null3"/>
        <w:outlineLvl w:val="3"/>
      </w:pPr>
      <w:r>
        <w:rPr>
          <w:rFonts w:ascii="仿宋_GB2312" w:hAnsi="仿宋_GB2312" w:cs="仿宋_GB2312" w:eastAsia="仿宋_GB2312"/>
          <w:sz w:val="24"/>
          <w:b/>
        </w:rPr>
        <w:t>2.5.1开标及开标程序</w:t>
      </w:r>
    </w:p>
    <w:p>
      <w:pPr>
        <w:pStyle w:val="null3"/>
        <w:ind w:firstLine="480"/>
      </w:pPr>
      <w:r>
        <w:rPr>
          <w:rFonts w:ascii="仿宋_GB2312" w:hAnsi="仿宋_GB2312" w:cs="仿宋_GB2312" w:eastAsia="仿宋_GB2312"/>
        </w:rPr>
        <w:t xml:space="preserve"> 一、本项目为网上开标项目。网上开标的开始时间为投标文件提交截止时间。成功提交或解密电子投标文件的投标人不足3家的，不予开标，采购人或代理机构将作废标处理。</w:t>
      </w:r>
    </w:p>
    <w:p>
      <w:pPr>
        <w:pStyle w:val="null3"/>
        <w:ind w:firstLine="480"/>
      </w:pPr>
      <w:r>
        <w:rPr>
          <w:rFonts w:ascii="仿宋_GB2312" w:hAnsi="仿宋_GB2312" w:cs="仿宋_GB2312" w:eastAsia="仿宋_GB2312"/>
        </w:rPr>
        <w:t>二、开标准备工作</w:t>
      </w:r>
    </w:p>
    <w:p>
      <w:pPr>
        <w:pStyle w:val="null3"/>
      </w:pPr>
      <w:r>
        <w:rPr>
          <w:rFonts w:ascii="仿宋_GB2312" w:hAnsi="仿宋_GB2312" w:cs="仿宋_GB2312" w:eastAsia="仿宋_GB2312"/>
        </w:rPr>
        <w:t xml:space="preserve"> 开标/开启前30分钟内，供应商需登录项目电子化交易系统-“供应商开标大厅”-进入开标选择对应项目包组操作签到，签到完成后等待代理机构开标/开启。</w:t>
      </w:r>
    </w:p>
    <w:p>
      <w:pPr>
        <w:pStyle w:val="null3"/>
        <w:ind w:firstLine="480"/>
        <w:jc w:val="left"/>
      </w:pPr>
      <w:r>
        <w:rPr>
          <w:rFonts w:ascii="仿宋_GB2312" w:hAnsi="仿宋_GB2312" w:cs="仿宋_GB2312" w:eastAsia="仿宋_GB2312"/>
        </w:rPr>
        <w:t xml:space="preserve"> 投标文件提交截止时间前30分钟，投标人登录项目电子化交易系统-“开标/开启大厅”参与开标。</w:t>
      </w:r>
    </w:p>
    <w:p>
      <w:pPr>
        <w:pStyle w:val="null3"/>
        <w:ind w:firstLine="480"/>
      </w:pPr>
      <w:r>
        <w:rPr>
          <w:rFonts w:ascii="仿宋_GB2312" w:hAnsi="仿宋_GB2312" w:cs="仿宋_GB2312" w:eastAsia="仿宋_GB2312"/>
        </w:rPr>
        <w:t>三、解密投标文件（实质性要求）</w:t>
      </w:r>
    </w:p>
    <w:p>
      <w:pPr>
        <w:pStyle w:val="null3"/>
        <w:ind w:firstLine="480"/>
      </w:pPr>
      <w:r>
        <w:rPr>
          <w:rFonts w:ascii="仿宋_GB2312" w:hAnsi="仿宋_GB2312" w:cs="仿宋_GB2312" w:eastAsia="仿宋_GB2312"/>
        </w:rPr>
        <w:t xml:space="preserve"> 投标文件提交截止时间后，成功提交投标文件的投标人符合招标文件规定数量的，代理机构将启动投标文件解密程序，解密时间为</w:t>
      </w:r>
      <w:r>
        <w:rPr>
          <w:rFonts w:ascii="仿宋_GB2312" w:hAnsi="仿宋_GB2312" w:cs="仿宋_GB2312" w:eastAsia="仿宋_GB2312"/>
        </w:rPr>
        <w:t>30</w:t>
      </w:r>
      <w:r>
        <w:rPr>
          <w:rFonts w:ascii="仿宋_GB2312" w:hAnsi="仿宋_GB2312" w:cs="仿宋_GB2312" w:eastAsia="仿宋_GB2312"/>
        </w:rPr>
        <w:t>分钟；投标人应在规定的解密时间内，使用互认的证书及签章通过项目电子化交易系统进行投标文件解密。投标人未在规定的解密时间内完成解密的，按无效投标处理。</w:t>
      </w:r>
    </w:p>
    <w:p>
      <w:pPr>
        <w:pStyle w:val="null3"/>
        <w:ind w:firstLine="480"/>
      </w:pPr>
      <w:r>
        <w:rPr>
          <w:rFonts w:ascii="仿宋_GB2312" w:hAnsi="仿宋_GB2312" w:cs="仿宋_GB2312" w:eastAsia="仿宋_GB2312"/>
        </w:rPr>
        <w:t>四、开标</w:t>
      </w:r>
    </w:p>
    <w:p>
      <w:pPr>
        <w:pStyle w:val="null3"/>
        <w:ind w:firstLine="480"/>
      </w:pPr>
      <w:r>
        <w:rPr>
          <w:rFonts w:ascii="仿宋_GB2312" w:hAnsi="仿宋_GB2312" w:cs="仿宋_GB2312" w:eastAsia="仿宋_GB2312"/>
        </w:rPr>
        <w:t xml:space="preserve"> 解密时间截止或者所有投标人投标文件均完成解密后（以发生在先的时间为准），由代理机构通过项目电子化交易系统对投标人名称、投标文件解密情况、投标报价进行展示。</w:t>
      </w:r>
    </w:p>
    <w:p>
      <w:pPr>
        <w:pStyle w:val="null3"/>
        <w:ind w:firstLine="480"/>
      </w:pPr>
      <w:r>
        <w:rPr>
          <w:rFonts w:ascii="仿宋_GB2312" w:hAnsi="仿宋_GB2312" w:cs="仿宋_GB2312" w:eastAsia="仿宋_GB2312"/>
        </w:rPr>
        <w:t xml:space="preserve"> 开标过程中，各方主体均应遵守互联网有关规定，不得发表与采购活动无关的言论。投标人对开标过程和开标记录有疑义，以及认为采购人或代理机构相关工作人员有需要回避的情形的，及时向工作人员提出询问或者回避申请。采购人或代理机构对投标人提出的询问或者回避申请应当及时处理。</w:t>
      </w:r>
    </w:p>
    <w:p>
      <w:pPr>
        <w:pStyle w:val="null3"/>
        <w:ind w:firstLine="480"/>
      </w:pPr>
      <w:r>
        <w:rPr>
          <w:rFonts w:ascii="仿宋_GB2312" w:hAnsi="仿宋_GB2312" w:cs="仿宋_GB2312" w:eastAsia="仿宋_GB2312"/>
        </w:rPr>
        <w:t>投标人完成投标文件解密后，自主决定是否参加网上在线开标，未参加的，视同认可开标结果。</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标结束后，采购人或代理机构根据《关于在政府采购活动中查询及使用信用记录有关问题的通知》（财库〔2016〕125号）的要求，通过“信用中国”网站（www.creditchina.gov.cn）、“中国政府采购网”网站（www.ccgp.gov.cn）等渠道，查询投标人在投标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两个以上的自然人、法人或者其他组织组成一个联合体，以一个投标人的身份共同参加政府采购活动的，将对所有联合体成员进行信用记录查询，联合体成员存在不良信用记录的，视同联合体存在不良信用记录。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详见招标文件第四章。</w:t>
      </w:r>
    </w:p>
    <w:p>
      <w:pPr>
        <w:pStyle w:val="null3"/>
        <w:outlineLvl w:val="3"/>
      </w:pPr>
      <w:r>
        <w:rPr>
          <w:rFonts w:ascii="仿宋_GB2312" w:hAnsi="仿宋_GB2312" w:cs="仿宋_GB2312" w:eastAsia="仿宋_GB2312"/>
          <w:sz w:val="24"/>
          <w:b/>
        </w:rPr>
        <w:t>2.5.4评标</w:t>
      </w:r>
    </w:p>
    <w:p>
      <w:pPr>
        <w:pStyle w:val="null3"/>
        <w:ind w:firstLine="480"/>
      </w:pPr>
      <w:r>
        <w:rPr>
          <w:rFonts w:ascii="仿宋_GB2312" w:hAnsi="仿宋_GB2312" w:cs="仿宋_GB2312" w:eastAsia="仿宋_GB2312"/>
        </w:rPr>
        <w:t>详见招标文件第五章。</w:t>
      </w:r>
    </w:p>
    <w:p>
      <w:pPr>
        <w:pStyle w:val="null3"/>
        <w:outlineLvl w:val="3"/>
      </w:pPr>
      <w:r>
        <w:rPr>
          <w:rFonts w:ascii="仿宋_GB2312" w:hAnsi="仿宋_GB2312" w:cs="仿宋_GB2312" w:eastAsia="仿宋_GB2312"/>
          <w:sz w:val="24"/>
          <w:b/>
        </w:rPr>
        <w:t>2.5.5中标通知书</w:t>
      </w:r>
    </w:p>
    <w:p>
      <w:pPr>
        <w:pStyle w:val="null3"/>
        <w:ind w:firstLine="480"/>
      </w:pPr>
      <w:r>
        <w:rPr>
          <w:rFonts w:ascii="仿宋_GB2312" w:hAnsi="仿宋_GB2312" w:cs="仿宋_GB2312" w:eastAsia="仿宋_GB2312"/>
        </w:rPr>
        <w:t xml:space="preserve"> 一、采购人或者评标委员会确认中标供应商后，代理机构在陕西省政府采购网发布中标结果公告、通过项目电子化交易系统发出中标通知书，中标供应商通过项目电子化交易系统获取中标通知书。</w:t>
      </w:r>
    </w:p>
    <w:p>
      <w:pPr>
        <w:pStyle w:val="null3"/>
        <w:ind w:firstLine="480"/>
      </w:pPr>
      <w:r>
        <w:rPr>
          <w:rFonts w:ascii="仿宋_GB2312" w:hAnsi="仿宋_GB2312" w:cs="仿宋_GB2312" w:eastAsia="仿宋_GB2312"/>
        </w:rPr>
        <w:t xml:space="preserve"> 二、中标通知书是采购人和中标供应商签订政府采购合同的依据，是合同的有效组成部分。如果出现政府采购法律法规、规章制度规定的中标无效情形的，将以公告形式宣布发出的中标通知书无效，中标通知书将自动失效，并依法重新确定中标供应商或者重新开展采购活动。</w:t>
      </w:r>
    </w:p>
    <w:p>
      <w:pPr>
        <w:pStyle w:val="null3"/>
        <w:ind w:firstLine="480"/>
      </w:pPr>
      <w:r>
        <w:rPr>
          <w:rFonts w:ascii="仿宋_GB2312" w:hAnsi="仿宋_GB2312" w:cs="仿宋_GB2312" w:eastAsia="仿宋_GB2312"/>
        </w:rPr>
        <w:t>三、中标通知书对采购人和中标供应商均具有法律效力。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2.6.1签订合同</w:t>
      </w:r>
    </w:p>
    <w:p>
      <w:pPr>
        <w:pStyle w:val="null3"/>
        <w:ind w:firstLine="480"/>
      </w:pPr>
      <w:r>
        <w:rPr>
          <w:rFonts w:ascii="仿宋_GB2312" w:hAnsi="仿宋_GB2312" w:cs="仿宋_GB2312" w:eastAsia="仿宋_GB2312"/>
        </w:rPr>
        <w:t>一、采购人应在中标通知书发出之日起三十日内与中标人签订采购合同。</w:t>
      </w:r>
    </w:p>
    <w:p>
      <w:pPr>
        <w:pStyle w:val="null3"/>
        <w:ind w:firstLine="480"/>
      </w:pPr>
      <w:r>
        <w:rPr>
          <w:rFonts w:ascii="仿宋_GB2312" w:hAnsi="仿宋_GB2312" w:cs="仿宋_GB2312" w:eastAsia="仿宋_GB2312"/>
        </w:rPr>
        <w:t>二、采购人和中标人签订的采购合同不得对招标文件确定的事项以及中标人的投标文件作实质性修改。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一、投标人根据招标文件的规定和采购项目的实际情况，拟在中标后将中标项目的非主体、非关键性工作分包的，应当在投标文件中载明分包承担主体，分包承担主体应当具备相应资质条件且不得再次分包。</w:t>
      </w:r>
    </w:p>
    <w:p>
      <w:pPr>
        <w:pStyle w:val="null3"/>
        <w:ind w:firstLine="480"/>
      </w:pPr>
      <w:r>
        <w:rPr>
          <w:rFonts w:ascii="仿宋_GB2312" w:hAnsi="仿宋_GB2312" w:cs="仿宋_GB2312" w:eastAsia="仿宋_GB2312"/>
        </w:rPr>
        <w:t>二、分包履行合同的部分应当为采购项目的非主体、非关键性工作，不属于中标人的主要合同义务。</w:t>
      </w:r>
    </w:p>
    <w:p>
      <w:pPr>
        <w:pStyle w:val="null3"/>
        <w:ind w:firstLine="480"/>
      </w:pPr>
      <w:r>
        <w:rPr>
          <w:rFonts w:ascii="仿宋_GB2312" w:hAnsi="仿宋_GB2312" w:cs="仿宋_GB2312" w:eastAsia="仿宋_GB2312"/>
        </w:rPr>
        <w:t>三、采购合同实行分包履行的，中标人就采购项目和分包项目向采购人负责，分包供应商就分包项目承担责任。</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一、严禁中标供应商将本项目转包。本项目所称转包，是指将本项目转给他人或者将本项目全部肢解以后以分包的名义分别转给他人的行为。</w:t>
      </w:r>
    </w:p>
    <w:p>
      <w:pPr>
        <w:pStyle w:val="null3"/>
        <w:ind w:firstLine="480"/>
      </w:pPr>
      <w:r>
        <w:rPr>
          <w:rFonts w:ascii="仿宋_GB2312" w:hAnsi="仿宋_GB2312" w:cs="仿宋_GB2312" w:eastAsia="仿宋_GB2312"/>
        </w:rPr>
        <w:t>二、中标供应商转包的，视同拒绝履行政府采购合同，将依法追究法律责任。</w:t>
      </w:r>
    </w:p>
    <w:p>
      <w:pPr>
        <w:pStyle w:val="null3"/>
        <w:outlineLvl w:val="3"/>
      </w:pPr>
      <w:r>
        <w:rPr>
          <w:rFonts w:ascii="仿宋_GB2312" w:hAnsi="仿宋_GB2312" w:cs="仿宋_GB2312" w:eastAsia="仿宋_GB2312"/>
          <w:sz w:val="24"/>
          <w:b/>
        </w:rPr>
        <w:t>2.6.3采购人增加合同标的的权利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采购合同履行过程中，采购人需要追加与合同标的相同的货物或者服务的，在不改变合同其他条款的前提下，可以与中标人协商签订补充合同，但所有补充合同的采购金额不得超过原合同采购金额的百分之十。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2.6.4履行合同</w:t>
      </w:r>
    </w:p>
    <w:p>
      <w:pPr>
        <w:pStyle w:val="null3"/>
        <w:ind w:firstLine="480"/>
      </w:pPr>
      <w:r>
        <w:rPr>
          <w:rFonts w:ascii="仿宋_GB2312" w:hAnsi="仿宋_GB2312" w:cs="仿宋_GB2312" w:eastAsia="仿宋_GB2312"/>
        </w:rPr>
        <w:t>一、合同一经签订，双方应严格履行合同规定的义务。</w:t>
      </w:r>
    </w:p>
    <w:p>
      <w:pPr>
        <w:pStyle w:val="null3"/>
        <w:ind w:firstLine="480"/>
      </w:pPr>
      <w:r>
        <w:rPr>
          <w:rFonts w:ascii="仿宋_GB2312" w:hAnsi="仿宋_GB2312" w:cs="仿宋_GB2312" w:eastAsia="仿宋_GB2312"/>
        </w:rPr>
        <w:t>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2.6.5履约验收方案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依据招标文件、投标文件、合同文本、国内相应的标准、规范，提交陕西省2016-2023年地下水超采治理评估报告及相关附表附图、陕西省地下水超采综合治理方案报告及相关附表附图。</w:t>
      </w:r>
    </w:p>
    <w:p>
      <w:pPr>
        <w:pStyle w:val="null3"/>
        <w:outlineLvl w:val="3"/>
      </w:pPr>
      <w:r>
        <w:rPr>
          <w:rFonts w:ascii="仿宋_GB2312" w:hAnsi="仿宋_GB2312" w:cs="仿宋_GB2312" w:eastAsia="仿宋_GB2312"/>
          <w:sz w:val="24"/>
          <w:b/>
        </w:rPr>
        <w:t>2.6.6资金支付</w:t>
      </w:r>
    </w:p>
    <w:p>
      <w:pPr>
        <w:pStyle w:val="null3"/>
        <w:ind w:firstLine="480"/>
      </w:pPr>
      <w:r>
        <w:rPr>
          <w:rFonts w:ascii="仿宋_GB2312" w:hAnsi="仿宋_GB2312" w:cs="仿宋_GB2312" w:eastAsia="仿宋_GB2312"/>
        </w:rPr>
        <w:t>采购人按财政部门的相关规定及采购合同的约定进行支付。</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2.7.1评标活动纪律要求</w:t>
      </w:r>
    </w:p>
    <w:p>
      <w:pPr>
        <w:pStyle w:val="null3"/>
        <w:ind w:firstLine="480"/>
      </w:pPr>
      <w:r>
        <w:rPr>
          <w:rFonts w:ascii="仿宋_GB2312" w:hAnsi="仿宋_GB2312" w:cs="仿宋_GB2312" w:eastAsia="仿宋_GB2312"/>
        </w:rPr>
        <w:t xml:space="preserve"> 采购人、代理机构应保证评标活动在严格保密的情况下进行，采购人、代理机构、投标人和评标委员会成员应当严格遵守政府采购法律法规规章制度和本项目招标文件以及代理机构现场管理规定，接受采购人委派的监督人员的监督，任何单位和个人不得非法干预和影响评标过程和结果。</w:t>
      </w:r>
    </w:p>
    <w:p>
      <w:pPr>
        <w:pStyle w:val="null3"/>
        <w:ind w:firstLine="480"/>
      </w:pPr>
      <w:r>
        <w:rPr>
          <w:rFonts w:ascii="仿宋_GB2312" w:hAnsi="仿宋_GB2312" w:cs="仿宋_GB2312" w:eastAsia="仿宋_GB2312"/>
        </w:rPr>
        <w:t>对各投标人的商业秘密，评标委员会成员应予以保密，不得泄露给其他投标人。</w:t>
      </w:r>
    </w:p>
    <w:p>
      <w:pPr>
        <w:pStyle w:val="null3"/>
        <w:outlineLvl w:val="3"/>
      </w:pPr>
      <w:r>
        <w:rPr>
          <w:rFonts w:ascii="仿宋_GB2312" w:hAnsi="仿宋_GB2312" w:cs="仿宋_GB2312" w:eastAsia="仿宋_GB2312"/>
          <w:sz w:val="24"/>
          <w:b/>
        </w:rPr>
        <w:t>2.7.2投标人不得具有的情形（实质性要求）</w:t>
      </w:r>
    </w:p>
    <w:p>
      <w:pPr>
        <w:pStyle w:val="null3"/>
        <w:ind w:firstLine="480"/>
      </w:pPr>
      <w:r>
        <w:rPr>
          <w:rFonts w:ascii="仿宋_GB2312" w:hAnsi="仿宋_GB2312" w:cs="仿宋_GB2312" w:eastAsia="仿宋_GB2312"/>
        </w:rPr>
        <w:t>投标人参加投标不得有下列情形：</w:t>
      </w:r>
    </w:p>
    <w:p>
      <w:pPr>
        <w:pStyle w:val="null3"/>
        <w:ind w:firstLine="480"/>
      </w:pPr>
      <w:r>
        <w:rPr>
          <w:rFonts w:ascii="仿宋_GB2312" w:hAnsi="仿宋_GB2312" w:cs="仿宋_GB2312" w:eastAsia="仿宋_GB2312"/>
        </w:rPr>
        <w:t>一、有下列情形之一的，视为投标人串通投标：</w:t>
      </w:r>
    </w:p>
    <w:p>
      <w:pPr>
        <w:pStyle w:val="null3"/>
        <w:ind w:firstLine="480"/>
      </w:pPr>
      <w:r>
        <w:rPr>
          <w:rFonts w:ascii="仿宋_GB2312" w:hAnsi="仿宋_GB2312" w:cs="仿宋_GB2312" w:eastAsia="仿宋_GB2312"/>
        </w:rPr>
        <w:t>（一）不同投标人的投标文件由同一单位或者个人编制；</w:t>
      </w:r>
    </w:p>
    <w:p>
      <w:pPr>
        <w:pStyle w:val="null3"/>
        <w:ind w:firstLine="480"/>
      </w:pPr>
      <w:r>
        <w:rPr>
          <w:rFonts w:ascii="仿宋_GB2312" w:hAnsi="仿宋_GB2312" w:cs="仿宋_GB2312" w:eastAsia="仿宋_GB2312"/>
        </w:rPr>
        <w:t>（二）不同投标人委托同一单位或者个人办理投标事宜；</w:t>
      </w:r>
    </w:p>
    <w:p>
      <w:pPr>
        <w:pStyle w:val="null3"/>
        <w:ind w:firstLine="480"/>
      </w:pPr>
      <w:r>
        <w:rPr>
          <w:rFonts w:ascii="仿宋_GB2312" w:hAnsi="仿宋_GB2312" w:cs="仿宋_GB2312" w:eastAsia="仿宋_GB2312"/>
        </w:rPr>
        <w:t>（三）不同投标人的投标文件载明的项目管理成员或者联系人员为同一人；</w:t>
      </w:r>
    </w:p>
    <w:p>
      <w:pPr>
        <w:pStyle w:val="null3"/>
        <w:ind w:firstLine="480"/>
      </w:pPr>
      <w:r>
        <w:rPr>
          <w:rFonts w:ascii="仿宋_GB2312" w:hAnsi="仿宋_GB2312" w:cs="仿宋_GB2312" w:eastAsia="仿宋_GB2312"/>
        </w:rPr>
        <w:t>（四）不同投标人的投标文件异常一致或者投标报价呈规律性差异；</w:t>
      </w:r>
    </w:p>
    <w:p>
      <w:pPr>
        <w:pStyle w:val="null3"/>
        <w:ind w:firstLine="480"/>
      </w:pPr>
      <w:r>
        <w:rPr>
          <w:rFonts w:ascii="仿宋_GB2312" w:hAnsi="仿宋_GB2312" w:cs="仿宋_GB2312" w:eastAsia="仿宋_GB2312"/>
        </w:rPr>
        <w:t>（五）不同投标人的投标文件相互混装；</w:t>
      </w:r>
    </w:p>
    <w:p>
      <w:pPr>
        <w:pStyle w:val="null3"/>
        <w:ind w:firstLine="480"/>
      </w:pPr>
      <w:r>
        <w:rPr>
          <w:rFonts w:ascii="仿宋_GB2312" w:hAnsi="仿宋_GB2312" w:cs="仿宋_GB2312" w:eastAsia="仿宋_GB2312"/>
        </w:rPr>
        <w:t>二、提供虚假材料谋取中标；</w:t>
      </w:r>
    </w:p>
    <w:p>
      <w:pPr>
        <w:pStyle w:val="null3"/>
        <w:ind w:firstLine="480"/>
      </w:pPr>
      <w:r>
        <w:rPr>
          <w:rFonts w:ascii="仿宋_GB2312" w:hAnsi="仿宋_GB2312" w:cs="仿宋_GB2312" w:eastAsia="仿宋_GB2312"/>
        </w:rPr>
        <w:t>三、采取不正当手段诋毁、排挤其他投标人；</w:t>
      </w:r>
    </w:p>
    <w:p>
      <w:pPr>
        <w:pStyle w:val="null3"/>
        <w:ind w:firstLine="480"/>
      </w:pPr>
      <w:r>
        <w:rPr>
          <w:rFonts w:ascii="仿宋_GB2312" w:hAnsi="仿宋_GB2312" w:cs="仿宋_GB2312" w:eastAsia="仿宋_GB2312"/>
        </w:rPr>
        <w:t>四、与采购人或代理机构、其他投标人恶意串通；</w:t>
      </w:r>
    </w:p>
    <w:p>
      <w:pPr>
        <w:pStyle w:val="null3"/>
        <w:ind w:firstLine="480"/>
      </w:pPr>
      <w:r>
        <w:rPr>
          <w:rFonts w:ascii="仿宋_GB2312" w:hAnsi="仿宋_GB2312" w:cs="仿宋_GB2312" w:eastAsia="仿宋_GB2312"/>
        </w:rPr>
        <w:t>五、向采购人或代理机构、评标委员会成员行贿或者提供其他不正当利益；</w:t>
      </w:r>
    </w:p>
    <w:p>
      <w:pPr>
        <w:pStyle w:val="null3"/>
        <w:ind w:firstLine="480"/>
      </w:pPr>
      <w:r>
        <w:rPr>
          <w:rFonts w:ascii="仿宋_GB2312" w:hAnsi="仿宋_GB2312" w:cs="仿宋_GB2312" w:eastAsia="仿宋_GB2312"/>
        </w:rPr>
        <w:t>六、在招标过程中与采购人或代理机构进行协商谈判；</w:t>
      </w:r>
    </w:p>
    <w:p>
      <w:pPr>
        <w:pStyle w:val="null3"/>
        <w:ind w:firstLine="480"/>
      </w:pPr>
      <w:r>
        <w:rPr>
          <w:rFonts w:ascii="仿宋_GB2312" w:hAnsi="仿宋_GB2312" w:cs="仿宋_GB2312" w:eastAsia="仿宋_GB2312"/>
        </w:rPr>
        <w:t>七、中标后无正当理由拒不与采购人签订政府采购合同；</w:t>
      </w:r>
    </w:p>
    <w:p>
      <w:pPr>
        <w:pStyle w:val="null3"/>
        <w:ind w:firstLine="480"/>
      </w:pPr>
      <w:r>
        <w:rPr>
          <w:rFonts w:ascii="仿宋_GB2312" w:hAnsi="仿宋_GB2312" w:cs="仿宋_GB2312" w:eastAsia="仿宋_GB2312"/>
        </w:rPr>
        <w:t>八、未按照招标文件确定的事项签订政府采购合同；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投标人有上述情形的，按照规定追究法律责任，具有前述一至十三条情形之一的，其投标文件无效，或取消被确认为中标供应商的资格或认定中标无效。</w:t>
      </w:r>
    </w:p>
    <w:p>
      <w:pPr>
        <w:pStyle w:val="null3"/>
        <w:outlineLvl w:val="3"/>
      </w:pPr>
      <w:r>
        <w:rPr>
          <w:rFonts w:ascii="仿宋_GB2312" w:hAnsi="仿宋_GB2312" w:cs="仿宋_GB2312" w:eastAsia="仿宋_GB2312"/>
          <w:sz w:val="24"/>
          <w:b/>
        </w:rPr>
        <w:t>2.7.3采购人员及相关人员回避要求</w:t>
      </w:r>
    </w:p>
    <w:p>
      <w:pPr>
        <w:pStyle w:val="null3"/>
        <w:ind w:firstLine="480"/>
      </w:pPr>
      <w:r>
        <w:rPr>
          <w:rFonts w:ascii="仿宋_GB2312" w:hAnsi="仿宋_GB2312" w:cs="仿宋_GB2312" w:eastAsia="仿宋_GB2312"/>
        </w:rPr>
        <w:t>政府采购活动中，采购人员及相关人员与投标人有下列利害关系之一的，应当回避：</w:t>
      </w:r>
    </w:p>
    <w:p>
      <w:pPr>
        <w:pStyle w:val="null3"/>
        <w:ind w:firstLine="480"/>
      </w:pPr>
      <w:r>
        <w:rPr>
          <w:rFonts w:ascii="仿宋_GB2312" w:hAnsi="仿宋_GB2312" w:cs="仿宋_GB2312" w:eastAsia="仿宋_GB2312"/>
        </w:rPr>
        <w:t>（1）参加采购活动前3年内与投标人存在劳动关系；</w:t>
      </w:r>
    </w:p>
    <w:p>
      <w:pPr>
        <w:pStyle w:val="null3"/>
        <w:ind w:firstLine="480"/>
      </w:pPr>
      <w:r>
        <w:rPr>
          <w:rFonts w:ascii="仿宋_GB2312" w:hAnsi="仿宋_GB2312" w:cs="仿宋_GB2312" w:eastAsia="仿宋_GB2312"/>
        </w:rPr>
        <w:t>（2）参加采购活动前3年内担任投标人的董事、监事；</w:t>
      </w:r>
    </w:p>
    <w:p>
      <w:pPr>
        <w:pStyle w:val="null3"/>
        <w:ind w:firstLine="480"/>
      </w:pPr>
      <w:r>
        <w:rPr>
          <w:rFonts w:ascii="仿宋_GB2312" w:hAnsi="仿宋_GB2312" w:cs="仿宋_GB2312" w:eastAsia="仿宋_GB2312"/>
        </w:rPr>
        <w:t>（3）参加采购活动前3年内是投标人的控股股东或者实际控制人；</w:t>
      </w:r>
    </w:p>
    <w:p>
      <w:pPr>
        <w:pStyle w:val="null3"/>
        <w:ind w:firstLine="480"/>
      </w:pPr>
      <w:r>
        <w:rPr>
          <w:rFonts w:ascii="仿宋_GB2312" w:hAnsi="仿宋_GB2312" w:cs="仿宋_GB2312" w:eastAsia="仿宋_GB2312"/>
        </w:rPr>
        <w:t>（4）与投标人的法定代表人或者负责人有夫妻、直系血亲、三代以内旁系血亲或者近姻亲关系；</w:t>
      </w:r>
    </w:p>
    <w:p>
      <w:pPr>
        <w:pStyle w:val="null3"/>
        <w:ind w:firstLine="480"/>
      </w:pPr>
      <w:r>
        <w:rPr>
          <w:rFonts w:ascii="仿宋_GB2312" w:hAnsi="仿宋_GB2312" w:cs="仿宋_GB2312" w:eastAsia="仿宋_GB2312"/>
        </w:rPr>
        <w:t>（5）与投标人有其他可能影响政府采购活动公平、公正进行的关系。</w:t>
      </w:r>
    </w:p>
    <w:p>
      <w:pPr>
        <w:pStyle w:val="null3"/>
        <w:ind w:firstLine="480"/>
      </w:pPr>
      <w:r>
        <w:rPr>
          <w:rFonts w:ascii="仿宋_GB2312" w:hAnsi="仿宋_GB2312" w:cs="仿宋_GB2312" w:eastAsia="仿宋_GB2312"/>
        </w:rPr>
        <w:t xml:space="preserve"> 投标人认为采购人员及相关人员与其他投标人有利害关系的，可以向代理机构书面提出回避申请，并说明理由。代理机构将及时询问被申请回避人员，有利害关系的被申请回避人员应当回避。</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根据委托代理协议约定，供应商对招标文件中采购需求的询问、质疑由 </w:t>
      </w:r>
      <w:r>
        <w:rPr>
          <w:rFonts w:ascii="仿宋_GB2312" w:hAnsi="仿宋_GB2312" w:cs="仿宋_GB2312" w:eastAsia="仿宋_GB2312"/>
        </w:rPr>
        <w:t>信宏工程咨询有限公司</w:t>
      </w:r>
      <w:r>
        <w:rPr>
          <w:rFonts w:ascii="仿宋_GB2312" w:hAnsi="仿宋_GB2312" w:cs="仿宋_GB2312" w:eastAsia="仿宋_GB2312"/>
        </w:rPr>
        <w:t xml:space="preserve"> 负责答复；供应商对除采购需求外的采购文件的询问、质疑由</w:t>
      </w:r>
      <w:r>
        <w:rPr>
          <w:rFonts w:ascii="仿宋_GB2312" w:hAnsi="仿宋_GB2312" w:cs="仿宋_GB2312" w:eastAsia="仿宋_GB2312"/>
        </w:rPr>
        <w:t>信宏工程咨询有限公司</w:t>
      </w:r>
      <w:r>
        <w:rPr>
          <w:rFonts w:ascii="仿宋_GB2312" w:hAnsi="仿宋_GB2312" w:cs="仿宋_GB2312" w:eastAsia="仿宋_GB2312"/>
        </w:rPr>
        <w:t xml:space="preserve"> 负责答复；供应商对采购过程、采购结果的询问、质疑由 </w:t>
      </w:r>
      <w:r>
        <w:rPr>
          <w:rFonts w:ascii="仿宋_GB2312" w:hAnsi="仿宋_GB2312" w:cs="仿宋_GB2312" w:eastAsia="仿宋_GB2312"/>
        </w:rPr>
        <w:t>信宏工程咨询有限公司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为提高采购效率，降低社会成本，鼓励询问主体对于不损害国家及社会利益或自身合法权益的问题或情形采用询问方式处理解决（包含但不限于文字错误、标点符号、不影响投标文件的编制的情形）。</w:t>
      </w:r>
    </w:p>
    <w:p>
      <w:pPr>
        <w:pStyle w:val="null3"/>
        <w:ind w:firstLine="480"/>
      </w:pPr>
      <w:r>
        <w:rPr>
          <w:rFonts w:ascii="仿宋_GB2312" w:hAnsi="仿宋_GB2312" w:cs="仿宋_GB2312" w:eastAsia="仿宋_GB2312"/>
        </w:rPr>
        <w:t xml:space="preserve"> 四、供应商认为采购文件、采购过程、中标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 （一）对可以质疑的采购文件提出质疑的，为收到采购文件之日或者采购文件公告期限届满之日； （二）对采购过程提出质疑的，为各采购程序环节结束之日； （三）对中标或者成交结果提出质疑的，为中标或者成交结果公告期限届满之日。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（一）质疑函正本1份；（政府采购供应商质疑函范本详见附件一）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（五）针对质疑事项必要的证明材料（针对招标文件提出的质疑，需提交从项目电子化交易系统获取的招标文件回执单）。</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联系人：田丰原</w:t>
      </w:r>
    </w:p>
    <w:p>
      <w:pPr>
        <w:pStyle w:val="null3"/>
      </w:pPr>
      <w:r>
        <w:rPr>
          <w:rFonts w:ascii="仿宋_GB2312" w:hAnsi="仿宋_GB2312" w:cs="仿宋_GB2312" w:eastAsia="仿宋_GB2312"/>
        </w:rPr>
        <w:t>联系电话：029-88185520</w:t>
      </w:r>
    </w:p>
    <w:p>
      <w:pPr>
        <w:pStyle w:val="null3"/>
      </w:pPr>
      <w:r>
        <w:rPr>
          <w:rFonts w:ascii="仿宋_GB2312" w:hAnsi="仿宋_GB2312" w:cs="仿宋_GB2312" w:eastAsia="仿宋_GB2312"/>
        </w:rPr>
        <w:t>地址：陕西省西安市雁塔区西安曲江新区雁塔南路金辉环球中心C座514室</w:t>
      </w:r>
    </w:p>
    <w:p>
      <w:pPr>
        <w:pStyle w:val="null3"/>
      </w:pPr>
      <w:r>
        <w:rPr>
          <w:rFonts w:ascii="仿宋_GB2312" w:hAnsi="仿宋_GB2312" w:cs="仿宋_GB2312" w:eastAsia="仿宋_GB2312"/>
        </w:rPr>
        <w:t>邮编：710061</w:t>
      </w:r>
    </w:p>
    <w:p>
      <w:pPr>
        <w:pStyle w:val="null3"/>
        <w:ind w:firstLine="480"/>
      </w:pPr>
      <w:r>
        <w:rPr>
          <w:rFonts w:ascii="仿宋_GB2312" w:hAnsi="仿宋_GB2312" w:cs="仿宋_GB2312" w:eastAsia="仿宋_GB2312"/>
        </w:rPr>
        <w:t>注：根据《中华人民共和国政府采购法》的规定，供应商质疑不得超出招标文件、采购过程、采购结果的范围。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招标项目技术、服务、商务及其他要求</w:t>
      </w:r>
    </w:p>
    <w:p>
      <w:pPr>
        <w:pStyle w:val="null3"/>
        <w:ind w:firstLine="480"/>
      </w:pPr>
      <w:r>
        <w:rPr>
          <w:rFonts w:ascii="仿宋_GB2312" w:hAnsi="仿宋_GB2312" w:cs="仿宋_GB2312" w:eastAsia="仿宋_GB2312"/>
        </w:rPr>
        <w:t xml:space="preserve"> （注：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outlineLvl w:val="2"/>
      </w:pPr>
      <w:r>
        <w:rPr>
          <w:rFonts w:ascii="仿宋_GB2312" w:hAnsi="仿宋_GB2312" w:cs="仿宋_GB2312" w:eastAsia="仿宋_GB2312"/>
          <w:sz w:val="28"/>
          <w:b/>
        </w:rPr>
        <w:t>3.1采购项目概况</w:t>
      </w:r>
    </w:p>
    <w:p>
      <w:pPr>
        <w:pStyle w:val="null3"/>
        <w:ind w:firstLine="480"/>
      </w:pPr>
      <w:r>
        <w:rPr>
          <w:rFonts w:ascii="仿宋_GB2312" w:hAnsi="仿宋_GB2312" w:cs="仿宋_GB2312" w:eastAsia="仿宋_GB2312"/>
        </w:rPr>
        <w:t>在调查及收集相关资料的基础上，按照《陕西省地下水超采区治理方案》（陕水发〔2016〕39号）明确的治理目标和措施，结合第三次全国水资源调查评价、地下水管控指标确定等相关成果，复核 2016～2020年超采区治理任务完成情况，在2016～2020年超采区治理的基础上，对2021年以来超采区治理效果进行评估；分析超采区地下水开发利用情况，明确地下水超采状况，确定地下水超采治理目标，提出地下水超采治理措施，明确保障措施，健全地下水管理措施，为我省地下水资源可持续利用提供技术支撑，完成陕西省2016-2023年地下水超采治理评估报告及相关附表附图、陕西省地下水超采综合治理方案报告及相关附表附图。</w:t>
      </w:r>
    </w:p>
    <w:p>
      <w:pPr>
        <w:pStyle w:val="null3"/>
        <w:outlineLvl w:val="2"/>
      </w:pPr>
      <w:r>
        <w:rPr>
          <w:rFonts w:ascii="仿宋_GB2312" w:hAnsi="仿宋_GB2312" w:cs="仿宋_GB2312" w:eastAsia="仿宋_GB2312"/>
          <w:sz w:val="28"/>
          <w:b/>
        </w:rPr>
        <w:t>3.2服务内容及服务要求</w:t>
      </w:r>
    </w:p>
    <w:p>
      <w:pPr>
        <w:pStyle w:val="null3"/>
        <w:outlineLvl w:val="3"/>
      </w:pPr>
      <w:r>
        <w:rPr>
          <w:rFonts w:ascii="仿宋_GB2312" w:hAnsi="仿宋_GB2312" w:cs="仿宋_GB2312" w:eastAsia="仿宋_GB2312"/>
          <w:sz w:val="24"/>
          <w:b/>
        </w:rPr>
        <w:t>3.2.1服务内容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2,250,000.00</w:t>
      </w:r>
    </w:p>
    <w:p>
      <w:pPr>
        <w:pStyle w:val="null3"/>
      </w:pPr>
      <w:r>
        <w:rPr>
          <w:rFonts w:ascii="仿宋_GB2312" w:hAnsi="仿宋_GB2312" w:cs="仿宋_GB2312" w:eastAsia="仿宋_GB2312"/>
        </w:rPr>
        <w:t>采购包最高限价（元）: 2,250,000.00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陕西省地下水超采综合治理方案</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2,250,000.00</w:t>
            </w:r>
          </w:p>
        </w:tc>
        <w:tc>
          <w:tcPr>
            <w:tcW w:type="dxa" w:w="831"/>
          </w:tcPr>
          <w:p>
            <w:pPr>
              <w:pStyle w:val="null3"/>
            </w:pPr>
            <w:r>
              <w:rPr>
                <w:rFonts w:ascii="仿宋_GB2312" w:hAnsi="仿宋_GB2312" w:cs="仿宋_GB2312" w:eastAsia="仿宋_GB2312"/>
              </w:rPr>
              <w:t>项</w:t>
            </w:r>
          </w:p>
        </w:tc>
        <w:tc>
          <w:tcPr>
            <w:tcW w:type="dxa" w:w="831"/>
          </w:tcPr>
          <w:p>
            <w:pPr>
              <w:pStyle w:val="null3"/>
            </w:pPr>
            <w:r>
              <w:rPr>
                <w:rFonts w:ascii="仿宋_GB2312" w:hAnsi="仿宋_GB2312" w:cs="仿宋_GB2312" w:eastAsia="仿宋_GB2312"/>
              </w:rPr>
              <w:t>其他未列明行业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outlineLvl w:val="3"/>
      </w:pPr>
      <w:r>
        <w:rPr>
          <w:rFonts w:ascii="仿宋_GB2312" w:hAnsi="仿宋_GB2312" w:cs="仿宋_GB2312" w:eastAsia="仿宋_GB2312"/>
          <w:sz w:val="24"/>
          <w:b/>
        </w:rPr>
        <w:t>3.2.2服务要求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标的名称：陕西省地下水超采综合治理方案</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spacing w:before="150"/>
              <w:ind w:firstLine="420"/>
            </w:pPr>
            <w:r>
              <w:rPr>
                <w:rFonts w:ascii="仿宋_GB2312" w:hAnsi="仿宋_GB2312" w:cs="仿宋_GB2312" w:eastAsia="仿宋_GB2312"/>
                <w:sz w:val="21"/>
                <w:color w:val="000000"/>
              </w:rPr>
              <w:t>一、项目任务计划</w:t>
            </w:r>
          </w:p>
          <w:p>
            <w:pPr>
              <w:pStyle w:val="null3"/>
              <w:ind w:firstLine="422"/>
            </w:pPr>
            <w:r>
              <w:rPr>
                <w:rFonts w:ascii="仿宋_GB2312" w:hAnsi="仿宋_GB2312" w:cs="仿宋_GB2312" w:eastAsia="仿宋_GB2312"/>
                <w:sz w:val="21"/>
                <w:b/>
                <w:color w:val="000000"/>
              </w:rPr>
              <w:t>（</w:t>
            </w:r>
            <w:r>
              <w:rPr>
                <w:rFonts w:ascii="仿宋_GB2312" w:hAnsi="仿宋_GB2312" w:cs="仿宋_GB2312" w:eastAsia="仿宋_GB2312"/>
                <w:sz w:val="21"/>
                <w:b/>
                <w:color w:val="000000"/>
              </w:rPr>
              <w:t>一</w:t>
            </w:r>
            <w:r>
              <w:rPr>
                <w:rFonts w:ascii="仿宋_GB2312" w:hAnsi="仿宋_GB2312" w:cs="仿宋_GB2312" w:eastAsia="仿宋_GB2312"/>
                <w:sz w:val="21"/>
                <w:b/>
                <w:color w:val="000000"/>
              </w:rPr>
              <w:t>）项目年度绩效目标</w:t>
            </w:r>
          </w:p>
          <w:p>
            <w:pPr>
              <w:pStyle w:val="null3"/>
              <w:ind w:firstLine="420"/>
            </w:pPr>
            <w:r>
              <w:rPr>
                <w:rFonts w:ascii="仿宋_GB2312" w:hAnsi="仿宋_GB2312" w:cs="仿宋_GB2312" w:eastAsia="仿宋_GB2312"/>
                <w:sz w:val="21"/>
                <w:color w:val="000000"/>
              </w:rPr>
              <w:t>（</w:t>
            </w:r>
            <w:r>
              <w:rPr>
                <w:rFonts w:ascii="仿宋_GB2312" w:hAnsi="仿宋_GB2312" w:cs="仿宋_GB2312" w:eastAsia="仿宋_GB2312"/>
                <w:sz w:val="21"/>
                <w:color w:val="000000"/>
              </w:rPr>
              <w:t>1）评估2016</w:t>
            </w:r>
            <w:r>
              <w:rPr>
                <w:rFonts w:ascii="仿宋_GB2312" w:hAnsi="仿宋_GB2312" w:cs="仿宋_GB2312" w:eastAsia="仿宋_GB2312"/>
                <w:sz w:val="21"/>
                <w:color w:val="000000"/>
              </w:rPr>
              <w:t>～</w:t>
            </w:r>
            <w:r>
              <w:rPr>
                <w:rFonts w:ascii="仿宋_GB2312" w:hAnsi="仿宋_GB2312" w:cs="仿宋_GB2312" w:eastAsia="仿宋_GB2312"/>
                <w:sz w:val="21"/>
                <w:color w:val="000000"/>
              </w:rPr>
              <w:t>2023年</w:t>
            </w:r>
            <w:r>
              <w:rPr>
                <w:rFonts w:ascii="仿宋_GB2312" w:hAnsi="仿宋_GB2312" w:cs="仿宋_GB2312" w:eastAsia="仿宋_GB2312"/>
                <w:sz w:val="21"/>
                <w:color w:val="000000"/>
              </w:rPr>
              <w:t>地下水超采区治理目标、任务和措施完成情况，分析存在的问题与体制机制障碍，总结地下水超采区治理成效和经验，提出下一步超采区综合治理措施路径，推动地下水保护管理高质量发展取得新成效。</w:t>
            </w:r>
          </w:p>
          <w:p>
            <w:pPr>
              <w:pStyle w:val="null3"/>
              <w:ind w:firstLine="420"/>
            </w:pPr>
            <w:r>
              <w:rPr>
                <w:rFonts w:ascii="仿宋_GB2312" w:hAnsi="仿宋_GB2312" w:cs="仿宋_GB2312" w:eastAsia="仿宋_GB2312"/>
                <w:sz w:val="21"/>
                <w:color w:val="000000"/>
              </w:rPr>
              <w:t>（</w:t>
            </w:r>
            <w:r>
              <w:rPr>
                <w:rFonts w:ascii="仿宋_GB2312" w:hAnsi="仿宋_GB2312" w:cs="仿宋_GB2312" w:eastAsia="仿宋_GB2312"/>
                <w:sz w:val="21"/>
                <w:color w:val="000000"/>
              </w:rPr>
              <w:t>2）分析地下水利用情况，明确地下水超采状况，确定地下水超采治理目标，包括实现地下水采补平衡、恢复地下水合理水位；提出地下水超采治理措施，包括加大海绵城市建设力度、调整种植结构、推广节水农业、加强工业节水、实施河湖地下水回补；明确保障措施，包括替代水源供给、公共供水管网建设、产业结构调整，健全地下水保障措施，为我省地下水资源可持续利用提供技术支撑。</w:t>
            </w:r>
          </w:p>
          <w:p>
            <w:pPr>
              <w:pStyle w:val="null3"/>
              <w:ind w:firstLine="422"/>
            </w:pPr>
            <w:r>
              <w:rPr>
                <w:rFonts w:ascii="仿宋_GB2312" w:hAnsi="仿宋_GB2312" w:cs="仿宋_GB2312" w:eastAsia="仿宋_GB2312"/>
                <w:sz w:val="21"/>
                <w:b/>
                <w:color w:val="000000"/>
              </w:rPr>
              <w:t>（</w:t>
            </w:r>
            <w:r>
              <w:rPr>
                <w:rFonts w:ascii="仿宋_GB2312" w:hAnsi="仿宋_GB2312" w:cs="仿宋_GB2312" w:eastAsia="仿宋_GB2312"/>
                <w:sz w:val="21"/>
                <w:b/>
                <w:color w:val="000000"/>
              </w:rPr>
              <w:t>二</w:t>
            </w:r>
            <w:r>
              <w:rPr>
                <w:rFonts w:ascii="仿宋_GB2312" w:hAnsi="仿宋_GB2312" w:cs="仿宋_GB2312" w:eastAsia="仿宋_GB2312"/>
                <w:sz w:val="21"/>
                <w:b/>
                <w:color w:val="000000"/>
              </w:rPr>
              <w:t>）实施地点</w:t>
            </w:r>
          </w:p>
          <w:p>
            <w:pPr>
              <w:pStyle w:val="null3"/>
              <w:ind w:firstLine="420"/>
            </w:pPr>
            <w:r>
              <w:rPr>
                <w:rFonts w:ascii="仿宋_GB2312" w:hAnsi="仿宋_GB2312" w:cs="仿宋_GB2312" w:eastAsia="仿宋_GB2312"/>
                <w:sz w:val="21"/>
                <w:color w:val="000000"/>
              </w:rPr>
              <w:t>（</w:t>
            </w:r>
            <w:r>
              <w:rPr>
                <w:rFonts w:ascii="仿宋_GB2312" w:hAnsi="仿宋_GB2312" w:cs="仿宋_GB2312" w:eastAsia="仿宋_GB2312"/>
                <w:sz w:val="21"/>
                <w:color w:val="000000"/>
              </w:rPr>
              <w:t>1）超采治理评估：实施地点为《陕西省地下水超采区治理方案》（陕水发〔2016〕39号）确定的15处地下水超采区治理范围，超采区面积1427.4km</w:t>
            </w:r>
            <w:r>
              <w:rPr>
                <w:rFonts w:ascii="仿宋_GB2312" w:hAnsi="仿宋_GB2312" w:cs="仿宋_GB2312" w:eastAsia="仿宋_GB2312"/>
                <w:sz w:val="21"/>
                <w:color w:val="000000"/>
                <w:vertAlign w:val="superscript"/>
              </w:rPr>
              <w:t>2</w:t>
            </w:r>
            <w:r>
              <w:rPr>
                <w:rFonts w:ascii="仿宋_GB2312" w:hAnsi="仿宋_GB2312" w:cs="仿宋_GB2312" w:eastAsia="仿宋_GB2312"/>
                <w:sz w:val="21"/>
                <w:color w:val="000000"/>
              </w:rPr>
              <w:t>。治理范围涉及西安市辖区内的莲湖区、新城区、碑林区、雁塔区、未央区、灞桥区、高陵区；宝鸡市辖区内陈仓区、凤翔区、岐山县、扶风县；咸阳市辖区内秦都区、渭城区、兴平市、泾阳县；渭南市辖区内临渭区、富平县、蒲城县；榆林市辖区内靖边县。评估范围涉及的行政区见表</w:t>
            </w:r>
            <w:r>
              <w:rPr>
                <w:rFonts w:ascii="仿宋_GB2312" w:hAnsi="仿宋_GB2312" w:cs="仿宋_GB2312" w:eastAsia="仿宋_GB2312"/>
                <w:sz w:val="21"/>
                <w:color w:val="000000"/>
              </w:rPr>
              <w:t>1。陕西省地下水超采区评估范围图见图1。</w:t>
            </w:r>
          </w:p>
          <w:p>
            <w:pPr>
              <w:pStyle w:val="null3"/>
              <w:ind w:firstLine="420"/>
            </w:pPr>
            <w:r>
              <w:rPr>
                <w:rFonts w:ascii="仿宋_GB2312" w:hAnsi="仿宋_GB2312" w:cs="仿宋_GB2312" w:eastAsia="仿宋_GB2312"/>
                <w:sz w:val="21"/>
                <w:color w:val="000000"/>
              </w:rPr>
              <w:t>（</w:t>
            </w:r>
            <w:r>
              <w:rPr>
                <w:rFonts w:ascii="仿宋_GB2312" w:hAnsi="仿宋_GB2312" w:cs="仿宋_GB2312" w:eastAsia="仿宋_GB2312"/>
                <w:sz w:val="21"/>
                <w:color w:val="000000"/>
              </w:rPr>
              <w:t>2）超采综合治理：实施地点为陕西省2024年划定的新一轮地下水超采区，涉及西安市、宝鸡市、咸阳市、榆林市12个区县，即灞桥区、未央区、西咸新区、高陵区、凤翔区、岐山县、扶风县、秦都区、渭城区、兴平市、靖边县、定边县，超采区总面积907.9km</w:t>
            </w:r>
            <w:r>
              <w:rPr>
                <w:rFonts w:ascii="仿宋_GB2312" w:hAnsi="仿宋_GB2312" w:cs="仿宋_GB2312" w:eastAsia="仿宋_GB2312"/>
                <w:sz w:val="21"/>
                <w:color w:val="000000"/>
                <w:vertAlign w:val="superscript"/>
              </w:rPr>
              <w:t>2</w:t>
            </w:r>
            <w:r>
              <w:rPr>
                <w:rFonts w:ascii="仿宋_GB2312" w:hAnsi="仿宋_GB2312" w:cs="仿宋_GB2312" w:eastAsia="仿宋_GB2312"/>
                <w:sz w:val="21"/>
                <w:color w:val="000000"/>
              </w:rPr>
              <w:t>。陕西省地下水超采区划定成果以最终正式颁布为准。陕西省新一轮地下水超采区分布图见图</w:t>
            </w:r>
            <w:r>
              <w:rPr>
                <w:rFonts w:ascii="仿宋_GB2312" w:hAnsi="仿宋_GB2312" w:cs="仿宋_GB2312" w:eastAsia="仿宋_GB2312"/>
                <w:sz w:val="21"/>
                <w:color w:val="000000"/>
              </w:rPr>
              <w:t>2。</w:t>
            </w:r>
          </w:p>
          <w:p>
            <w:pPr>
              <w:pStyle w:val="null3"/>
            </w:pPr>
            <w:r>
              <w:rPr>
                <w:rFonts w:ascii="仿宋_GB2312" w:hAnsi="仿宋_GB2312" w:cs="仿宋_GB2312" w:eastAsia="仿宋_GB2312"/>
                <w:sz w:val="21"/>
                <w:color w:val="000000"/>
              </w:rPr>
              <w:t>表1  地下水超采治理评估涉及行政区名录</w:t>
            </w:r>
          </w:p>
          <w:p>
            <w:pPr>
              <w:pStyle w:val="null3"/>
            </w:pPr>
            <w:r>
              <w:drawing>
                <wp:inline distT="0" distR="0" distB="0" distL="0">
                  <wp:extent cx="1621155" cy="1823799"/>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621155" cy="1823799"/>
                          </a:xfrm>
                          <a:prstGeom prst="rect">
                            <a:avLst/>
                          </a:prstGeom>
                        </pic:spPr>
                      </pic:pic>
                    </a:graphicData>
                  </a:graphic>
                </wp:inline>
              </w:drawing>
            </w:r>
          </w:p>
          <w:p>
            <w:pPr>
              <w:pStyle w:val="null3"/>
              <w:ind w:firstLine="422"/>
            </w:pPr>
            <w:r>
              <w:rPr>
                <w:rFonts w:ascii="仿宋_GB2312" w:hAnsi="仿宋_GB2312" w:cs="仿宋_GB2312" w:eastAsia="仿宋_GB2312"/>
              </w:rPr>
              <w:t xml:space="preserve"> </w:t>
            </w:r>
          </w:p>
          <w:p>
            <w:pPr>
              <w:pStyle w:val="null3"/>
              <w:ind w:firstLine="422"/>
            </w:pPr>
            <w:r>
              <w:drawing>
                <wp:inline distT="0" distR="0" distB="0" distL="0">
                  <wp:extent cx="1621155" cy="877760"/>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1621155" cy="877760"/>
                          </a:xfrm>
                          <a:prstGeom prst="rect">
                            <a:avLst/>
                          </a:prstGeom>
                        </pic:spPr>
                      </pic:pic>
                    </a:graphicData>
                  </a:graphic>
                </wp:inline>
              </w:drawing>
            </w:r>
          </w:p>
          <w:p>
            <w:pPr>
              <w:pStyle w:val="null3"/>
              <w:ind w:firstLine="422"/>
            </w:pPr>
            <w:r>
              <w:rPr>
                <w:rFonts w:ascii="仿宋_GB2312" w:hAnsi="仿宋_GB2312" w:cs="仿宋_GB2312" w:eastAsia="仿宋_GB2312"/>
                <w:sz w:val="21"/>
                <w:color w:val="000000"/>
              </w:rPr>
              <w:t xml:space="preserve">                                      图1 陕西省地下水超采区评估范围图</w:t>
            </w:r>
          </w:p>
          <w:p>
            <w:pPr>
              <w:pStyle w:val="null3"/>
              <w:ind w:firstLine="422"/>
            </w:pPr>
            <w:r>
              <w:rPr>
                <w:rFonts w:ascii="仿宋_GB2312" w:hAnsi="仿宋_GB2312" w:cs="仿宋_GB2312" w:eastAsia="仿宋_GB2312"/>
              </w:rPr>
              <w:t xml:space="preserve"> </w:t>
            </w:r>
          </w:p>
          <w:p>
            <w:pPr>
              <w:pStyle w:val="null3"/>
              <w:ind w:firstLine="422"/>
            </w:pPr>
            <w:r>
              <w:drawing>
                <wp:inline distT="0" distR="0" distB="0" distL="0">
                  <wp:extent cx="1621155" cy="2376435"/>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1621155" cy="2376435"/>
                          </a:xfrm>
                          <a:prstGeom prst="rect">
                            <a:avLst/>
                          </a:prstGeom>
                        </pic:spPr>
                      </pic:pic>
                    </a:graphicData>
                  </a:graphic>
                </wp:inline>
              </w:drawing>
            </w:r>
          </w:p>
          <w:p>
            <w:pPr>
              <w:pStyle w:val="null3"/>
            </w:pPr>
            <w:r>
              <w:rPr>
                <w:rFonts w:ascii="仿宋_GB2312" w:hAnsi="仿宋_GB2312" w:cs="仿宋_GB2312" w:eastAsia="仿宋_GB2312"/>
                <w:sz w:val="21"/>
                <w:b/>
                <w:color w:val="000000"/>
              </w:rPr>
              <w:t xml:space="preserve">             图</w:t>
            </w:r>
            <w:r>
              <w:rPr>
                <w:rFonts w:ascii="仿宋_GB2312" w:hAnsi="仿宋_GB2312" w:cs="仿宋_GB2312" w:eastAsia="仿宋_GB2312"/>
                <w:sz w:val="21"/>
                <w:b/>
                <w:color w:val="000000"/>
              </w:rPr>
              <w:t>2  陕西省新一轮地下水超采区分布图</w:t>
            </w:r>
          </w:p>
          <w:p>
            <w:pPr>
              <w:pStyle w:val="null3"/>
              <w:ind w:firstLine="422"/>
            </w:pPr>
            <w:r>
              <w:rPr>
                <w:rFonts w:ascii="仿宋_GB2312" w:hAnsi="仿宋_GB2312" w:cs="仿宋_GB2312" w:eastAsia="仿宋_GB2312"/>
              </w:rPr>
              <w:t xml:space="preserve"> </w:t>
            </w:r>
          </w:p>
          <w:p>
            <w:pPr>
              <w:pStyle w:val="null3"/>
              <w:ind w:firstLine="422"/>
            </w:pPr>
            <w:r>
              <w:rPr>
                <w:rFonts w:ascii="仿宋_GB2312" w:hAnsi="仿宋_GB2312" w:cs="仿宋_GB2312" w:eastAsia="仿宋_GB2312"/>
              </w:rPr>
              <w:t xml:space="preserve"> </w:t>
            </w:r>
          </w:p>
          <w:p>
            <w:pPr>
              <w:pStyle w:val="null3"/>
              <w:ind w:firstLine="422"/>
            </w:pPr>
            <w:r>
              <w:rPr>
                <w:rFonts w:ascii="仿宋_GB2312" w:hAnsi="仿宋_GB2312" w:cs="仿宋_GB2312" w:eastAsia="仿宋_GB2312"/>
                <w:sz w:val="21"/>
                <w:b/>
                <w:color w:val="000000"/>
              </w:rPr>
              <w:t>（</w:t>
            </w:r>
            <w:r>
              <w:rPr>
                <w:rFonts w:ascii="仿宋_GB2312" w:hAnsi="仿宋_GB2312" w:cs="仿宋_GB2312" w:eastAsia="仿宋_GB2312"/>
                <w:sz w:val="21"/>
                <w:b/>
                <w:color w:val="000000"/>
              </w:rPr>
              <w:t>三</w:t>
            </w:r>
            <w:r>
              <w:rPr>
                <w:rFonts w:ascii="仿宋_GB2312" w:hAnsi="仿宋_GB2312" w:cs="仿宋_GB2312" w:eastAsia="仿宋_GB2312"/>
                <w:sz w:val="21"/>
                <w:b/>
                <w:color w:val="000000"/>
              </w:rPr>
              <w:t>）实施内容</w:t>
            </w:r>
          </w:p>
          <w:p>
            <w:pPr>
              <w:pStyle w:val="null3"/>
              <w:ind w:firstLine="420"/>
            </w:pPr>
            <w:r>
              <w:rPr>
                <w:rFonts w:ascii="仿宋_GB2312" w:hAnsi="仿宋_GB2312" w:cs="仿宋_GB2312" w:eastAsia="仿宋_GB2312"/>
                <w:sz w:val="21"/>
                <w:color w:val="000000"/>
              </w:rPr>
              <w:t>在调查及收集相关资料的基础上，按照《陕西省地下水超采区治理方案》（陕水发〔</w:t>
            </w:r>
            <w:r>
              <w:rPr>
                <w:rFonts w:ascii="仿宋_GB2312" w:hAnsi="仿宋_GB2312" w:cs="仿宋_GB2312" w:eastAsia="仿宋_GB2312"/>
                <w:sz w:val="21"/>
                <w:color w:val="000000"/>
              </w:rPr>
              <w:t>2016〕39号）明确的治理目标和措施，结合第三次全国水资源调查评价、地下水管控指标确定等相关成果，复核 2016</w:t>
            </w:r>
            <w:r>
              <w:rPr>
                <w:rFonts w:ascii="仿宋_GB2312" w:hAnsi="仿宋_GB2312" w:cs="仿宋_GB2312" w:eastAsia="仿宋_GB2312"/>
                <w:sz w:val="21"/>
                <w:color w:val="000000"/>
              </w:rPr>
              <w:t>～</w:t>
            </w:r>
            <w:r>
              <w:rPr>
                <w:rFonts w:ascii="仿宋_GB2312" w:hAnsi="仿宋_GB2312" w:cs="仿宋_GB2312" w:eastAsia="仿宋_GB2312"/>
                <w:sz w:val="21"/>
                <w:color w:val="000000"/>
              </w:rPr>
              <w:t>2020年超采区治理任务完成情况，在2016</w:t>
            </w:r>
            <w:r>
              <w:rPr>
                <w:rFonts w:ascii="仿宋_GB2312" w:hAnsi="仿宋_GB2312" w:cs="仿宋_GB2312" w:eastAsia="仿宋_GB2312"/>
                <w:sz w:val="21"/>
                <w:color w:val="000000"/>
              </w:rPr>
              <w:t>～</w:t>
            </w:r>
            <w:r>
              <w:rPr>
                <w:rFonts w:ascii="仿宋_GB2312" w:hAnsi="仿宋_GB2312" w:cs="仿宋_GB2312" w:eastAsia="仿宋_GB2312"/>
                <w:sz w:val="21"/>
                <w:color w:val="000000"/>
              </w:rPr>
              <w:t>2020年超采区治理的基础上，对2021年以来超采区治理效果进行评估；分析超采区地下水开发利用情况，明确地下水超采状况，确定地下水超采治理目标，提出地下水超采治理措施，明确保障措施，健全地下水管理措施，为我省地下水资源可持续利用提供技术支撑，完成</w:t>
            </w:r>
            <w:r>
              <w:rPr>
                <w:rFonts w:ascii="仿宋_GB2312" w:hAnsi="仿宋_GB2312" w:cs="仿宋_GB2312" w:eastAsia="仿宋_GB2312"/>
                <w:sz w:val="21"/>
                <w:color w:val="000000"/>
              </w:rPr>
              <w:t>陕西省</w:t>
            </w:r>
            <w:r>
              <w:rPr>
                <w:rFonts w:ascii="仿宋_GB2312" w:hAnsi="仿宋_GB2312" w:cs="仿宋_GB2312" w:eastAsia="仿宋_GB2312"/>
                <w:sz w:val="21"/>
                <w:color w:val="000000"/>
              </w:rPr>
              <w:t>2016-2023年地下水超采治理评估</w:t>
            </w:r>
            <w:r>
              <w:rPr>
                <w:rFonts w:ascii="仿宋_GB2312" w:hAnsi="仿宋_GB2312" w:cs="仿宋_GB2312" w:eastAsia="仿宋_GB2312"/>
                <w:sz w:val="21"/>
                <w:color w:val="000000"/>
              </w:rPr>
              <w:t>报告及相关附表附图、陕西省地下水超采综合治理方案报告及相关附表附图。具体工作内容如下：</w:t>
            </w:r>
          </w:p>
          <w:p>
            <w:pPr>
              <w:pStyle w:val="null3"/>
              <w:ind w:firstLine="420"/>
            </w:pPr>
            <w:r>
              <w:rPr>
                <w:rFonts w:ascii="仿宋_GB2312" w:hAnsi="仿宋_GB2312" w:cs="仿宋_GB2312" w:eastAsia="仿宋_GB2312"/>
                <w:sz w:val="21"/>
                <w:color w:val="000000"/>
              </w:rPr>
              <w:t>1、外业工作</w:t>
            </w:r>
          </w:p>
          <w:p>
            <w:pPr>
              <w:pStyle w:val="null3"/>
              <w:ind w:firstLine="420"/>
            </w:pPr>
            <w:r>
              <w:rPr>
                <w:rFonts w:ascii="仿宋_GB2312" w:hAnsi="仿宋_GB2312" w:cs="仿宋_GB2312" w:eastAsia="仿宋_GB2312"/>
                <w:sz w:val="21"/>
                <w:color w:val="000000"/>
              </w:rPr>
              <w:t>现状调研及相关资料收集：对陕西省超采区现状进行调研，了解超采区划定成因及引起超采原因等；了解超采区的用水、节水现状及现行水资源管理政策落实情况；了解超采区范围内水利工程现状及规划水利工程情况。在实地调研的基础上结合资料收集，综合分析超采区经济结构、用水结构，开展典型用水户用水情况调查，通过座谈会、咨询会等形式，听取有关部门、行业专家和重点用水户的意见。</w:t>
            </w:r>
          </w:p>
          <w:p>
            <w:pPr>
              <w:pStyle w:val="null3"/>
              <w:ind w:firstLine="420"/>
            </w:pPr>
            <w:r>
              <w:rPr>
                <w:rFonts w:ascii="仿宋_GB2312" w:hAnsi="仿宋_GB2312" w:cs="仿宋_GB2312" w:eastAsia="仿宋_GB2312"/>
                <w:sz w:val="21"/>
                <w:color w:val="000000"/>
              </w:rPr>
              <w:t>收集的资料主要包括：与超采区治理相关的国家、行业和地方标准规范以及国家有关政策规定；评估依据的主要方案、规划、实施计划、公报、通知等；国内比较成熟的超采区治理经验及研究成果；超采区范围内水利普查资料、水资源公报及用水统计资料、统计年鉴、经济社会发展和产业发展资料、用水统计资料、行业用水分析报告、水资源综合规划、灌溉水利用系数测算报告、节水型单位建设材料、实际用水统计及实地调研资料、用水效率相关研究资料等。</w:t>
            </w:r>
          </w:p>
          <w:p>
            <w:pPr>
              <w:pStyle w:val="null3"/>
              <w:ind w:firstLine="420"/>
            </w:pPr>
            <w:r>
              <w:rPr>
                <w:rFonts w:ascii="仿宋_GB2312" w:hAnsi="仿宋_GB2312" w:cs="仿宋_GB2312" w:eastAsia="仿宋_GB2312"/>
                <w:sz w:val="21"/>
                <w:color w:val="000000"/>
              </w:rPr>
              <w:t>2、内业工作</w:t>
            </w:r>
          </w:p>
          <w:p>
            <w:pPr>
              <w:pStyle w:val="null3"/>
              <w:ind w:firstLine="420"/>
            </w:pPr>
            <w:r>
              <w:rPr>
                <w:rFonts w:ascii="仿宋_GB2312" w:hAnsi="仿宋_GB2312" w:cs="仿宋_GB2312" w:eastAsia="仿宋_GB2312"/>
                <w:sz w:val="21"/>
                <w:color w:val="000000"/>
              </w:rPr>
              <w:t>（</w:t>
            </w:r>
            <w:r>
              <w:rPr>
                <w:rFonts w:ascii="仿宋_GB2312" w:hAnsi="仿宋_GB2312" w:cs="仿宋_GB2312" w:eastAsia="仿宋_GB2312"/>
                <w:sz w:val="21"/>
                <w:color w:val="000000"/>
              </w:rPr>
              <w:t>1）超采治理评估内业工作</w:t>
            </w:r>
          </w:p>
          <w:p>
            <w:pPr>
              <w:pStyle w:val="null3"/>
              <w:ind w:firstLine="420"/>
            </w:pPr>
            <w:r>
              <w:rPr>
                <w:rFonts w:ascii="仿宋_GB2312" w:hAnsi="仿宋_GB2312" w:cs="仿宋_GB2312" w:eastAsia="仿宋_GB2312"/>
                <w:sz w:val="21"/>
                <w:color w:val="000000"/>
              </w:rPr>
              <w:t>1）分析超采治理现状</w:t>
            </w:r>
          </w:p>
          <w:p>
            <w:pPr>
              <w:pStyle w:val="null3"/>
              <w:ind w:firstLine="420"/>
            </w:pPr>
            <w:r>
              <w:rPr>
                <w:rFonts w:ascii="仿宋_GB2312" w:hAnsi="仿宋_GB2312" w:cs="仿宋_GB2312" w:eastAsia="仿宋_GB2312"/>
                <w:sz w:val="21"/>
                <w:color w:val="000000"/>
              </w:rPr>
              <w:t>分析区域地下水利用情况，明确超采区情况：明确地表水资源量、地下水资源量、水资源总量；地表水可利用量、地下水可开采量、水资源可利用量。明确机井工程现状，包括机井密度、取水计量率、取水许可登记情况等。分析区域地下水供用水现状及用水结构，用水变化趋势。分析地下水集中供水水源地供水现状。分析现状地下水开发利用存在问题。明确西安市、宝鸡市、咸阳市、渭南市、榆林市超采区划定情况，包括超采区范围、超采原因、超采面积、超采区地下水可开采量、地下水超采量等。</w:t>
            </w:r>
          </w:p>
          <w:p>
            <w:pPr>
              <w:pStyle w:val="null3"/>
              <w:ind w:firstLine="420"/>
            </w:pPr>
            <w:r>
              <w:rPr>
                <w:rFonts w:ascii="仿宋_GB2312" w:hAnsi="仿宋_GB2312" w:cs="仿宋_GB2312" w:eastAsia="仿宋_GB2312"/>
                <w:sz w:val="21"/>
                <w:color w:val="000000"/>
              </w:rPr>
              <w:t>2）评估措施完成情况</w:t>
            </w:r>
          </w:p>
          <w:p>
            <w:pPr>
              <w:pStyle w:val="null3"/>
              <w:ind w:firstLine="420"/>
            </w:pPr>
            <w:r>
              <w:rPr>
                <w:rFonts w:ascii="仿宋_GB2312" w:hAnsi="仿宋_GB2312" w:cs="仿宋_GB2312" w:eastAsia="仿宋_GB2312"/>
                <w:sz w:val="21"/>
                <w:color w:val="000000"/>
              </w:rPr>
              <w:t>从节水、水源置换、河湖地下水回补、管理措施四个方面分别阐述</w:t>
            </w:r>
            <w:r>
              <w:rPr>
                <w:rFonts w:ascii="仿宋_GB2312" w:hAnsi="仿宋_GB2312" w:cs="仿宋_GB2312" w:eastAsia="仿宋_GB2312"/>
                <w:sz w:val="21"/>
                <w:color w:val="000000"/>
              </w:rPr>
              <w:t>2016</w:t>
            </w:r>
            <w:r>
              <w:rPr>
                <w:rFonts w:ascii="仿宋_GB2312" w:hAnsi="仿宋_GB2312" w:cs="仿宋_GB2312" w:eastAsia="仿宋_GB2312"/>
                <w:sz w:val="21"/>
                <w:color w:val="000000"/>
              </w:rPr>
              <w:t>～</w:t>
            </w:r>
            <w:r>
              <w:rPr>
                <w:rFonts w:ascii="仿宋_GB2312" w:hAnsi="仿宋_GB2312" w:cs="仿宋_GB2312" w:eastAsia="仿宋_GB2312"/>
                <w:sz w:val="21"/>
                <w:color w:val="000000"/>
              </w:rPr>
              <w:t>2020年、2021</w:t>
            </w:r>
            <w:r>
              <w:rPr>
                <w:rFonts w:ascii="仿宋_GB2312" w:hAnsi="仿宋_GB2312" w:cs="仿宋_GB2312" w:eastAsia="仿宋_GB2312"/>
                <w:sz w:val="21"/>
                <w:color w:val="000000"/>
              </w:rPr>
              <w:t>～</w:t>
            </w:r>
            <w:r>
              <w:rPr>
                <w:rFonts w:ascii="仿宋_GB2312" w:hAnsi="仿宋_GB2312" w:cs="仿宋_GB2312" w:eastAsia="仿宋_GB2312"/>
                <w:sz w:val="21"/>
                <w:color w:val="000000"/>
              </w:rPr>
              <w:t>2023年治理措施完成情况。节水包括农业种植规模与结构、实施节水改造、实施节水灌溉、工业和城镇生活节水等方面；水源置换包括农业水源置换、工业和城镇水源置换等方面；管理措施包括节水控水机制建立，地下水水量、水位“双控”实施，地下水监测计量体系建设、地下水禁、限采区管理，地下水精细化智慧化管理等方面。</w:t>
            </w:r>
          </w:p>
          <w:p>
            <w:pPr>
              <w:pStyle w:val="null3"/>
              <w:ind w:firstLine="420"/>
            </w:pPr>
            <w:r>
              <w:rPr>
                <w:rFonts w:ascii="仿宋_GB2312" w:hAnsi="仿宋_GB2312" w:cs="仿宋_GB2312" w:eastAsia="仿宋_GB2312"/>
                <w:sz w:val="21"/>
                <w:color w:val="000000"/>
              </w:rPr>
              <w:t>3）评估治理目标完成情况</w:t>
            </w:r>
          </w:p>
          <w:p>
            <w:pPr>
              <w:pStyle w:val="null3"/>
              <w:ind w:firstLine="360"/>
            </w:pPr>
            <w:r>
              <w:rPr>
                <w:rFonts w:ascii="仿宋_GB2312" w:hAnsi="仿宋_GB2312" w:cs="仿宋_GB2312" w:eastAsia="仿宋_GB2312"/>
                <w:sz w:val="18"/>
                <w:color w:val="000000"/>
              </w:rPr>
              <w:t>①超采区水资源及地下水开发利用情况：分析、阐述地下水开采复核情况，分别提出超采区内2016</w:t>
            </w:r>
            <w:r>
              <w:rPr>
                <w:rFonts w:ascii="仿宋_GB2312" w:hAnsi="仿宋_GB2312" w:cs="仿宋_GB2312" w:eastAsia="仿宋_GB2312"/>
                <w:sz w:val="18"/>
                <w:color w:val="000000"/>
              </w:rPr>
              <w:t>～</w:t>
            </w:r>
            <w:r>
              <w:rPr>
                <w:rFonts w:ascii="仿宋_GB2312" w:hAnsi="仿宋_GB2312" w:cs="仿宋_GB2312" w:eastAsia="仿宋_GB2312"/>
                <w:sz w:val="18"/>
                <w:color w:val="000000"/>
              </w:rPr>
              <w:t>2020年和2021</w:t>
            </w:r>
            <w:r>
              <w:rPr>
                <w:rFonts w:ascii="仿宋_GB2312" w:hAnsi="仿宋_GB2312" w:cs="仿宋_GB2312" w:eastAsia="仿宋_GB2312"/>
                <w:sz w:val="18"/>
                <w:color w:val="000000"/>
              </w:rPr>
              <w:t>～</w:t>
            </w:r>
            <w:r>
              <w:rPr>
                <w:rFonts w:ascii="仿宋_GB2312" w:hAnsi="仿宋_GB2312" w:cs="仿宋_GB2312" w:eastAsia="仿宋_GB2312"/>
                <w:sz w:val="18"/>
                <w:color w:val="000000"/>
              </w:rPr>
              <w:t>2023年核定后地下水开采量。</w:t>
            </w:r>
          </w:p>
          <w:p>
            <w:pPr>
              <w:pStyle w:val="null3"/>
              <w:ind w:firstLine="360"/>
            </w:pPr>
            <w:r>
              <w:rPr>
                <w:rFonts w:ascii="仿宋_GB2312" w:hAnsi="仿宋_GB2312" w:cs="仿宋_GB2312" w:eastAsia="仿宋_GB2312"/>
                <w:sz w:val="18"/>
                <w:color w:val="000000"/>
              </w:rPr>
              <w:t>②地下水超采量：分析、阐述2016</w:t>
            </w:r>
            <w:r>
              <w:rPr>
                <w:rFonts w:ascii="仿宋_GB2312" w:hAnsi="仿宋_GB2312" w:cs="仿宋_GB2312" w:eastAsia="仿宋_GB2312"/>
                <w:sz w:val="18"/>
                <w:color w:val="000000"/>
              </w:rPr>
              <w:t>～</w:t>
            </w:r>
            <w:r>
              <w:rPr>
                <w:rFonts w:ascii="仿宋_GB2312" w:hAnsi="仿宋_GB2312" w:cs="仿宋_GB2312" w:eastAsia="仿宋_GB2312"/>
                <w:sz w:val="18"/>
                <w:color w:val="000000"/>
              </w:rPr>
              <w:t>2020年地下水超采复核情况，重点提出 2021</w:t>
            </w:r>
            <w:r>
              <w:rPr>
                <w:rFonts w:ascii="仿宋_GB2312" w:hAnsi="仿宋_GB2312" w:cs="仿宋_GB2312" w:eastAsia="仿宋_GB2312"/>
                <w:sz w:val="18"/>
                <w:color w:val="000000"/>
              </w:rPr>
              <w:t>～</w:t>
            </w:r>
            <w:r>
              <w:rPr>
                <w:rFonts w:ascii="仿宋_GB2312" w:hAnsi="仿宋_GB2312" w:cs="仿宋_GB2312" w:eastAsia="仿宋_GB2312"/>
                <w:sz w:val="18"/>
                <w:color w:val="000000"/>
              </w:rPr>
              <w:t>2023年地下水超采量。进行超采状况变化合理性分析。</w:t>
            </w:r>
          </w:p>
          <w:p>
            <w:pPr>
              <w:pStyle w:val="null3"/>
              <w:ind w:firstLine="420"/>
            </w:pPr>
            <w:r>
              <w:rPr>
                <w:rFonts w:ascii="仿宋_GB2312" w:hAnsi="仿宋_GB2312" w:cs="仿宋_GB2312" w:eastAsia="仿宋_GB2312"/>
                <w:sz w:val="21"/>
                <w:color w:val="000000"/>
              </w:rPr>
              <w:t>③地下水压采量：分析、阐述2016-2020年和2021-2023年地下水压采量，区分农业、生活、工业等行业地下水压采量。</w:t>
            </w:r>
          </w:p>
          <w:p>
            <w:pPr>
              <w:pStyle w:val="null3"/>
              <w:ind w:firstLine="420"/>
            </w:pPr>
            <w:r>
              <w:rPr>
                <w:rFonts w:ascii="仿宋_GB2312" w:hAnsi="仿宋_GB2312" w:cs="仿宋_GB2312" w:eastAsia="仿宋_GB2312"/>
                <w:sz w:val="21"/>
                <w:color w:val="000000"/>
              </w:rPr>
              <w:t>④地下水水位动态：分析2016-2023年间每年年末较上一年末地下水水位变化情况，以及2023年末与2015年末地下水水位变化情况。</w:t>
            </w:r>
          </w:p>
          <w:p>
            <w:pPr>
              <w:pStyle w:val="null3"/>
              <w:ind w:firstLine="420"/>
            </w:pPr>
            <w:r>
              <w:rPr>
                <w:rFonts w:ascii="仿宋_GB2312" w:hAnsi="仿宋_GB2312" w:cs="仿宋_GB2312" w:eastAsia="仿宋_GB2312"/>
                <w:sz w:val="21"/>
                <w:color w:val="000000"/>
              </w:rPr>
              <w:t>⑤生态与环境地质问题：分析 2016-2023 年间每年末较上一年末河湖生态环境、地质问题变化情况，以及2023年末较2015年末河湖生态环境、地质问题变化情况。</w:t>
            </w:r>
          </w:p>
          <w:p>
            <w:pPr>
              <w:pStyle w:val="null3"/>
              <w:ind w:firstLine="420"/>
            </w:pPr>
            <w:r>
              <w:rPr>
                <w:rFonts w:ascii="仿宋_GB2312" w:hAnsi="仿宋_GB2312" w:cs="仿宋_GB2312" w:eastAsia="仿宋_GB2312"/>
                <w:sz w:val="21"/>
                <w:color w:val="000000"/>
              </w:rPr>
              <w:t>⑥地下水利用与监测计量体系建设。</w:t>
            </w:r>
          </w:p>
          <w:p>
            <w:pPr>
              <w:pStyle w:val="null3"/>
              <w:ind w:firstLine="420"/>
            </w:pPr>
            <w:r>
              <w:rPr>
                <w:rFonts w:ascii="仿宋_GB2312" w:hAnsi="仿宋_GB2312" w:cs="仿宋_GB2312" w:eastAsia="仿宋_GB2312"/>
                <w:sz w:val="21"/>
                <w:color w:val="000000"/>
              </w:rPr>
              <w:t>⑦地下水监督考核及机制建立</w:t>
            </w:r>
          </w:p>
          <w:p>
            <w:pPr>
              <w:pStyle w:val="null3"/>
              <w:ind w:firstLine="420"/>
            </w:pPr>
            <w:r>
              <w:rPr>
                <w:rFonts w:ascii="仿宋_GB2312" w:hAnsi="仿宋_GB2312" w:cs="仿宋_GB2312" w:eastAsia="仿宋_GB2312"/>
                <w:sz w:val="21"/>
                <w:color w:val="000000"/>
              </w:rPr>
              <w:t>⑧地下水精细化智慧化管理水平</w:t>
            </w:r>
          </w:p>
          <w:p>
            <w:pPr>
              <w:pStyle w:val="null3"/>
              <w:ind w:firstLine="420"/>
            </w:pPr>
            <w:r>
              <w:rPr>
                <w:rFonts w:ascii="仿宋_GB2312" w:hAnsi="仿宋_GB2312" w:cs="仿宋_GB2312" w:eastAsia="仿宋_GB2312"/>
                <w:sz w:val="21"/>
                <w:color w:val="000000"/>
              </w:rPr>
              <w:t>⑨未完成原因分析</w:t>
            </w:r>
          </w:p>
          <w:p>
            <w:pPr>
              <w:pStyle w:val="null3"/>
              <w:ind w:firstLine="420"/>
            </w:pPr>
            <w:r>
              <w:rPr>
                <w:rFonts w:ascii="仿宋_GB2312" w:hAnsi="仿宋_GB2312" w:cs="仿宋_GB2312" w:eastAsia="仿宋_GB2312"/>
                <w:sz w:val="21"/>
                <w:color w:val="000000"/>
              </w:rPr>
              <w:t>从水资源、工程措施与管理机制等方面分析未完成原因。</w:t>
            </w:r>
          </w:p>
          <w:p>
            <w:pPr>
              <w:pStyle w:val="null3"/>
              <w:ind w:firstLine="420"/>
            </w:pPr>
            <w:r>
              <w:rPr>
                <w:rFonts w:ascii="仿宋_GB2312" w:hAnsi="仿宋_GB2312" w:cs="仿宋_GB2312" w:eastAsia="仿宋_GB2312"/>
                <w:sz w:val="21"/>
                <w:color w:val="000000"/>
              </w:rPr>
              <w:t>（</w:t>
            </w:r>
            <w:r>
              <w:rPr>
                <w:rFonts w:ascii="仿宋_GB2312" w:hAnsi="仿宋_GB2312" w:cs="仿宋_GB2312" w:eastAsia="仿宋_GB2312"/>
                <w:sz w:val="21"/>
                <w:color w:val="000000"/>
              </w:rPr>
              <w:t>2）超采综合治理内业工作</w:t>
            </w:r>
          </w:p>
          <w:p>
            <w:pPr>
              <w:pStyle w:val="null3"/>
              <w:ind w:firstLine="420"/>
            </w:pPr>
            <w:r>
              <w:rPr>
                <w:rFonts w:ascii="仿宋_GB2312" w:hAnsi="仿宋_GB2312" w:cs="仿宋_GB2312" w:eastAsia="仿宋_GB2312"/>
                <w:sz w:val="21"/>
                <w:color w:val="000000"/>
              </w:rPr>
              <w:t>1）分析地下水利用情况</w:t>
            </w:r>
          </w:p>
          <w:p>
            <w:pPr>
              <w:pStyle w:val="null3"/>
              <w:ind w:firstLine="420"/>
            </w:pPr>
            <w:r>
              <w:rPr>
                <w:rFonts w:ascii="仿宋_GB2312" w:hAnsi="仿宋_GB2312" w:cs="仿宋_GB2312" w:eastAsia="仿宋_GB2312"/>
                <w:sz w:val="21"/>
                <w:color w:val="000000"/>
              </w:rPr>
              <w:t>明确地表水资源量、地下水资源量、水资源总量；地表水可利用量、地下水可开采量、水资源可利用量。</w:t>
            </w:r>
          </w:p>
          <w:p>
            <w:pPr>
              <w:pStyle w:val="null3"/>
              <w:ind w:firstLine="420"/>
            </w:pPr>
            <w:r>
              <w:rPr>
                <w:rFonts w:ascii="仿宋_GB2312" w:hAnsi="仿宋_GB2312" w:cs="仿宋_GB2312" w:eastAsia="仿宋_GB2312"/>
                <w:sz w:val="21"/>
                <w:color w:val="000000"/>
              </w:rPr>
              <w:t>明确机井工程现状，分析区域地下水供用水现状及用水结构，用水变化趋势。分析地下水集中供水水源地供水现状。分析现状地下水开发利用存在问题。</w:t>
            </w:r>
          </w:p>
          <w:p>
            <w:pPr>
              <w:pStyle w:val="null3"/>
              <w:ind w:firstLine="420"/>
            </w:pPr>
            <w:r>
              <w:rPr>
                <w:rFonts w:ascii="仿宋_GB2312" w:hAnsi="仿宋_GB2312" w:cs="仿宋_GB2312" w:eastAsia="仿宋_GB2312"/>
                <w:sz w:val="21"/>
                <w:color w:val="000000"/>
              </w:rPr>
              <w:t>2）明确地下水超采区划定成果</w:t>
            </w:r>
          </w:p>
          <w:p>
            <w:pPr>
              <w:pStyle w:val="null3"/>
              <w:ind w:firstLine="420"/>
            </w:pPr>
            <w:r>
              <w:rPr>
                <w:rFonts w:ascii="仿宋_GB2312" w:hAnsi="仿宋_GB2312" w:cs="仿宋_GB2312" w:eastAsia="仿宋_GB2312"/>
                <w:sz w:val="21"/>
                <w:color w:val="000000"/>
              </w:rPr>
              <w:t>明确西安市、宝鸡市、咸阳市、榆林市</w:t>
            </w:r>
            <w:r>
              <w:rPr>
                <w:rFonts w:ascii="仿宋_GB2312" w:hAnsi="仿宋_GB2312" w:cs="仿宋_GB2312" w:eastAsia="仿宋_GB2312"/>
                <w:sz w:val="21"/>
                <w:color w:val="000000"/>
              </w:rPr>
              <w:t>12个区县超采区划定情况，包括超采区范围、超采原因、超采面积、超采区地下水可开采量、地下水超采量等。</w:t>
            </w:r>
          </w:p>
          <w:p>
            <w:pPr>
              <w:pStyle w:val="null3"/>
              <w:ind w:firstLine="420"/>
            </w:pPr>
            <w:r>
              <w:rPr>
                <w:rFonts w:ascii="仿宋_GB2312" w:hAnsi="仿宋_GB2312" w:cs="仿宋_GB2312" w:eastAsia="仿宋_GB2312"/>
                <w:sz w:val="21"/>
                <w:color w:val="000000"/>
              </w:rPr>
              <w:t>3）确定地下水超采治理目标</w:t>
            </w:r>
          </w:p>
          <w:p>
            <w:pPr>
              <w:pStyle w:val="null3"/>
              <w:ind w:firstLine="420"/>
            </w:pPr>
            <w:r>
              <w:rPr>
                <w:rFonts w:ascii="仿宋_GB2312" w:hAnsi="仿宋_GB2312" w:cs="仿宋_GB2312" w:eastAsia="仿宋_GB2312"/>
                <w:sz w:val="21"/>
                <w:color w:val="000000"/>
              </w:rPr>
              <w:t>地下水超采治理目标主要包括实现地下水采补平衡、填补地下水亏空、恢复地下水合理水位等。</w:t>
            </w:r>
          </w:p>
          <w:p>
            <w:pPr>
              <w:pStyle w:val="null3"/>
              <w:ind w:firstLine="420"/>
            </w:pPr>
            <w:r>
              <w:rPr>
                <w:rFonts w:ascii="仿宋_GB2312" w:hAnsi="仿宋_GB2312" w:cs="仿宋_GB2312" w:eastAsia="仿宋_GB2312"/>
                <w:sz w:val="21"/>
                <w:color w:val="000000"/>
              </w:rPr>
              <w:t>4）提出地下水超采治理措施</w:t>
            </w:r>
          </w:p>
          <w:p>
            <w:pPr>
              <w:pStyle w:val="null3"/>
              <w:ind w:firstLine="420"/>
            </w:pPr>
            <w:r>
              <w:rPr>
                <w:rFonts w:ascii="仿宋_GB2312" w:hAnsi="仿宋_GB2312" w:cs="仿宋_GB2312" w:eastAsia="仿宋_GB2312"/>
                <w:sz w:val="21"/>
                <w:color w:val="000000"/>
              </w:rPr>
              <w:t>地下水超采治理措施包括加大海绵城市建设力度、调整种植结构、推广节水农业、加强工业节水、实施河湖地下水回补等。</w:t>
            </w:r>
          </w:p>
          <w:p>
            <w:pPr>
              <w:pStyle w:val="null3"/>
              <w:ind w:firstLine="420"/>
            </w:pPr>
            <w:r>
              <w:rPr>
                <w:rFonts w:ascii="仿宋_GB2312" w:hAnsi="仿宋_GB2312" w:cs="仿宋_GB2312" w:eastAsia="仿宋_GB2312"/>
                <w:sz w:val="21"/>
                <w:color w:val="000000"/>
              </w:rPr>
              <w:t>5）明确地下水超采治理保障措施</w:t>
            </w:r>
          </w:p>
          <w:p>
            <w:pPr>
              <w:pStyle w:val="null3"/>
              <w:ind w:firstLine="420"/>
            </w:pPr>
            <w:r>
              <w:rPr>
                <w:rFonts w:ascii="仿宋_GB2312" w:hAnsi="仿宋_GB2312" w:cs="仿宋_GB2312" w:eastAsia="仿宋_GB2312"/>
                <w:sz w:val="21"/>
                <w:color w:val="000000"/>
              </w:rPr>
              <w:t>地下水超采治理保障措施包括替代水源供给、公共供水管网建设、产业结构调整等。</w:t>
            </w:r>
          </w:p>
          <w:p>
            <w:pPr>
              <w:pStyle w:val="null3"/>
              <w:ind w:firstLine="420"/>
            </w:pPr>
            <w:r>
              <w:rPr>
                <w:rFonts w:ascii="仿宋_GB2312" w:hAnsi="仿宋_GB2312" w:cs="仿宋_GB2312" w:eastAsia="仿宋_GB2312"/>
                <w:sz w:val="21"/>
                <w:color w:val="000000"/>
              </w:rPr>
              <w:t>6）完善地下水超采区管理措施</w:t>
            </w:r>
          </w:p>
          <w:p>
            <w:pPr>
              <w:pStyle w:val="null3"/>
              <w:ind w:firstLine="420"/>
            </w:pPr>
            <w:r>
              <w:rPr>
                <w:rFonts w:ascii="仿宋_GB2312" w:hAnsi="仿宋_GB2312" w:cs="仿宋_GB2312" w:eastAsia="仿宋_GB2312"/>
                <w:sz w:val="21"/>
                <w:color w:val="000000"/>
              </w:rPr>
              <w:t>地下水超采区管理措施包括制度保障、监控体系、监管机制和考核制度等。</w:t>
            </w:r>
          </w:p>
          <w:p>
            <w:pPr>
              <w:pStyle w:val="null3"/>
              <w:ind w:firstLine="420"/>
            </w:pPr>
            <w:r>
              <w:rPr>
                <w:rFonts w:ascii="仿宋_GB2312" w:hAnsi="仿宋_GB2312" w:cs="仿宋_GB2312" w:eastAsia="仿宋_GB2312"/>
                <w:sz w:val="21"/>
                <w:color w:val="000000"/>
              </w:rPr>
              <w:t>7）预期效果分析</w:t>
            </w:r>
          </w:p>
          <w:p>
            <w:pPr>
              <w:pStyle w:val="null3"/>
              <w:ind w:firstLine="420"/>
            </w:pPr>
            <w:r>
              <w:rPr>
                <w:rFonts w:ascii="仿宋_GB2312" w:hAnsi="仿宋_GB2312" w:cs="仿宋_GB2312" w:eastAsia="仿宋_GB2312"/>
                <w:sz w:val="21"/>
                <w:color w:val="000000"/>
              </w:rPr>
              <w:t>从生态效益、社会效益、经济效益分析超采区治理预期效果。</w:t>
            </w:r>
          </w:p>
          <w:p>
            <w:pPr>
              <w:pStyle w:val="null3"/>
              <w:ind w:firstLine="422"/>
            </w:pPr>
            <w:r>
              <w:rPr>
                <w:rFonts w:ascii="仿宋_GB2312" w:hAnsi="仿宋_GB2312" w:cs="仿宋_GB2312" w:eastAsia="仿宋_GB2312"/>
                <w:sz w:val="21"/>
                <w:b/>
                <w:color w:val="000000"/>
              </w:rPr>
              <w:t>（</w:t>
            </w:r>
            <w:r>
              <w:rPr>
                <w:rFonts w:ascii="仿宋_GB2312" w:hAnsi="仿宋_GB2312" w:cs="仿宋_GB2312" w:eastAsia="仿宋_GB2312"/>
                <w:sz w:val="21"/>
                <w:b/>
                <w:color w:val="000000"/>
              </w:rPr>
              <w:t>四</w:t>
            </w:r>
            <w:r>
              <w:rPr>
                <w:rFonts w:ascii="仿宋_GB2312" w:hAnsi="仿宋_GB2312" w:cs="仿宋_GB2312" w:eastAsia="仿宋_GB2312"/>
                <w:sz w:val="21"/>
                <w:b/>
                <w:color w:val="000000"/>
              </w:rPr>
              <w:t>）项目实施技术方案</w:t>
            </w:r>
          </w:p>
          <w:p>
            <w:pPr>
              <w:pStyle w:val="null3"/>
              <w:ind w:firstLine="420"/>
            </w:pPr>
            <w:r>
              <w:rPr>
                <w:rFonts w:ascii="仿宋_GB2312" w:hAnsi="仿宋_GB2312" w:cs="仿宋_GB2312" w:eastAsia="仿宋_GB2312"/>
                <w:sz w:val="21"/>
                <w:color w:val="000000"/>
              </w:rPr>
              <w:t>陕西省地下水超采综合治理方案要立足新一轮超采区划定成果，统筹考虑地下水、地表水联合配置与时空合理利用，有效控制、合理削减地下水开采量，实行地下水取水总量和水位双控，推动实现地下水位回升。本项目拟按照</w:t>
            </w:r>
            <w:r>
              <w:rPr>
                <w:rFonts w:ascii="仿宋_GB2312" w:hAnsi="仿宋_GB2312" w:cs="仿宋_GB2312" w:eastAsia="仿宋_GB2312"/>
                <w:sz w:val="21"/>
                <w:color w:val="000000"/>
              </w:rPr>
              <w:t>“调研、现场踏勘及收集资料、评估2015年划定超采区治理情况、分析新一轮地下水利用情况、明确地下水超采状况、确定地下水超采治理目标、提出地下水超采治理措施、明确地下水超采治理保障措施、完善地下水超采区管理措施、编写评估成果报告和超采治理成果报告”的技术路线和方法予以开展。</w:t>
            </w:r>
          </w:p>
          <w:p>
            <w:pPr>
              <w:pStyle w:val="null3"/>
              <w:ind w:firstLine="420"/>
            </w:pPr>
            <w:r>
              <w:rPr>
                <w:rFonts w:ascii="仿宋_GB2312" w:hAnsi="仿宋_GB2312" w:cs="仿宋_GB2312" w:eastAsia="仿宋_GB2312"/>
                <w:sz w:val="21"/>
                <w:color w:val="000000"/>
              </w:rPr>
              <w:t>地下水超采治理技术路线图见图</w:t>
            </w:r>
            <w:r>
              <w:rPr>
                <w:rFonts w:ascii="仿宋_GB2312" w:hAnsi="仿宋_GB2312" w:cs="仿宋_GB2312" w:eastAsia="仿宋_GB2312"/>
                <w:sz w:val="21"/>
                <w:color w:val="000000"/>
              </w:rPr>
              <w:t>3。</w:t>
            </w:r>
          </w:p>
          <w:p>
            <w:pPr>
              <w:pStyle w:val="null3"/>
              <w:ind w:firstLine="420"/>
            </w:pPr>
            <w:r>
              <w:drawing>
                <wp:inline distT="0" distR="0" distB="0" distL="0">
                  <wp:extent cx="1621155" cy="1669231"/>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1621155" cy="1669231"/>
                          </a:xfrm>
                          <a:prstGeom prst="rect">
                            <a:avLst/>
                          </a:prstGeom>
                        </pic:spPr>
                      </pic:pic>
                    </a:graphicData>
                  </a:graphic>
                </wp:inline>
              </w:drawing>
            </w:r>
          </w:p>
          <w:p>
            <w:pPr>
              <w:pStyle w:val="null3"/>
            </w:pPr>
            <w:r>
              <w:rPr>
                <w:rFonts w:ascii="仿宋_GB2312" w:hAnsi="仿宋_GB2312" w:cs="仿宋_GB2312" w:eastAsia="仿宋_GB2312"/>
              </w:rPr>
              <w:t xml:space="preserve">                                              图3  地下水超采治理技术路线图</w:t>
            </w:r>
          </w:p>
        </w:tc>
      </w:tr>
    </w:tbl>
    <w:p>
      <w:pPr>
        <w:pStyle w:val="null3"/>
        <w:outlineLvl w:val="3"/>
      </w:pPr>
      <w:r>
        <w:rPr>
          <w:rFonts w:ascii="仿宋_GB2312" w:hAnsi="仿宋_GB2312" w:cs="仿宋_GB2312" w:eastAsia="仿宋_GB2312"/>
          <w:sz w:val="24"/>
          <w:b/>
        </w:rPr>
        <w:t>3.2.3人员配置要求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针对本项目提供明确的项目团队人员，要求人员为投标单位在职人员，具体详见评审细则及标准。</w:t>
      </w:r>
    </w:p>
    <w:p>
      <w:pPr>
        <w:pStyle w:val="null3"/>
        <w:outlineLvl w:val="3"/>
      </w:pPr>
      <w:r>
        <w:rPr>
          <w:rFonts w:ascii="仿宋_GB2312" w:hAnsi="仿宋_GB2312" w:cs="仿宋_GB2312" w:eastAsia="仿宋_GB2312"/>
          <w:sz w:val="24"/>
          <w:b/>
        </w:rPr>
        <w:t>3.2.4设施设备配置要求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具有履行合同所必需的设施设备，满足项目需求。</w:t>
      </w:r>
    </w:p>
    <w:p>
      <w:pPr>
        <w:pStyle w:val="null3"/>
        <w:outlineLvl w:val="3"/>
      </w:pPr>
      <w:r>
        <w:rPr>
          <w:rFonts w:ascii="仿宋_GB2312" w:hAnsi="仿宋_GB2312" w:cs="仿宋_GB2312" w:eastAsia="仿宋_GB2312"/>
          <w:sz w:val="24"/>
          <w:b/>
        </w:rPr>
        <w:t>3.2.5其他要求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1.服务范围：满足采购内容。 2.服务要求：满足采购技术要求。 3.服务标准：满足国家、省、市相关技术规范要求。</w:t>
      </w:r>
    </w:p>
    <w:p>
      <w:pPr>
        <w:pStyle w:val="null3"/>
        <w:outlineLvl w:val="2"/>
      </w:pPr>
      <w:r>
        <w:rPr>
          <w:rFonts w:ascii="仿宋_GB2312" w:hAnsi="仿宋_GB2312" w:cs="仿宋_GB2312" w:eastAsia="仿宋_GB2312"/>
          <w:sz w:val="28"/>
          <w:b/>
        </w:rPr>
        <w:t>3.3商务要求</w:t>
      </w:r>
    </w:p>
    <w:p>
      <w:pPr>
        <w:pStyle w:val="null3"/>
        <w:outlineLvl w:val="3"/>
      </w:pPr>
      <w:r>
        <w:rPr>
          <w:rFonts w:ascii="仿宋_GB2312" w:hAnsi="仿宋_GB2312" w:cs="仿宋_GB2312" w:eastAsia="仿宋_GB2312"/>
          <w:sz w:val="24"/>
          <w:b/>
        </w:rPr>
        <w:t>3.3.1服务期限</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180日历天</w:t>
      </w:r>
    </w:p>
    <w:p>
      <w:pPr>
        <w:pStyle w:val="null3"/>
        <w:outlineLvl w:val="3"/>
      </w:pPr>
      <w:r>
        <w:rPr>
          <w:rFonts w:ascii="仿宋_GB2312" w:hAnsi="仿宋_GB2312" w:cs="仿宋_GB2312" w:eastAsia="仿宋_GB2312"/>
          <w:sz w:val="24"/>
          <w:b/>
        </w:rPr>
        <w:t>3.3.2服务地点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采购人指定地点</w:t>
      </w:r>
    </w:p>
    <w:p>
      <w:pPr>
        <w:pStyle w:val="null3"/>
        <w:outlineLvl w:val="3"/>
      </w:pPr>
      <w:r>
        <w:rPr>
          <w:rFonts w:ascii="仿宋_GB2312" w:hAnsi="仿宋_GB2312" w:cs="仿宋_GB2312" w:eastAsia="仿宋_GB2312"/>
          <w:sz w:val="24"/>
          <w:b/>
        </w:rPr>
        <w:t>3.3.3考核（验收）标准和方法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1.服务期结束后，中标人向采购人提交验收申请。 2.采购人收到验收申请后组织验收，验收时中标人应无条件予以配合并提供验收所需的全部资料，若中标人不配合或者未按合同要求提供服务的，采购人将拒绝验收。 3.验收依据：招标文件、投标文件、合同文本、国内相应的标准、规范。</w:t>
      </w:r>
    </w:p>
    <w:p>
      <w:pPr>
        <w:pStyle w:val="null3"/>
        <w:outlineLvl w:val="3"/>
      </w:pPr>
      <w:r>
        <w:rPr>
          <w:rFonts w:ascii="仿宋_GB2312" w:hAnsi="仿宋_GB2312" w:cs="仿宋_GB2312" w:eastAsia="仿宋_GB2312"/>
          <w:sz w:val="24"/>
          <w:b/>
        </w:rPr>
        <w:t>3.3.4支付方式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分期付款</w:t>
      </w:r>
    </w:p>
    <w:p>
      <w:pPr>
        <w:pStyle w:val="null3"/>
        <w:outlineLvl w:val="3"/>
      </w:pPr>
      <w:r>
        <w:rPr>
          <w:rFonts w:ascii="仿宋_GB2312" w:hAnsi="仿宋_GB2312" w:cs="仿宋_GB2312" w:eastAsia="仿宋_GB2312"/>
          <w:sz w:val="24"/>
          <w:b/>
        </w:rPr>
        <w:t>3.3.5.支付约定</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合同签订后</w:t>
      </w:r>
      <w:r>
        <w:rPr>
          <w:rFonts w:ascii="仿宋_GB2312" w:hAnsi="仿宋_GB2312" w:cs="仿宋_GB2312" w:eastAsia="仿宋_GB2312"/>
        </w:rPr>
        <w:t xml:space="preserve"> ，达到付款条件起 </w:t>
      </w:r>
      <w:r>
        <w:rPr>
          <w:rFonts w:ascii="仿宋_GB2312" w:hAnsi="仿宋_GB2312" w:cs="仿宋_GB2312" w:eastAsia="仿宋_GB2312"/>
        </w:rPr>
        <w:t>20</w:t>
      </w:r>
      <w:r>
        <w:rPr>
          <w:rFonts w:ascii="仿宋_GB2312" w:hAnsi="仿宋_GB2312" w:cs="仿宋_GB2312" w:eastAsia="仿宋_GB2312"/>
        </w:rPr>
        <w:t xml:space="preserve"> 日内，支付合同总金额的 </w:t>
      </w:r>
      <w:r>
        <w:rPr>
          <w:rFonts w:ascii="仿宋_GB2312" w:hAnsi="仿宋_GB2312" w:cs="仿宋_GB2312" w:eastAsia="仿宋_GB2312"/>
        </w:rPr>
        <w:t>40.00</w:t>
      </w:r>
      <w:r>
        <w:rPr>
          <w:rFonts w:ascii="仿宋_GB2312" w:hAnsi="仿宋_GB2312" w:cs="仿宋_GB2312" w:eastAsia="仿宋_GB2312"/>
        </w:rPr>
        <w:t>%。</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成果提交后</w:t>
      </w:r>
      <w:r>
        <w:rPr>
          <w:rFonts w:ascii="仿宋_GB2312" w:hAnsi="仿宋_GB2312" w:cs="仿宋_GB2312" w:eastAsia="仿宋_GB2312"/>
        </w:rPr>
        <w:t xml:space="preserve"> ，达到付款条件起 </w:t>
      </w:r>
      <w:r>
        <w:rPr>
          <w:rFonts w:ascii="仿宋_GB2312" w:hAnsi="仿宋_GB2312" w:cs="仿宋_GB2312" w:eastAsia="仿宋_GB2312"/>
        </w:rPr>
        <w:t>20</w:t>
      </w:r>
      <w:r>
        <w:rPr>
          <w:rFonts w:ascii="仿宋_GB2312" w:hAnsi="仿宋_GB2312" w:cs="仿宋_GB2312" w:eastAsia="仿宋_GB2312"/>
        </w:rPr>
        <w:t xml:space="preserve"> 日内，支付合同总金额的 </w:t>
      </w:r>
      <w:r>
        <w:rPr>
          <w:rFonts w:ascii="仿宋_GB2312" w:hAnsi="仿宋_GB2312" w:cs="仿宋_GB2312" w:eastAsia="仿宋_GB2312"/>
        </w:rPr>
        <w:t>50.00</w:t>
      </w:r>
      <w:r>
        <w:rPr>
          <w:rFonts w:ascii="仿宋_GB2312" w:hAnsi="仿宋_GB2312" w:cs="仿宋_GB2312" w:eastAsia="仿宋_GB2312"/>
        </w:rPr>
        <w:t>%。</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完成所有合同内容，且验收合格后</w:t>
      </w:r>
      <w:r>
        <w:rPr>
          <w:rFonts w:ascii="仿宋_GB2312" w:hAnsi="仿宋_GB2312" w:cs="仿宋_GB2312" w:eastAsia="仿宋_GB2312"/>
        </w:rPr>
        <w:t xml:space="preserve"> ，达到付款条件起 </w:t>
      </w:r>
      <w:r>
        <w:rPr>
          <w:rFonts w:ascii="仿宋_GB2312" w:hAnsi="仿宋_GB2312" w:cs="仿宋_GB2312" w:eastAsia="仿宋_GB2312"/>
        </w:rPr>
        <w:t>20</w:t>
      </w:r>
      <w:r>
        <w:rPr>
          <w:rFonts w:ascii="仿宋_GB2312" w:hAnsi="仿宋_GB2312" w:cs="仿宋_GB2312" w:eastAsia="仿宋_GB2312"/>
        </w:rPr>
        <w:t xml:space="preserve"> 日内，支付合同总金额的 </w:t>
      </w:r>
      <w:r>
        <w:rPr>
          <w:rFonts w:ascii="仿宋_GB2312" w:hAnsi="仿宋_GB2312" w:cs="仿宋_GB2312" w:eastAsia="仿宋_GB2312"/>
        </w:rPr>
        <w:t>10.00</w:t>
      </w:r>
      <w:r>
        <w:rPr>
          <w:rFonts w:ascii="仿宋_GB2312" w:hAnsi="仿宋_GB2312" w:cs="仿宋_GB2312" w:eastAsia="仿宋_GB2312"/>
        </w:rPr>
        <w:t>%。</w:t>
      </w:r>
    </w:p>
    <w:p>
      <w:pPr>
        <w:pStyle w:val="null3"/>
        <w:outlineLvl w:val="3"/>
      </w:pPr>
      <w:r>
        <w:rPr>
          <w:rFonts w:ascii="仿宋_GB2312" w:hAnsi="仿宋_GB2312" w:cs="仿宋_GB2312" w:eastAsia="仿宋_GB2312"/>
          <w:sz w:val="24"/>
          <w:b/>
        </w:rPr>
        <w:t>3.3.6违约责任与解决争议的方法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详见合同附件</w:t>
      </w:r>
    </w:p>
    <w:p>
      <w:pPr>
        <w:pStyle w:val="null3"/>
        <w:jc w:val="left"/>
        <w:outlineLvl w:val="2"/>
      </w:pPr>
      <w:r>
        <w:rPr>
          <w:rFonts w:ascii="仿宋_GB2312" w:hAnsi="仿宋_GB2312" w:cs="仿宋_GB2312" w:eastAsia="仿宋_GB2312"/>
          <w:sz w:val="28"/>
          <w:b/>
        </w:rPr>
        <w:t>3.5其他要求</w:t>
      </w:r>
    </w:p>
    <w:p>
      <w:pPr>
        <w:pStyle w:val="null3"/>
      </w:pPr>
      <w:r>
        <w:rPr>
          <w:rFonts w:ascii="仿宋_GB2312" w:hAnsi="仿宋_GB2312" w:cs="仿宋_GB2312" w:eastAsia="仿宋_GB2312"/>
        </w:rPr>
        <w:t>1.投标人负责完成本项目建设相关工作，凡涉及与本项目相关的施工、设备安装、人员保险、税金、验收等，所有费用一次性计入投标总价，合同履约过程中采购人不再支付其他额外费用。2.售后服务：接到采购人售后要求后，6小时内远程响应，24小时内给出解决方案，若远程无法解决问题72小时内安排专人到达现场。3.知识产权归属和处理方式：投标人应保证所建工程及所投的货物及服务不会出现因第三方提出侵犯其专利权、商标权或其它知识产权而引发法律或经济纠纷，否则由供应商承担全部责任。 4、中标供应商在领取中标通知书前向代理机构提供纸质版投标文件（投标文件必须与在陕西省政府采购综合管理平台的项目电子化交易系统中递交的电子响应文件内容一致），投标文件为正本一份，副本二份，电子U盘二个（U盘内容包括Word版本、签字盖章扫描后的PDF版本响应文件）。纸质响应文件均须A4纸打印，分别各自装订成册并编制目录和页码。5、本项目所属行业为：其他未列明行业。 6、如招标文件中融资相关内容与新政策要求有出入，按照最新要求执行。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资格审查由采购人或代理机构组建的资格审查小组依据法律法规和招标文件的规定，对投标文件中的资格证明等进行审查，以确定投标人是否具备投标资格，并出具资格审查报告。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2"/>
      </w:pPr>
      <w:r>
        <w:rPr>
          <w:rFonts w:ascii="仿宋_GB2312" w:hAnsi="仿宋_GB2312" w:cs="仿宋_GB2312" w:eastAsia="仿宋_GB2312"/>
          <w:sz w:val="28"/>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1.营业执照：有独立承担民事责任能力的法人、其他组织或自然人，投标人是法人或其他组织的应提供营业执照等证明文件，自然人的提供有效的自然人身份证明； 2.完税证明：投标人须提供投标截止时间前一年内，已缴纳的任意一个月的纳税证明或完税证明，纳税证明或完税证明上应有代收机构或税务机关的公章或业务专用章，依法免税的投标人应提供相关文件证明； 3.社保缴纳凭证：投标截止时间前一年内，已缴存的任意一个月的社会保障资金缴存单据或社保机构开具的社会保险参保缴费情况证明，单据或证明上应有社保机构或代收机构的公章或业务专用章。依法不需要缴纳社会保障资金的投标人应提供相关文件证明； 4.无重大违法记录的书面声明：提供参加政府采购活动前三年内，在经营活动中没有重大违法记录的书面声明； 5.履约声明：具有履行合同所必需的设备和专业技术能力的书面声明；投标人需在项目电子化交易系统中按要求上传相应证明文件并进行电子签章。</w:t>
            </w:r>
          </w:p>
        </w:tc>
        <w:tc>
          <w:tcPr>
            <w:tcW w:type="dxa" w:w="1661"/>
          </w:tcPr>
          <w:p>
            <w:pPr>
              <w:pStyle w:val="null3"/>
            </w:pPr>
            <w:r>
              <w:rPr>
                <w:rFonts w:ascii="仿宋_GB2312" w:hAnsi="仿宋_GB2312" w:cs="仿宋_GB2312" w:eastAsia="仿宋_GB2312"/>
              </w:rPr>
              <w:t>供应商应提交的相关资格证明材料.docx 投标函 中小企业声明函 残疾人福利性单位声明函 监狱企业的证明文件</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财务状况报告：投标人须提供2024年度经审计的财务报告（包括“四表一注”即《资产负债表》《利润表》《现金流量表》《所有者权益变动表》及其附注；成立时间至提交投标文件截止时间不足一年的可提供成立后任意时段的资产负债表）或基本存款账户开户银行出具的资信证明（资信证明需提供投标截止时间前6个月内）及基本存款账户开户许可证（基本账户信息）； 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供应商应提交的相关资格证明材料.docx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供应商应提交的相关资格证明材料.docx 投标函 其他.docx</w:t>
            </w:r>
          </w:p>
        </w:tc>
      </w:tr>
    </w:tbl>
    <w:p>
      <w:pPr>
        <w:pStyle w:val="null3"/>
        <w:outlineLvl w:val="2"/>
      </w:pPr>
      <w:r>
        <w:rPr>
          <w:rFonts w:ascii="仿宋_GB2312" w:hAnsi="仿宋_GB2312" w:cs="仿宋_GB2312" w:eastAsia="仿宋_GB2312"/>
          <w:sz w:val="28"/>
          <w:b/>
        </w:rPr>
        <w:t>4.2特殊资格审查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法定代表人授权委托书</w:t>
            </w:r>
          </w:p>
        </w:tc>
        <w:tc>
          <w:tcPr>
            <w:tcW w:type="dxa" w:w="3322"/>
          </w:tcPr>
          <w:p>
            <w:pPr>
              <w:pStyle w:val="null3"/>
            </w:pPr>
            <w:r>
              <w:rPr>
                <w:rFonts w:ascii="仿宋_GB2312" w:hAnsi="仿宋_GB2312" w:cs="仿宋_GB2312" w:eastAsia="仿宋_GB2312"/>
              </w:rPr>
              <w:t>法定代表人授权委托书：法定代表人授权书(附法定代表人、被授权人身份证复印件)及被授权人身份证复印件(法定代表人直接参加投标的，须提供法定代表人身份证明及身份证复印件)；非法人单位参照执行。</w:t>
            </w:r>
          </w:p>
        </w:tc>
        <w:tc>
          <w:tcPr>
            <w:tcW w:type="dxa" w:w="1661"/>
          </w:tcPr>
          <w:p>
            <w:pPr>
              <w:pStyle w:val="null3"/>
            </w:pPr>
            <w:r>
              <w:rPr>
                <w:rFonts w:ascii="仿宋_GB2312" w:hAnsi="仿宋_GB2312" w:cs="仿宋_GB2312" w:eastAsia="仿宋_GB2312"/>
              </w:rPr>
              <w:t>供应商应提交的相关资格证明材料.docx 投标函</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投标人关联关系声明</w:t>
            </w:r>
          </w:p>
        </w:tc>
        <w:tc>
          <w:tcPr>
            <w:tcW w:type="dxa" w:w="3322"/>
          </w:tcPr>
          <w:p>
            <w:pPr>
              <w:pStyle w:val="null3"/>
            </w:pPr>
            <w:r>
              <w:rPr>
                <w:rFonts w:ascii="仿宋_GB2312" w:hAnsi="仿宋_GB2312" w:cs="仿宋_GB2312" w:eastAsia="仿宋_GB2312"/>
              </w:rPr>
              <w:t>单位负责人为同一人或者存在直接控股、管理关系的不同投标人，不得参加同一项目的招标活动；（提供承诺书）</w:t>
            </w:r>
          </w:p>
        </w:tc>
        <w:tc>
          <w:tcPr>
            <w:tcW w:type="dxa" w:w="1661"/>
          </w:tcPr>
          <w:p>
            <w:pPr>
              <w:pStyle w:val="null3"/>
            </w:pPr>
            <w:r>
              <w:rPr>
                <w:rFonts w:ascii="仿宋_GB2312" w:hAnsi="仿宋_GB2312" w:cs="仿宋_GB2312" w:eastAsia="仿宋_GB2312"/>
              </w:rPr>
              <w:t>供应商应提交的相关资格证明材料.docx 投标函</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企业信用</w:t>
            </w:r>
          </w:p>
        </w:tc>
        <w:tc>
          <w:tcPr>
            <w:tcW w:type="dxa" w:w="3322"/>
          </w:tcPr>
          <w:p>
            <w:pPr>
              <w:pStyle w:val="null3"/>
            </w:pPr>
            <w:r>
              <w:rPr>
                <w:rFonts w:ascii="仿宋_GB2312" w:hAnsi="仿宋_GB2312" w:cs="仿宋_GB2312" w:eastAsia="仿宋_GB2312"/>
              </w:rPr>
              <w:t>企业信用：供应商不得为“信用中国” 网站（www.creditchina.gov.cn）中列入重大税收违法失信主体的供应商；不得为“中国执行信息公开网”（http://zxgk.court.gov.cn）中列入失信被执行人名单的供应商；不得为“中国政府采购网”（www.ccgp.gov.cn）政府采购严重违法失信行为记录名单中被财政部门禁止参加政府采购活动的供应商；</w:t>
            </w:r>
          </w:p>
        </w:tc>
        <w:tc>
          <w:tcPr>
            <w:tcW w:type="dxa" w:w="1661"/>
          </w:tcPr>
          <w:p>
            <w:pPr>
              <w:pStyle w:val="null3"/>
            </w:pPr>
            <w:r>
              <w:rPr>
                <w:rFonts w:ascii="仿宋_GB2312" w:hAnsi="仿宋_GB2312" w:cs="仿宋_GB2312" w:eastAsia="仿宋_GB2312"/>
              </w:rPr>
              <w:t>供应商应提交的相关资格证明材料.docx 投标函</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资质条件</w:t>
            </w:r>
          </w:p>
        </w:tc>
        <w:tc>
          <w:tcPr>
            <w:tcW w:type="dxa" w:w="3322"/>
          </w:tcPr>
          <w:p>
            <w:pPr>
              <w:pStyle w:val="null3"/>
            </w:pPr>
            <w:r>
              <w:rPr>
                <w:rFonts w:ascii="仿宋_GB2312" w:hAnsi="仿宋_GB2312" w:cs="仿宋_GB2312" w:eastAsia="仿宋_GB2312"/>
              </w:rPr>
              <w:t>供应商须具备工程设计水利行业乙级(含乙级)及以上资质； （注：以投标文件中提供的复印件加盖公章为准）</w:t>
            </w:r>
          </w:p>
        </w:tc>
        <w:tc>
          <w:tcPr>
            <w:tcW w:type="dxa" w:w="1661"/>
          </w:tcPr>
          <w:p>
            <w:pPr>
              <w:pStyle w:val="null3"/>
            </w:pPr>
            <w:r>
              <w:rPr>
                <w:rFonts w:ascii="仿宋_GB2312" w:hAnsi="仿宋_GB2312" w:cs="仿宋_GB2312" w:eastAsia="仿宋_GB2312"/>
              </w:rPr>
              <w:t>供应商应提交的相关资格证明材料.docx 投标函</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非联合体投标</w:t>
            </w:r>
          </w:p>
        </w:tc>
        <w:tc>
          <w:tcPr>
            <w:tcW w:type="dxa" w:w="3322"/>
          </w:tcPr>
          <w:p>
            <w:pPr>
              <w:pStyle w:val="null3"/>
            </w:pPr>
            <w:r>
              <w:rPr>
                <w:rFonts w:ascii="仿宋_GB2312" w:hAnsi="仿宋_GB2312" w:cs="仿宋_GB2312" w:eastAsia="仿宋_GB2312"/>
              </w:rPr>
              <w:t>本项目不接受联合体投标； （注：以投标文件中提供的承诺书为准）</w:t>
            </w:r>
          </w:p>
        </w:tc>
        <w:tc>
          <w:tcPr>
            <w:tcW w:type="dxa" w:w="1661"/>
          </w:tcPr>
          <w:p>
            <w:pPr>
              <w:pStyle w:val="null3"/>
            </w:pPr>
            <w:r>
              <w:rPr>
                <w:rFonts w:ascii="仿宋_GB2312" w:hAnsi="仿宋_GB2312" w:cs="仿宋_GB2312" w:eastAsia="仿宋_GB2312"/>
              </w:rPr>
              <w:t>供应商应提交的相关资格证明材料.docx 投标函</w:t>
            </w:r>
          </w:p>
        </w:tc>
      </w:tr>
    </w:tbl>
    <w:p>
      <w:pPr>
        <w:pStyle w:val="null3"/>
        <w:outlineLvl w:val="2"/>
      </w:pPr>
      <w:r>
        <w:rPr>
          <w:rFonts w:ascii="仿宋_GB2312" w:hAnsi="仿宋_GB2312" w:cs="仿宋_GB2312" w:eastAsia="仿宋_GB2312"/>
          <w:sz w:val="28"/>
          <w:b/>
        </w:rPr>
        <w:t>4.3落实政府采购政策资格审查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4"/>
          </w:tcPr>
          <w:p>
            <w:pPr>
              <w:pStyle w:val="null3"/>
            </w:pPr>
            <w:r>
              <w:rPr>
                <w:rFonts w:ascii="仿宋_GB2312" w:hAnsi="仿宋_GB2312" w:cs="仿宋_GB2312" w:eastAsia="仿宋_GB2312"/>
              </w:rPr>
              <w:t xml:space="preserve"> 无</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评标办法</w:t>
      </w:r>
    </w:p>
    <w:p>
      <w:pPr>
        <w:pStyle w:val="null3"/>
        <w:outlineLvl w:val="2"/>
      </w:pPr>
      <w:r>
        <w:rPr>
          <w:rFonts w:ascii="仿宋_GB2312" w:hAnsi="仿宋_GB2312" w:cs="仿宋_GB2312" w:eastAsia="仿宋_GB2312"/>
          <w:sz w:val="28"/>
          <w:b/>
        </w:rPr>
        <w:t>5.1 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一、根据《中华人民共和国政府采购法》《中华人民共和国政府采购法实施条例》《政府采购货物和服务招标投标管理办法》等法律规章，结合采购项目特点制定本评标办法。</w:t>
      </w:r>
    </w:p>
    <w:p>
      <w:pPr>
        <w:pStyle w:val="null3"/>
        <w:ind w:firstLine="480"/>
      </w:pPr>
      <w:r>
        <w:rPr>
          <w:rFonts w:ascii="仿宋_GB2312" w:hAnsi="仿宋_GB2312" w:cs="仿宋_GB2312" w:eastAsia="仿宋_GB2312"/>
        </w:rPr>
        <w:t xml:space="preserve"> 二、评标工作由代理机构负责组织，具体评标事务由采购人或代理机构依法组建的评标委员会负责。评标委员会由采购人代表和评审专家组成。</w:t>
      </w:r>
    </w:p>
    <w:p>
      <w:pPr>
        <w:pStyle w:val="null3"/>
        <w:ind w:firstLine="480"/>
      </w:pPr>
      <w:r>
        <w:rPr>
          <w:rFonts w:ascii="仿宋_GB2312" w:hAnsi="仿宋_GB2312" w:cs="仿宋_GB2312" w:eastAsia="仿宋_GB2312"/>
        </w:rPr>
        <w:t>三、评标工作应遵循公平、公正、科学及择优的原则，并以相同的评标程序和标准对待所有的投标人。</w:t>
      </w:r>
    </w:p>
    <w:p>
      <w:pPr>
        <w:pStyle w:val="null3"/>
        <w:ind w:firstLine="480"/>
      </w:pPr>
      <w:r>
        <w:rPr>
          <w:rFonts w:ascii="仿宋_GB2312" w:hAnsi="仿宋_GB2312" w:cs="仿宋_GB2312" w:eastAsia="仿宋_GB2312"/>
        </w:rPr>
        <w:t xml:space="preserve"> 四、本项目采取电子评审，通过项目电子化交易系统完成评审工作。评标委员会成员、采购人、代理机构和投标人应当按照本招标文件规定和项目电子化交易系统操作要求开展或者参加评标活动。</w:t>
      </w:r>
    </w:p>
    <w:p>
      <w:pPr>
        <w:pStyle w:val="null3"/>
        <w:ind w:firstLine="480"/>
      </w:pPr>
      <w:r>
        <w:rPr>
          <w:rFonts w:ascii="仿宋_GB2312" w:hAnsi="仿宋_GB2312" w:cs="仿宋_GB2312" w:eastAsia="仿宋_GB2312"/>
        </w:rPr>
        <w:t xml:space="preserve"> 五、评标过程中的书面材料往来均通过项目电子化交易系统传递，投标人通过互认的证书及签章加盖其电子印章后生效。出现无法在线签章的特殊情况，评标委员会成员可以线下签署评标报告，由代理机构对原件扫描后以附件形式上传。</w:t>
      </w:r>
    </w:p>
    <w:p>
      <w:pPr>
        <w:pStyle w:val="null3"/>
        <w:ind w:firstLine="480"/>
      </w:pPr>
      <w:r>
        <w:rPr>
          <w:rFonts w:ascii="仿宋_GB2312" w:hAnsi="仿宋_GB2312" w:cs="仿宋_GB2312" w:eastAsia="仿宋_GB2312"/>
        </w:rPr>
        <w:t xml:space="preserve"> 六、评标过程应当独立、保密，任何单位和个人不得非法干预评标活动。投标人非法干预评标活动的，其投标文件将作无效处理；代理机构、采购人及其工作人员、采购人监督人员非法干预评标活动的，将依法追究其责任。</w:t>
      </w:r>
    </w:p>
    <w:p>
      <w:pPr>
        <w:pStyle w:val="null3"/>
        <w:outlineLvl w:val="2"/>
      </w:pPr>
      <w:r>
        <w:rPr>
          <w:rFonts w:ascii="仿宋_GB2312" w:hAnsi="仿宋_GB2312" w:cs="仿宋_GB2312" w:eastAsia="仿宋_GB2312"/>
          <w:sz w:val="28"/>
          <w:b/>
        </w:rPr>
        <w:t>5.2评标委员会</w:t>
      </w:r>
    </w:p>
    <w:p>
      <w:pPr>
        <w:pStyle w:val="null3"/>
        <w:ind w:firstLine="480"/>
      </w:pPr>
      <w:r>
        <w:rPr>
          <w:rFonts w:ascii="仿宋_GB2312" w:hAnsi="仿宋_GB2312" w:cs="仿宋_GB2312" w:eastAsia="仿宋_GB2312"/>
        </w:rPr>
        <w:t xml:space="preserve">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二、评标委员会成员应当满足并适应电子化采购评审的工作需要，使用已身份认证并具备签章功能的证书，登录项目电子化交易系统进入项目评审功能模块确认身份、签到、推荐评标委员会组长。采购人代表可以使用采购人代表专用签章确认评审意见。</w:t>
      </w:r>
    </w:p>
    <w:p>
      <w:pPr>
        <w:pStyle w:val="null3"/>
        <w:ind w:firstLine="480"/>
      </w:pPr>
      <w:r>
        <w:rPr>
          <w:rFonts w:ascii="仿宋_GB2312" w:hAnsi="仿宋_GB2312" w:cs="仿宋_GB2312" w:eastAsia="仿宋_GB2312"/>
        </w:rPr>
        <w:t xml:space="preserve"> 三、评标委员会成员获取解密后的投标文件，开展评标活动。出现应当回避的情形时，评标委员会成员应当主动回避；代理机构按规定申请补充抽取评审专家；无法及时补充抽取的，采购人或者代理机构应当封存供应商投标文件，按规定重新组建评标委员会，解封投标文件后，开展评标活动。</w:t>
      </w:r>
    </w:p>
    <w:p>
      <w:pPr>
        <w:pStyle w:val="null3"/>
        <w:ind w:firstLine="480"/>
      </w:pPr>
      <w:r>
        <w:rPr>
          <w:rFonts w:ascii="仿宋_GB2312" w:hAnsi="仿宋_GB2312" w:cs="仿宋_GB2312" w:eastAsia="仿宋_GB2312"/>
        </w:rPr>
        <w:t>四、评标委员会按照招标文件规定的评标程序、评标方法和标准进行评标，并独立履行下列职责：</w:t>
      </w:r>
    </w:p>
    <w:p>
      <w:pPr>
        <w:pStyle w:val="null3"/>
        <w:ind w:firstLine="480"/>
      </w:pPr>
      <w:r>
        <w:rPr>
          <w:rFonts w:ascii="仿宋_GB2312" w:hAnsi="仿宋_GB2312" w:cs="仿宋_GB2312" w:eastAsia="仿宋_GB2312"/>
        </w:rPr>
        <w:t>（一）熟悉和理解招标文件；</w:t>
      </w:r>
    </w:p>
    <w:p>
      <w:pPr>
        <w:pStyle w:val="null3"/>
        <w:ind w:firstLine="480"/>
      </w:pPr>
      <w:r>
        <w:rPr>
          <w:rFonts w:ascii="仿宋_GB2312" w:hAnsi="仿宋_GB2312" w:cs="仿宋_GB2312" w:eastAsia="仿宋_GB2312"/>
        </w:rPr>
        <w:t>（二）审查供应商投标文件等是否满足招标文件要求，并作出评价；</w:t>
      </w:r>
    </w:p>
    <w:p>
      <w:pPr>
        <w:pStyle w:val="null3"/>
        <w:ind w:firstLine="480"/>
      </w:pPr>
      <w:r>
        <w:rPr>
          <w:rFonts w:ascii="仿宋_GB2312" w:hAnsi="仿宋_GB2312" w:cs="仿宋_GB2312" w:eastAsia="仿宋_GB2312"/>
        </w:rPr>
        <w:t>（三）根据需要要求采购组织单位对招标文件作出解释；根据需要要求供应商对投标文件有关事项作出 澄清、说明或者更正；</w:t>
      </w:r>
    </w:p>
    <w:p>
      <w:pPr>
        <w:pStyle w:val="null3"/>
        <w:ind w:firstLine="480"/>
      </w:pPr>
      <w:r>
        <w:rPr>
          <w:rFonts w:ascii="仿宋_GB2312" w:hAnsi="仿宋_GB2312" w:cs="仿宋_GB2312" w:eastAsia="仿宋_GB2312"/>
        </w:rPr>
        <w:t>（四）推荐中标候选供应商，或者受采购人委托确定中标供应商；</w:t>
      </w:r>
    </w:p>
    <w:p>
      <w:pPr>
        <w:pStyle w:val="null3"/>
        <w:ind w:firstLine="480"/>
      </w:pPr>
      <w:r>
        <w:rPr>
          <w:rFonts w:ascii="仿宋_GB2312" w:hAnsi="仿宋_GB2312" w:cs="仿宋_GB2312" w:eastAsia="仿宋_GB2312"/>
        </w:rPr>
        <w:t>（五）起草评标报告并进行签署；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5.3评标方法</w:t>
      </w:r>
    </w:p>
    <w:p>
      <w:pPr>
        <w:pStyle w:val="null3"/>
      </w:pPr>
      <w:r>
        <w:rPr>
          <w:rFonts w:ascii="仿宋_GB2312" w:hAnsi="仿宋_GB2312" w:cs="仿宋_GB2312" w:eastAsia="仿宋_GB2312"/>
        </w:rPr>
        <w:t>采购包1：综合评分法</w:t>
      </w:r>
    </w:p>
    <w:p>
      <w:pPr>
        <w:pStyle w:val="null3"/>
        <w:outlineLvl w:val="2"/>
      </w:pPr>
      <w:r>
        <w:rPr>
          <w:rFonts w:ascii="仿宋_GB2312" w:hAnsi="仿宋_GB2312" w:cs="仿宋_GB2312" w:eastAsia="仿宋_GB2312"/>
          <w:sz w:val="28"/>
          <w:b/>
        </w:rPr>
        <w:t>5.4评标程序</w:t>
      </w:r>
    </w:p>
    <w:p>
      <w:pPr>
        <w:pStyle w:val="null3"/>
        <w:outlineLvl w:val="3"/>
      </w:pPr>
      <w:r>
        <w:rPr>
          <w:rFonts w:ascii="仿宋_GB2312" w:hAnsi="仿宋_GB2312" w:cs="仿宋_GB2312" w:eastAsia="仿宋_GB2312"/>
          <w:sz w:val="24"/>
          <w:b/>
        </w:rPr>
        <w:t>5.4.1熟悉和理解招标文件和停止评标</w:t>
      </w:r>
    </w:p>
    <w:p>
      <w:pPr>
        <w:pStyle w:val="null3"/>
        <w:ind w:firstLine="480"/>
      </w:pPr>
      <w:r>
        <w:rPr>
          <w:rFonts w:ascii="仿宋_GB2312" w:hAnsi="仿宋_GB2312" w:cs="仿宋_GB2312" w:eastAsia="仿宋_GB2312"/>
        </w:rPr>
        <w:t xml:space="preserve"> 一、评标委员会正式评审前，应当对招标文件进行熟悉和理解，内容主要包括招标文件中供应商资格资质性要求、采购项目技术、服务和商务要求、评审方法和标准以及可能涉及签订政府采购合同的内容等。</w:t>
      </w:r>
    </w:p>
    <w:p>
      <w:pPr>
        <w:pStyle w:val="null3"/>
        <w:ind w:firstLine="480"/>
      </w:pPr>
      <w:r>
        <w:rPr>
          <w:rFonts w:ascii="仿宋_GB2312" w:hAnsi="仿宋_GB2312" w:cs="仿宋_GB2312" w:eastAsia="仿宋_GB2312"/>
        </w:rPr>
        <w:t>二、本招标文件有下列情形之一的，评标委员会应当停止评标：</w:t>
      </w:r>
    </w:p>
    <w:p>
      <w:pPr>
        <w:pStyle w:val="null3"/>
        <w:ind w:firstLine="480"/>
      </w:pPr>
      <w:r>
        <w:rPr>
          <w:rFonts w:ascii="仿宋_GB2312" w:hAnsi="仿宋_GB2312" w:cs="仿宋_GB2312" w:eastAsia="仿宋_GB2312"/>
        </w:rPr>
        <w:t>（一）招标文件的规定存在歧义、重大缺陷的；</w:t>
      </w:r>
    </w:p>
    <w:p>
      <w:pPr>
        <w:pStyle w:val="null3"/>
        <w:ind w:firstLine="480"/>
      </w:pPr>
      <w:r>
        <w:rPr>
          <w:rFonts w:ascii="仿宋_GB2312" w:hAnsi="仿宋_GB2312" w:cs="仿宋_GB2312" w:eastAsia="仿宋_GB2312"/>
        </w:rPr>
        <w:t>（二）招标文件明显以不合理条件对供应商实行差别待遇或者歧视待遇的；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（三）采购项目属于国家规定的优先、强制采购范围，但是招标文件未依法体现优先、强制采购相关规定的；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（四）采购项目属于政府采购促进中小企业发展的范围，但是招标文件未依法体现促进中小企业发展相关规定的；</w:t>
      </w:r>
    </w:p>
    <w:p>
      <w:pPr>
        <w:pStyle w:val="null3"/>
        <w:ind w:firstLine="480"/>
      </w:pPr>
      <w:r>
        <w:rPr>
          <w:rFonts w:ascii="仿宋_GB2312" w:hAnsi="仿宋_GB2312" w:cs="仿宋_GB2312" w:eastAsia="仿宋_GB2312"/>
        </w:rPr>
        <w:t xml:space="preserve"> （五）招标文件规定的评标方法是综合评分法、最低评标价法之外的评标方法，或者虽然名称为综合评分法、最低评标价法，但实际上不符合国家规定；</w:t>
      </w:r>
    </w:p>
    <w:p>
      <w:pPr>
        <w:pStyle w:val="null3"/>
        <w:ind w:firstLine="480"/>
      </w:pPr>
      <w:r>
        <w:rPr>
          <w:rFonts w:ascii="仿宋_GB2312" w:hAnsi="仿宋_GB2312" w:cs="仿宋_GB2312" w:eastAsia="仿宋_GB2312"/>
        </w:rPr>
        <w:t>（六）招标文件将投标人的资格条件列为评分因素的；</w:t>
      </w:r>
    </w:p>
    <w:p>
      <w:pPr>
        <w:pStyle w:val="null3"/>
        <w:ind w:firstLine="480"/>
      </w:pPr>
      <w:r>
        <w:rPr>
          <w:rFonts w:ascii="仿宋_GB2312" w:hAnsi="仿宋_GB2312" w:cs="仿宋_GB2312" w:eastAsia="仿宋_GB2312"/>
        </w:rPr>
        <w:t>（七）招标文件有违反国家其他有关强制性规定的情形。</w:t>
      </w:r>
    </w:p>
    <w:p>
      <w:pPr>
        <w:pStyle w:val="null3"/>
        <w:ind w:firstLine="480"/>
      </w:pPr>
      <w:r>
        <w:rPr>
          <w:rFonts w:ascii="仿宋_GB2312" w:hAnsi="仿宋_GB2312" w:cs="仿宋_GB2312" w:eastAsia="仿宋_GB2312"/>
        </w:rPr>
        <w:t xml:space="preserve"> 出现上述应当停止评标情形的，评标委员会应当通过项目电子化交易系统向采购组织单位提交相关说明材料，说明停止评审的情形和具体理由。除上述情形外，评标委员会不得以任何方式和理由停止评标。</w:t>
      </w:r>
    </w:p>
    <w:p>
      <w:pPr>
        <w:pStyle w:val="null3"/>
        <w:ind w:firstLine="480"/>
        <w:jc w:val="left"/>
      </w:pPr>
      <w:r>
        <w:rPr>
          <w:rFonts w:ascii="仿宋_GB2312" w:hAnsi="仿宋_GB2312" w:cs="仿宋_GB2312" w:eastAsia="仿宋_GB2312"/>
        </w:rPr>
        <w:t xml:space="preserve"> 出现上述应当停止评标情形的，采购组织单位应当通过项目电子化交易系统书面告知参加采购活动的供应商，并说明具体原因，同时在陕西省政府采购网公告。采购组织单位认为评标委员会不应当停止评标的，可以书面报告采购项目同级财政部门依法处理，并提供相关证明材料。</w:t>
      </w:r>
    </w:p>
    <w:p>
      <w:pPr>
        <w:pStyle w:val="null3"/>
        <w:outlineLvl w:val="3"/>
      </w:pPr>
      <w:r>
        <w:rPr>
          <w:rFonts w:ascii="仿宋_GB2312" w:hAnsi="仿宋_GB2312" w:cs="仿宋_GB2312" w:eastAsia="仿宋_GB2312"/>
          <w:sz w:val="24"/>
          <w:b/>
        </w:rPr>
        <w:t>5.4.2符合性审查</w:t>
      </w:r>
    </w:p>
    <w:p>
      <w:pPr>
        <w:pStyle w:val="null3"/>
        <w:ind w:firstLine="480"/>
      </w:pPr>
      <w:r>
        <w:rPr>
          <w:rFonts w:ascii="仿宋_GB2312" w:hAnsi="仿宋_GB2312" w:cs="仿宋_GB2312" w:eastAsia="仿宋_GB2312"/>
        </w:rPr>
        <w:t xml:space="preserve"> 评标委员会依据本招标文件的实质性要求，对符合资格的投标文件进行审查，以确定其是否满足本招标文件的实质性要求。本项目符合性审查事项，必须以本招标文件的明确规定的实质性要求作为依据。</w:t>
      </w:r>
    </w:p>
    <w:p>
      <w:pPr>
        <w:pStyle w:val="null3"/>
        <w:ind w:firstLine="480"/>
      </w:pPr>
      <w:r>
        <w:rPr>
          <w:rFonts w:ascii="仿宋_GB2312" w:hAnsi="仿宋_GB2312" w:cs="仿宋_GB2312" w:eastAsia="仿宋_GB2312"/>
        </w:rPr>
        <w:t xml:space="preserve"> 在符合性审查过程中，如果出现评标委员会成员意见不一致的情况，按照少数服从多数的原则确定，但不得违背政府采购基本原则和招标文件规定。</w:t>
      </w:r>
    </w:p>
    <w:p>
      <w:pPr>
        <w:pStyle w:val="null3"/>
        <w:ind w:firstLine="480"/>
      </w:pPr>
      <w:r>
        <w:rPr>
          <w:rFonts w:ascii="仿宋_GB2312" w:hAnsi="仿宋_GB2312" w:cs="仿宋_GB2312" w:eastAsia="仿宋_GB2312"/>
        </w:rPr>
        <w:t>符合性审查标准见下表（按以下顺序审查）：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评标过程中，评标委员会认为投标人报价明显低于其他实质性响应的投标人报价，有可能影响产品质量或者不能诚信履约的，评标委员会应当要求其在合理的时间内提供成本构成书面说明，并提交相关证明材料。书面说明应当按照国家财务会计制度的规定要求，逐项就投标人提供的货物、工程和服务的主营业务成本（应根据投标人企业类型予以区别）、税金及附加、销售费用、管理费用、财务费用等成本构成事项详细陈述。 2.投标人提交的相关说明和证明材料，应当加盖投标人（法定名称）电子印章，在评标委员会要求的时间内通过项目电子化交易系统进行提交，否则提交的相关证明材料无效。投标人不能证明其投标报价合理性的，评标委员会应当将其投标文件作为无效处理。</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投标文件有效期</w:t>
            </w:r>
          </w:p>
        </w:tc>
        <w:tc>
          <w:tcPr>
            <w:tcW w:type="dxa" w:w="3322"/>
          </w:tcPr>
          <w:p>
            <w:pPr>
              <w:pStyle w:val="null3"/>
            </w:pPr>
            <w:r>
              <w:rPr>
                <w:rFonts w:ascii="仿宋_GB2312" w:hAnsi="仿宋_GB2312" w:cs="仿宋_GB2312" w:eastAsia="仿宋_GB2312"/>
              </w:rPr>
              <w:t>符合招标文件要求</w:t>
            </w:r>
          </w:p>
        </w:tc>
        <w:tc>
          <w:tcPr>
            <w:tcW w:type="dxa" w:w="1661"/>
          </w:tcPr>
          <w:p>
            <w:pPr>
              <w:pStyle w:val="null3"/>
            </w:pPr>
            <w:r>
              <w:rPr>
                <w:rFonts w:ascii="仿宋_GB2312" w:hAnsi="仿宋_GB2312" w:cs="仿宋_GB2312" w:eastAsia="仿宋_GB2312"/>
              </w:rPr>
              <w:t>投标函 投标文件封面</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投标文件签章</w:t>
            </w:r>
          </w:p>
        </w:tc>
        <w:tc>
          <w:tcPr>
            <w:tcW w:type="dxa" w:w="3322"/>
          </w:tcPr>
          <w:p>
            <w:pPr>
              <w:pStyle w:val="null3"/>
            </w:pPr>
            <w:r>
              <w:rPr>
                <w:rFonts w:ascii="仿宋_GB2312" w:hAnsi="仿宋_GB2312" w:cs="仿宋_GB2312" w:eastAsia="仿宋_GB2312"/>
              </w:rPr>
              <w:t>按招标文件要求签署、加盖印章</w:t>
            </w:r>
          </w:p>
        </w:tc>
        <w:tc>
          <w:tcPr>
            <w:tcW w:type="dxa" w:w="1661"/>
          </w:tcPr>
          <w:p>
            <w:pPr>
              <w:pStyle w:val="null3"/>
            </w:pPr>
            <w:r>
              <w:rPr>
                <w:rFonts w:ascii="仿宋_GB2312" w:hAnsi="仿宋_GB2312" w:cs="仿宋_GB2312" w:eastAsia="仿宋_GB2312"/>
              </w:rPr>
              <w:t>开标一览表 业绩.docx 服务内容及服务邀请应答表 中小企业声明函 商务应答表 其他.docx 供应商应提交的相关资格证明材料.docx 投标函 残疾人福利性单位声明函 服务方案 标的清单 投标文件封面 监狱企业的证明文件</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报价唯一</w:t>
            </w:r>
          </w:p>
        </w:tc>
        <w:tc>
          <w:tcPr>
            <w:tcW w:type="dxa" w:w="3322"/>
          </w:tcPr>
          <w:p>
            <w:pPr>
              <w:pStyle w:val="null3"/>
            </w:pPr>
            <w:r>
              <w:rPr>
                <w:rFonts w:ascii="仿宋_GB2312" w:hAnsi="仿宋_GB2312" w:cs="仿宋_GB2312" w:eastAsia="仿宋_GB2312"/>
              </w:rPr>
              <w:t>报价唯一，且未超过采购包最高限价</w:t>
            </w:r>
          </w:p>
        </w:tc>
        <w:tc>
          <w:tcPr>
            <w:tcW w:type="dxa" w:w="1661"/>
          </w:tcPr>
          <w:p>
            <w:pPr>
              <w:pStyle w:val="null3"/>
            </w:pPr>
            <w:r>
              <w:rPr>
                <w:rFonts w:ascii="仿宋_GB2312" w:hAnsi="仿宋_GB2312" w:cs="仿宋_GB2312" w:eastAsia="仿宋_GB2312"/>
              </w:rPr>
              <w:t>投标文件封面</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服务期</w:t>
            </w:r>
          </w:p>
        </w:tc>
        <w:tc>
          <w:tcPr>
            <w:tcW w:type="dxa" w:w="3322"/>
          </w:tcPr>
          <w:p>
            <w:pPr>
              <w:pStyle w:val="null3"/>
            </w:pPr>
            <w:r>
              <w:rPr>
                <w:rFonts w:ascii="仿宋_GB2312" w:hAnsi="仿宋_GB2312" w:cs="仿宋_GB2312" w:eastAsia="仿宋_GB2312"/>
              </w:rPr>
              <w:t>符合招标文件要求</w:t>
            </w:r>
          </w:p>
        </w:tc>
        <w:tc>
          <w:tcPr>
            <w:tcW w:type="dxa" w:w="1661"/>
          </w:tcPr>
          <w:p>
            <w:pPr>
              <w:pStyle w:val="null3"/>
            </w:pPr>
            <w:r>
              <w:rPr>
                <w:rFonts w:ascii="仿宋_GB2312" w:hAnsi="仿宋_GB2312" w:cs="仿宋_GB2312" w:eastAsia="仿宋_GB2312"/>
              </w:rPr>
              <w:t>开标一览表 投标函 标的清单 投标文件封面</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合同主要条款响应</w:t>
            </w:r>
          </w:p>
        </w:tc>
        <w:tc>
          <w:tcPr>
            <w:tcW w:type="dxa" w:w="3322"/>
          </w:tcPr>
          <w:p>
            <w:pPr>
              <w:pStyle w:val="null3"/>
            </w:pPr>
            <w:r>
              <w:rPr>
                <w:rFonts w:ascii="仿宋_GB2312" w:hAnsi="仿宋_GB2312" w:cs="仿宋_GB2312" w:eastAsia="仿宋_GB2312"/>
              </w:rPr>
              <w:t>对“服务地点、付款方式”等实质性内容进行响 应且未附加采购人难以接受的条件</w:t>
            </w:r>
          </w:p>
        </w:tc>
        <w:tc>
          <w:tcPr>
            <w:tcW w:type="dxa" w:w="1661"/>
          </w:tcPr>
          <w:p>
            <w:pPr>
              <w:pStyle w:val="null3"/>
            </w:pPr>
            <w:r>
              <w:rPr>
                <w:rFonts w:ascii="仿宋_GB2312" w:hAnsi="仿宋_GB2312" w:cs="仿宋_GB2312" w:eastAsia="仿宋_GB2312"/>
              </w:rPr>
              <w:t>商务应答表 投标文件封面</w:t>
            </w:r>
          </w:p>
        </w:tc>
      </w:tr>
    </w:tbl>
    <w:p>
      <w:pPr>
        <w:pStyle w:val="null3"/>
        <w:ind w:firstLine="480"/>
      </w:pPr>
      <w:r>
        <w:rPr>
          <w:rFonts w:ascii="仿宋_GB2312" w:hAnsi="仿宋_GB2312" w:cs="仿宋_GB2312" w:eastAsia="仿宋_GB2312"/>
        </w:rPr>
        <w:t xml:space="preserve"> 以上实质性要求全部响应并满足采购需求的，则通过符合性审查；如有任意一项未响应或不满足采购需求的，则按无效投标文件处理。如果评标委员会认为投标人有任意一项不通过的，应在符合性审查表中载明不通过的具体原因。</w:t>
      </w:r>
    </w:p>
    <w:p>
      <w:pPr>
        <w:pStyle w:val="null3"/>
        <w:outlineLvl w:val="3"/>
      </w:pPr>
      <w:r>
        <w:rPr>
          <w:rFonts w:ascii="仿宋_GB2312" w:hAnsi="仿宋_GB2312" w:cs="仿宋_GB2312" w:eastAsia="仿宋_GB2312"/>
          <w:sz w:val="24"/>
          <w:b/>
        </w:rPr>
        <w:t>5.4.3解释、澄清有关问题</w:t>
      </w:r>
    </w:p>
    <w:p>
      <w:pPr>
        <w:pStyle w:val="null3"/>
        <w:ind w:firstLine="480"/>
      </w:pPr>
      <w:r>
        <w:rPr>
          <w:rFonts w:ascii="仿宋_GB2312" w:hAnsi="仿宋_GB2312" w:cs="仿宋_GB2312" w:eastAsia="仿宋_GB2312"/>
        </w:rPr>
        <w:t xml:space="preserve"> 一、评标过程中，评标委员会认为招标文件有关事项表述不明确或需要说明的，可以提请代理机构书面解释。代理机构的解释不得改变招标文件的原义或者影响公平、公正，解释事项如果涉及投标人权益的以有利于投标人的原则进行解释。</w:t>
      </w:r>
    </w:p>
    <w:p>
      <w:pPr>
        <w:pStyle w:val="null3"/>
        <w:ind w:firstLine="480"/>
      </w:pPr>
      <w:r>
        <w:rPr>
          <w:rFonts w:ascii="仿宋_GB2312" w:hAnsi="仿宋_GB2312" w:cs="仿宋_GB2312" w:eastAsia="仿宋_GB2312"/>
        </w:rPr>
        <w:t xml:space="preserve"> 二、对投标文件中含义不明确、同类问题表述不一致或者有明显文字和计算错误的内容，评标委员会应当要求投标人作出必要的澄清、说明或更正，并给予投标人必要的反馈时间。投标人应当按评标委员会的要求进行澄清、说明或者更正。投标人的澄清、说明或者更正不得超出投标文件的范围或者改变投标文件的实质性内容。澄清、说明或者更正不影响投标文件的效力，有效的澄清、说明或者更正材料是投标文件的组成部分。</w:t>
      </w:r>
    </w:p>
    <w:p>
      <w:pPr>
        <w:pStyle w:val="null3"/>
        <w:ind w:firstLine="480"/>
      </w:pPr>
      <w:r>
        <w:rPr>
          <w:rFonts w:ascii="仿宋_GB2312" w:hAnsi="仿宋_GB2312" w:cs="仿宋_GB2312" w:eastAsia="仿宋_GB2312"/>
        </w:rPr>
        <w:t xml:space="preserve"> 三、投标人的澄清、说明或者更正需进行电子签章，应当不超出投标文件的范围、不实质性改变投标文件的内容、不影响投标人的公平竞争、不导致投标文件从不响应招标文件变为响应招标文件的条件。下列内容不得澄清：</w:t>
      </w:r>
    </w:p>
    <w:p>
      <w:pPr>
        <w:pStyle w:val="null3"/>
        <w:ind w:firstLine="480"/>
      </w:pPr>
      <w:r>
        <w:rPr>
          <w:rFonts w:ascii="仿宋_GB2312" w:hAnsi="仿宋_GB2312" w:cs="仿宋_GB2312" w:eastAsia="仿宋_GB2312"/>
        </w:rPr>
        <w:t>（一）投标人投标文件中不响应招标文件规定的技术参数指标和商务应答；</w:t>
      </w:r>
    </w:p>
    <w:p>
      <w:pPr>
        <w:pStyle w:val="null3"/>
        <w:ind w:firstLine="480"/>
      </w:pPr>
      <w:r>
        <w:rPr>
          <w:rFonts w:ascii="仿宋_GB2312" w:hAnsi="仿宋_GB2312" w:cs="仿宋_GB2312" w:eastAsia="仿宋_GB2312"/>
        </w:rPr>
        <w:t>（二）投标人投标文件中未提供的证明其是否符合招标文件资格、符合性规定要求的相关材料。</w:t>
      </w:r>
    </w:p>
    <w:p>
      <w:pPr>
        <w:pStyle w:val="null3"/>
        <w:ind w:firstLine="480"/>
      </w:pPr>
      <w:r>
        <w:rPr>
          <w:rFonts w:ascii="仿宋_GB2312" w:hAnsi="仿宋_GB2312" w:cs="仿宋_GB2312" w:eastAsia="仿宋_GB2312"/>
        </w:rPr>
        <w:t>（三）投标人投标文件中的材料因印刷、影印等不清晰而难以辨认的。</w:t>
      </w:r>
    </w:p>
    <w:p>
      <w:pPr>
        <w:pStyle w:val="null3"/>
        <w:ind w:firstLine="480"/>
      </w:pPr>
      <w:r>
        <w:rPr>
          <w:rFonts w:ascii="仿宋_GB2312" w:hAnsi="仿宋_GB2312" w:cs="仿宋_GB2312" w:eastAsia="仿宋_GB2312"/>
        </w:rPr>
        <w:t>四、投标文件报价出现下列情况的，按以下原则处理：</w:t>
      </w:r>
    </w:p>
    <w:p>
      <w:pPr>
        <w:pStyle w:val="null3"/>
        <w:ind w:firstLine="480"/>
      </w:pPr>
      <w:r>
        <w:rPr>
          <w:rFonts w:ascii="仿宋_GB2312" w:hAnsi="仿宋_GB2312" w:cs="仿宋_GB2312" w:eastAsia="仿宋_GB2312"/>
        </w:rPr>
        <w:t>（一）投标文件中开标一览表（报价表）内容与投标文件中相应内容不一致的，以开标一览表（报价表）为准；</w:t>
      </w:r>
    </w:p>
    <w:p>
      <w:pPr>
        <w:pStyle w:val="null3"/>
        <w:ind w:firstLine="480"/>
      </w:pPr>
      <w:r>
        <w:rPr>
          <w:rFonts w:ascii="仿宋_GB2312" w:hAnsi="仿宋_GB2312" w:cs="仿宋_GB2312" w:eastAsia="仿宋_GB2312"/>
        </w:rPr>
        <w:t>（二）大写金额和小写金额不一致的，以大写金额为准，但大写金额出现文字错误，导致金额无法判断的除外；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（三）单价金额小数点或者百分比有明显错位的，以开标一览表总价为准，并修改单价；</w:t>
      </w:r>
    </w:p>
    <w:p>
      <w:pPr>
        <w:pStyle w:val="null3"/>
        <w:ind w:firstLine="480"/>
      </w:pPr>
      <w:r>
        <w:rPr>
          <w:rFonts w:ascii="仿宋_GB2312" w:hAnsi="仿宋_GB2312" w:cs="仿宋_GB2312" w:eastAsia="仿宋_GB2312"/>
        </w:rPr>
        <w:t>（四）总价金额与按单价汇总金额不一致的，以单价金额计算结果为准。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同时出现两种以上不一致的，按照前款规定的顺序修正。修正后的报价经投标人确认后产生约束力，投标人不确认的，其投标无效。</w:t>
      </w:r>
    </w:p>
    <w:p>
      <w:pPr>
        <w:pStyle w:val="null3"/>
        <w:ind w:firstLine="480"/>
      </w:pPr>
      <w:r>
        <w:rPr>
          <w:rFonts w:ascii="仿宋_GB2312" w:hAnsi="仿宋_GB2312" w:cs="仿宋_GB2312" w:eastAsia="仿宋_GB2312"/>
        </w:rPr>
        <w:t>五、对不同语言文本投标文件的解释发生异议的，以中文文本为准。</w:t>
      </w:r>
    </w:p>
    <w:p>
      <w:pPr>
        <w:pStyle w:val="null3"/>
        <w:ind w:firstLine="480"/>
      </w:pPr>
      <w:r>
        <w:rPr>
          <w:rFonts w:ascii="仿宋_GB2312" w:hAnsi="仿宋_GB2312" w:cs="仿宋_GB2312" w:eastAsia="仿宋_GB2312"/>
        </w:rPr>
        <w:t xml:space="preserve"> 六、代理机构宣布评标结束前，投标人应通过项目电子化交易系统随时关注评标消息提示，及时响应评标委员会发出的澄清、说明或更正要求。投标人未能及时响应的，自行承担不利后果。</w:t>
      </w:r>
    </w:p>
    <w:p>
      <w:pPr>
        <w:pStyle w:val="null3"/>
        <w:ind w:firstLine="480"/>
      </w:pPr>
      <w:r>
        <w:rPr>
          <w:rFonts w:ascii="仿宋_GB2312" w:hAnsi="仿宋_GB2312" w:cs="仿宋_GB2312" w:eastAsia="仿宋_GB2312"/>
        </w:rPr>
        <w:t>评标委员会应当积极履行澄清、说明或者更正的职责，不得滥用权力。</w:t>
      </w:r>
    </w:p>
    <w:p>
      <w:pPr>
        <w:pStyle w:val="null3"/>
        <w:outlineLvl w:val="3"/>
      </w:pPr>
      <w:r>
        <w:rPr>
          <w:rFonts w:ascii="仿宋_GB2312" w:hAnsi="仿宋_GB2312" w:cs="仿宋_GB2312" w:eastAsia="仿宋_GB2312"/>
          <w:sz w:val="24"/>
          <w:b/>
        </w:rPr>
        <w:t>5.4.4比较与评价</w:t>
      </w:r>
    </w:p>
    <w:p>
      <w:pPr>
        <w:pStyle w:val="null3"/>
        <w:ind w:firstLine="480"/>
      </w:pPr>
      <w:r>
        <w:rPr>
          <w:rFonts w:ascii="仿宋_GB2312" w:hAnsi="仿宋_GB2312" w:cs="仿宋_GB2312" w:eastAsia="仿宋_GB2312"/>
        </w:rPr>
        <w:t xml:space="preserve"> 评标委员会应当按照招标文件规定的评标细则及标准，对符合性检查合格的投标文件进行商务和技术评估，综合比较和评价。</w:t>
      </w:r>
    </w:p>
    <w:p>
      <w:pPr>
        <w:pStyle w:val="null3"/>
        <w:outlineLvl w:val="3"/>
      </w:pPr>
      <w:r>
        <w:rPr>
          <w:rFonts w:ascii="仿宋_GB2312" w:hAnsi="仿宋_GB2312" w:cs="仿宋_GB2312" w:eastAsia="仿宋_GB2312"/>
          <w:sz w:val="24"/>
          <w:b/>
        </w:rPr>
        <w:t>5.4.5复核</w:t>
      </w:r>
    </w:p>
    <w:p>
      <w:pPr>
        <w:pStyle w:val="null3"/>
        <w:ind w:firstLine="480"/>
      </w:pPr>
      <w:r>
        <w:rPr>
          <w:rFonts w:ascii="仿宋_GB2312" w:hAnsi="仿宋_GB2312" w:cs="仿宋_GB2312" w:eastAsia="仿宋_GB2312"/>
        </w:rPr>
        <w:t xml:space="preserve"> 评分汇总结束后，评标委员会应当进行复核，对拟推荐为中标候选供应商、报价最低、投标文件被认定为无效等进行重点复核。</w:t>
      </w:r>
    </w:p>
    <w:p>
      <w:pPr>
        <w:pStyle w:val="null3"/>
        <w:ind w:firstLine="480"/>
      </w:pPr>
      <w:r>
        <w:rPr>
          <w:rFonts w:ascii="仿宋_GB2312" w:hAnsi="仿宋_GB2312" w:cs="仿宋_GB2312" w:eastAsia="仿宋_GB2312"/>
        </w:rPr>
        <w:t xml:space="preserve"> 评标结果汇总完成后，评标委员会拟出具评标报告前，代理机构应当组织不少于2名工作人员，在采购监督人员的监督之下，依据有关的法律制度和招标文件对评标结果进行复核，出具复核报告。</w:t>
      </w:r>
    </w:p>
    <w:p>
      <w:pPr>
        <w:pStyle w:val="null3"/>
        <w:ind w:firstLine="480"/>
      </w:pPr>
      <w:r>
        <w:rPr>
          <w:rFonts w:ascii="仿宋_GB2312" w:hAnsi="仿宋_GB2312" w:cs="仿宋_GB2312" w:eastAsia="仿宋_GB2312"/>
        </w:rPr>
        <w:t>评标结果汇总完成后，除下列情形外，任何人不得修改评标结果：</w:t>
      </w:r>
    </w:p>
    <w:p>
      <w:pPr>
        <w:pStyle w:val="null3"/>
        <w:ind w:firstLine="480"/>
      </w:pPr>
      <w:r>
        <w:rPr>
          <w:rFonts w:ascii="仿宋_GB2312" w:hAnsi="仿宋_GB2312" w:cs="仿宋_GB2312" w:eastAsia="仿宋_GB2312"/>
        </w:rPr>
        <w:t>（一）分值汇总计算错误的；</w:t>
      </w:r>
    </w:p>
    <w:p>
      <w:pPr>
        <w:pStyle w:val="null3"/>
        <w:ind w:firstLine="480"/>
      </w:pPr>
      <w:r>
        <w:rPr>
          <w:rFonts w:ascii="仿宋_GB2312" w:hAnsi="仿宋_GB2312" w:cs="仿宋_GB2312" w:eastAsia="仿宋_GB2312"/>
        </w:rPr>
        <w:t>（二）分项评分超出评分标准范围的；</w:t>
      </w:r>
    </w:p>
    <w:p>
      <w:pPr>
        <w:pStyle w:val="null3"/>
        <w:ind w:firstLine="480"/>
      </w:pPr>
      <w:r>
        <w:rPr>
          <w:rFonts w:ascii="仿宋_GB2312" w:hAnsi="仿宋_GB2312" w:cs="仿宋_GB2312" w:eastAsia="仿宋_GB2312"/>
        </w:rPr>
        <w:t>（三）评标委员会成员对客观评审因素评分不一致的；</w:t>
      </w:r>
    </w:p>
    <w:p>
      <w:pPr>
        <w:pStyle w:val="null3"/>
        <w:ind w:firstLine="480"/>
      </w:pPr>
      <w:r>
        <w:rPr>
          <w:rFonts w:ascii="仿宋_GB2312" w:hAnsi="仿宋_GB2312" w:cs="仿宋_GB2312" w:eastAsia="仿宋_GB2312"/>
        </w:rPr>
        <w:t>（四）经评标委员会认定评分畸高、畸低的。</w:t>
      </w:r>
    </w:p>
    <w:p>
      <w:pPr>
        <w:pStyle w:val="null3"/>
        <w:ind w:firstLine="480"/>
      </w:pPr>
      <w:r>
        <w:rPr>
          <w:rFonts w:ascii="仿宋_GB2312" w:hAnsi="仿宋_GB2312" w:cs="仿宋_GB2312" w:eastAsia="仿宋_GB2312"/>
        </w:rPr>
        <w:t xml:space="preserve"> 评标报告签署前，经复核发现存在以上情形之一的，评标委员会应当当场修改评标结果，并在评标报告中记载；评标报告签署后，采购人或者代理机构发现存在以上情形之一的，应当组织原评标委员会进行重新评审，重新评审改变评标结果的，书面报告本级财政部门。</w:t>
      </w:r>
    </w:p>
    <w:p>
      <w:pPr>
        <w:pStyle w:val="null3"/>
        <w:outlineLvl w:val="3"/>
      </w:pPr>
      <w:r>
        <w:rPr>
          <w:rFonts w:ascii="仿宋_GB2312" w:hAnsi="仿宋_GB2312" w:cs="仿宋_GB2312" w:eastAsia="仿宋_GB2312"/>
          <w:sz w:val="24"/>
          <w:b/>
        </w:rPr>
        <w:t>5.4.6确定中标候选人名单</w:t>
      </w:r>
    </w:p>
    <w:p>
      <w:pPr>
        <w:pStyle w:val="null3"/>
      </w:pPr>
      <w:r>
        <w:rPr>
          <w:rFonts w:ascii="仿宋_GB2312" w:hAnsi="仿宋_GB2312" w:cs="仿宋_GB2312" w:eastAsia="仿宋_GB2312"/>
        </w:rPr>
        <w:t>采购包1：</w:t>
      </w:r>
      <w:r>
        <w:rPr>
          <w:rFonts w:ascii="仿宋_GB2312" w:hAnsi="仿宋_GB2312" w:cs="仿宋_GB2312" w:eastAsia="仿宋_GB2312"/>
        </w:rPr>
        <w:t>按投标人综合得分从高到低进行排序，确定3名中标候选人。综合得分相同的，按投标报价由低到高顺序排列；得分且投标报价相同的，按投标人提供的优先采购产品认证证书数量由多到少顺序排列；得分且投标报价且提供的优先采购产品认证证书数量相同的并列。投标文件满足招标文件全部实质性要求，且按照评审因素的量化指标评审得分最高的投标人为排名第一的中标候选人。</w:t>
      </w:r>
    </w:p>
    <w:p>
      <w:pPr>
        <w:pStyle w:val="null3"/>
        <w:outlineLvl w:val="3"/>
      </w:pPr>
      <w:r>
        <w:rPr>
          <w:rFonts w:ascii="仿宋_GB2312" w:hAnsi="仿宋_GB2312" w:cs="仿宋_GB2312" w:eastAsia="仿宋_GB2312"/>
          <w:sz w:val="24"/>
          <w:b/>
        </w:rPr>
        <w:t>5.4.7编写评标报告</w:t>
      </w:r>
    </w:p>
    <w:p>
      <w:pPr>
        <w:pStyle w:val="null3"/>
        <w:ind w:firstLine="480"/>
      </w:pPr>
      <w:r>
        <w:rPr>
          <w:rFonts w:ascii="仿宋_GB2312" w:hAnsi="仿宋_GB2312" w:cs="仿宋_GB2312" w:eastAsia="仿宋_GB2312"/>
        </w:rPr>
        <w:t>评标报告是评标委员会根据全体评标成员签字的评标记录和评标结果编写的报告，其主要内容包括：</w:t>
      </w:r>
    </w:p>
    <w:p>
      <w:pPr>
        <w:pStyle w:val="null3"/>
        <w:ind w:firstLine="480"/>
      </w:pPr>
      <w:r>
        <w:rPr>
          <w:rFonts w:ascii="仿宋_GB2312" w:hAnsi="仿宋_GB2312" w:cs="仿宋_GB2312" w:eastAsia="仿宋_GB2312"/>
        </w:rPr>
        <w:t>一、招标公告刊登的媒体名称、开标日期和地点；</w:t>
      </w:r>
    </w:p>
    <w:p>
      <w:pPr>
        <w:pStyle w:val="null3"/>
        <w:ind w:firstLine="480"/>
      </w:pPr>
      <w:r>
        <w:rPr>
          <w:rFonts w:ascii="仿宋_GB2312" w:hAnsi="仿宋_GB2312" w:cs="仿宋_GB2312" w:eastAsia="仿宋_GB2312"/>
        </w:rPr>
        <w:t>二、投标人名单和评标委员会成员名单；</w:t>
      </w:r>
    </w:p>
    <w:p>
      <w:pPr>
        <w:pStyle w:val="null3"/>
        <w:ind w:firstLine="480"/>
      </w:pPr>
      <w:r>
        <w:rPr>
          <w:rFonts w:ascii="仿宋_GB2312" w:hAnsi="仿宋_GB2312" w:cs="仿宋_GB2312" w:eastAsia="仿宋_GB2312"/>
        </w:rPr>
        <w:t>三、评标方法和标准；</w:t>
      </w:r>
    </w:p>
    <w:p>
      <w:pPr>
        <w:pStyle w:val="null3"/>
        <w:ind w:firstLine="480"/>
      </w:pPr>
      <w:r>
        <w:rPr>
          <w:rFonts w:ascii="仿宋_GB2312" w:hAnsi="仿宋_GB2312" w:cs="仿宋_GB2312" w:eastAsia="仿宋_GB2312"/>
        </w:rPr>
        <w:t>四、开标记录和评标情况及说明，包括投标无效投标人名单及原因；</w:t>
      </w:r>
    </w:p>
    <w:p>
      <w:pPr>
        <w:pStyle w:val="null3"/>
        <w:ind w:firstLine="480"/>
      </w:pPr>
      <w:r>
        <w:rPr>
          <w:rFonts w:ascii="仿宋_GB2312" w:hAnsi="仿宋_GB2312" w:cs="仿宋_GB2312" w:eastAsia="仿宋_GB2312"/>
        </w:rPr>
        <w:t>五、评标结果，确定的中标候选人名单或者经采购人委托直接确定的中标人；</w:t>
      </w:r>
    </w:p>
    <w:p>
      <w:pPr>
        <w:pStyle w:val="null3"/>
        <w:ind w:firstLine="480"/>
      </w:pPr>
      <w:r>
        <w:rPr>
          <w:rFonts w:ascii="仿宋_GB2312" w:hAnsi="仿宋_GB2312" w:cs="仿宋_GB2312" w:eastAsia="仿宋_GB2312"/>
        </w:rPr>
        <w:t xml:space="preserve"> 六、其他需要说明的情况，包括评标过程中投标人根据评标委员会要求进行的澄清、说明或者更正，评标委员会成员的更换等；</w:t>
      </w:r>
    </w:p>
    <w:p>
      <w:pPr>
        <w:pStyle w:val="null3"/>
        <w:ind w:firstLine="480"/>
      </w:pPr>
      <w:r>
        <w:rPr>
          <w:rFonts w:ascii="仿宋_GB2312" w:hAnsi="仿宋_GB2312" w:cs="仿宋_GB2312" w:eastAsia="仿宋_GB2312"/>
        </w:rPr>
        <w:t>七、报价最高的投标人为中标候选人的，评标委员会应当对其报价的合理性予以特别说明。</w:t>
      </w:r>
    </w:p>
    <w:p>
      <w:pPr>
        <w:pStyle w:val="null3"/>
        <w:ind w:firstLine="480"/>
      </w:pPr>
      <w:r>
        <w:rPr>
          <w:rFonts w:ascii="仿宋_GB2312" w:hAnsi="仿宋_GB2312" w:cs="仿宋_GB2312" w:eastAsia="仿宋_GB2312"/>
        </w:rPr>
        <w:t xml:space="preserve"> 评标委员会成员应当在评标报告中签字或加盖电子签章确认，对评标过程和结果有不同意见的，应当在评标报告中写明并说明理由。签字但未写明不同意见或者未说明理由的，视同无意见。拒不签字或加盖电子签章又未另行说明其不同意见和理由的，视同同意评标结果。</w:t>
      </w:r>
    </w:p>
    <w:p>
      <w:pPr>
        <w:pStyle w:val="null3"/>
        <w:outlineLvl w:val="2"/>
      </w:pPr>
      <w:r>
        <w:rPr>
          <w:rFonts w:ascii="仿宋_GB2312" w:hAnsi="仿宋_GB2312" w:cs="仿宋_GB2312" w:eastAsia="仿宋_GB2312"/>
          <w:sz w:val="28"/>
          <w:b/>
        </w:rPr>
        <w:t>5.5评标争议处理规则</w:t>
      </w:r>
    </w:p>
    <w:p>
      <w:pPr>
        <w:pStyle w:val="null3"/>
        <w:ind w:firstLine="480"/>
      </w:pPr>
      <w:r>
        <w:rPr>
          <w:rFonts w:ascii="仿宋_GB2312" w:hAnsi="仿宋_GB2312" w:cs="仿宋_GB2312" w:eastAsia="仿宋_GB2312"/>
        </w:rPr>
        <w:t xml:space="preserve"> 评标委员会在评标过程中，对于符合性审查、对投标人文件作无效投标处理及其他需要共同认定的事项存在争议的，应当以少数服从多数的原则作出结论，但不得违背法律法规和招标文件规定。持不同意见的评标委员会成员应当在评标报告上签署不同意见及理由，否则视为同意评标报告。持不同意见的评标委员会成员认为认定过程和结果不符合法律法规或者招标文件规定的，应当及时向采购人或代理机构书面反映。采购人或代理机构收到书面反映后，应当书面报告采购项目同级财政部门依法处理。</w:t>
      </w:r>
    </w:p>
    <w:p>
      <w:pPr>
        <w:pStyle w:val="null3"/>
        <w:outlineLvl w:val="2"/>
      </w:pPr>
      <w:r>
        <w:rPr>
          <w:rFonts w:ascii="仿宋_GB2312" w:hAnsi="仿宋_GB2312" w:cs="仿宋_GB2312" w:eastAsia="仿宋_GB2312"/>
          <w:sz w:val="28"/>
          <w:b/>
        </w:rPr>
        <w:t>5.6评标细则及标准</w:t>
      </w:r>
    </w:p>
    <w:p>
      <w:pPr>
        <w:pStyle w:val="null3"/>
        <w:ind w:firstLine="480"/>
      </w:pPr>
      <w:r>
        <w:rPr>
          <w:rFonts w:ascii="仿宋_GB2312" w:hAnsi="仿宋_GB2312" w:cs="仿宋_GB2312" w:eastAsia="仿宋_GB2312"/>
        </w:rPr>
        <w:t xml:space="preserve"> 一、评标委员会只对通过资格审查的投标文件，根据招标文件的要求采用相同的评标程序、评分办法及标准进行评价和比较。</w:t>
      </w:r>
    </w:p>
    <w:p>
      <w:pPr>
        <w:pStyle w:val="null3"/>
        <w:ind w:firstLine="480"/>
      </w:pPr>
      <w:r>
        <w:rPr>
          <w:rFonts w:ascii="仿宋_GB2312" w:hAnsi="仿宋_GB2312" w:cs="仿宋_GB2312" w:eastAsia="仿宋_GB2312"/>
        </w:rPr>
        <w:t>二、评标委员会成员应依据招标文件规定的评分标准和方法独立评审。</w:t>
      </w:r>
    </w:p>
    <w:p>
      <w:pPr>
        <w:pStyle w:val="null3"/>
        <w:outlineLvl w:val="3"/>
      </w:pPr>
      <w:r>
        <w:rPr>
          <w:rFonts w:ascii="仿宋_GB2312" w:hAnsi="仿宋_GB2312" w:cs="仿宋_GB2312" w:eastAsia="仿宋_GB2312"/>
          <w:sz w:val="24"/>
          <w:b/>
        </w:rPr>
        <w:t>5.6.1评分办法</w:t>
      </w:r>
    </w:p>
    <w:p>
      <w:pPr>
        <w:pStyle w:val="null3"/>
        <w:ind w:firstLine="480"/>
      </w:pPr>
      <w:r>
        <w:rPr>
          <w:rFonts w:ascii="仿宋_GB2312" w:hAnsi="仿宋_GB2312" w:cs="仿宋_GB2312" w:eastAsia="仿宋_GB2312"/>
        </w:rPr>
        <w:t xml:space="preserve"> （综合评分法适用）采用综合评分法的，由评标委员会各成员对通过资格检查和符合性审查的投标人的投标文件进行独立评审。</w:t>
      </w:r>
    </w:p>
    <w:p>
      <w:pPr>
        <w:pStyle w:val="null3"/>
        <w:ind w:firstLine="480"/>
      </w:pPr>
      <w:r>
        <w:rPr>
          <w:rFonts w:ascii="仿宋_GB2312" w:hAnsi="仿宋_GB2312" w:cs="仿宋_GB2312" w:eastAsia="仿宋_GB2312"/>
        </w:rPr>
        <w:t>投标报价得分=（评标基准价／投标报价）×100</w:t>
      </w:r>
    </w:p>
    <w:p>
      <w:pPr>
        <w:pStyle w:val="null3"/>
        <w:ind w:firstLine="480"/>
      </w:pPr>
      <w:r>
        <w:rPr>
          <w:rFonts w:ascii="仿宋_GB2312" w:hAnsi="仿宋_GB2312" w:cs="仿宋_GB2312" w:eastAsia="仿宋_GB2312"/>
        </w:rPr>
        <w:t>评标总得分＝F1×A1＋F2×A2＋……＋Fn×An</w:t>
      </w:r>
    </w:p>
    <w:p>
      <w:pPr>
        <w:pStyle w:val="null3"/>
        <w:ind w:firstLine="480"/>
      </w:pPr>
      <w:r>
        <w:rPr>
          <w:rFonts w:ascii="仿宋_GB2312" w:hAnsi="仿宋_GB2312" w:cs="仿宋_GB2312" w:eastAsia="仿宋_GB2312"/>
        </w:rPr>
        <w:t>F1、F2……Fn分别为各项评审因素的得分；</w:t>
      </w:r>
    </w:p>
    <w:p>
      <w:pPr>
        <w:pStyle w:val="null3"/>
        <w:ind w:firstLine="480"/>
      </w:pPr>
      <w:r>
        <w:rPr>
          <w:rFonts w:ascii="仿宋_GB2312" w:hAnsi="仿宋_GB2312" w:cs="仿宋_GB2312" w:eastAsia="仿宋_GB2312"/>
        </w:rPr>
        <w:t>A1、A2、……An 分别为各项评审因素所占的权重（A1＋A2＋……＋An＝1）。</w:t>
      </w:r>
    </w:p>
    <w:p>
      <w:pPr>
        <w:pStyle w:val="null3"/>
        <w:ind w:firstLine="480"/>
      </w:pPr>
      <w:r>
        <w:rPr>
          <w:rFonts w:ascii="仿宋_GB2312" w:hAnsi="仿宋_GB2312" w:cs="仿宋_GB2312" w:eastAsia="仿宋_GB2312"/>
        </w:rPr>
        <w:t>评标过程中，不得去掉报价中的最高报价和最低报价。</w:t>
      </w:r>
    </w:p>
    <w:p>
      <w:pPr>
        <w:pStyle w:val="null3"/>
        <w:ind w:firstLine="480"/>
      </w:pPr>
      <w:r>
        <w:rPr>
          <w:rFonts w:ascii="仿宋_GB2312" w:hAnsi="仿宋_GB2312" w:cs="仿宋_GB2312" w:eastAsia="仿宋_GB2312"/>
        </w:rPr>
        <w:t>因落实政府采购政策进行价格调整的，以调整后的价格计算评标基准价和投标报价。</w:t>
      </w:r>
    </w:p>
    <w:p>
      <w:pPr>
        <w:pStyle w:val="null3"/>
        <w:outlineLvl w:val="3"/>
      </w:pPr>
      <w:r>
        <w:rPr>
          <w:rFonts w:ascii="仿宋_GB2312" w:hAnsi="仿宋_GB2312" w:cs="仿宋_GB2312" w:eastAsia="仿宋_GB2312"/>
          <w:sz w:val="24"/>
          <w:b/>
        </w:rPr>
        <w:t>5.6.2评分标准</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详细评审90.00分</w:t>
            </w:r>
          </w:p>
          <w:p>
            <w:pPr>
              <w:pStyle w:val="null3"/>
            </w:pPr>
            <w:r>
              <w:rPr>
                <w:rFonts w:ascii="仿宋_GB2312" w:hAnsi="仿宋_GB2312" w:cs="仿宋_GB2312" w:eastAsia="仿宋_GB2312"/>
              </w:rPr>
              <w:t>报价得分10.00分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总体服务方案</w:t>
            </w:r>
          </w:p>
        </w:tc>
        <w:tc>
          <w:tcPr>
            <w:tcW w:type="dxa" w:w="2492"/>
          </w:tcPr>
          <w:p>
            <w:pPr>
              <w:pStyle w:val="null3"/>
            </w:pPr>
            <w:r>
              <w:rPr>
                <w:rFonts w:ascii="仿宋_GB2312" w:hAnsi="仿宋_GB2312" w:cs="仿宋_GB2312" w:eastAsia="仿宋_GB2312"/>
              </w:rPr>
              <w:t>针对本项目的特点提供总体的项目实施方案（包括但不限于总体的服务设想、服务定位、服务目标、服务计划等），根据方案的科学性、合理性、针对性综合评审。 方案科学合理、切实可行，不缺项且有针对性解释说明得14分； 2.方案比较合理、有一定的可行性，不缺项且有针对性解释说明得12分； 3.方案比较合理、有一定的可行性，有针对性解释说明但缺项1项得10分； 4.方案基本合理、具有可操作性，存在不确定因素，有针对性解释说明但缺项1项得8分； 5.方案基本合理、可操作性不强，存在不确定因素，有针对性解释说明但缺项2项得6分； 6.方案不够合理、可操作性不强，解释说明缺项2项得4分； 7.方案不够合理、可操作性不强，存在缺项3项得2分； 8.方案存在漏项较多，可操作性差，得1分； 未提供或完全脱离项目实际的不得分。</w:t>
            </w:r>
          </w:p>
        </w:tc>
        <w:tc>
          <w:tcPr>
            <w:tcW w:type="dxa" w:w="831"/>
          </w:tcPr>
          <w:p>
            <w:pPr>
              <w:pStyle w:val="null3"/>
              <w:jc w:val="right"/>
            </w:pPr>
            <w:r>
              <w:rPr>
                <w:rFonts w:ascii="仿宋_GB2312" w:hAnsi="仿宋_GB2312" w:cs="仿宋_GB2312" w:eastAsia="仿宋_GB2312"/>
              </w:rPr>
              <w:t>14.0000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p>
            <w:pPr>
              <w:pStyle w:val="null3"/>
            </w:pPr>
            <w:r>
              <w:rPr>
                <w:rFonts w:ascii="仿宋_GB2312" w:hAnsi="仿宋_GB2312" w:cs="仿宋_GB2312" w:eastAsia="仿宋_GB2312"/>
              </w:rPr>
              <w:t>投标函</w:t>
            </w:r>
          </w:p>
          <w:p>
            <w:pPr>
              <w:pStyle w:val="null3"/>
            </w:pPr>
            <w:r>
              <w:rPr>
                <w:rFonts w:ascii="仿宋_GB2312" w:hAnsi="仿宋_GB2312" w:cs="仿宋_GB2312" w:eastAsia="仿宋_GB2312"/>
              </w:rPr>
              <w:t>中小企业声明函</w:t>
            </w:r>
          </w:p>
          <w:p>
            <w:pPr>
              <w:pStyle w:val="null3"/>
            </w:pPr>
            <w:r>
              <w:rPr>
                <w:rFonts w:ascii="仿宋_GB2312" w:hAnsi="仿宋_GB2312" w:cs="仿宋_GB2312" w:eastAsia="仿宋_GB2312"/>
              </w:rPr>
              <w:t>监狱企业的证明文件</w:t>
            </w:r>
          </w:p>
          <w:p>
            <w:pPr>
              <w:pStyle w:val="null3"/>
            </w:pPr>
            <w:r>
              <w:rPr>
                <w:rFonts w:ascii="仿宋_GB2312" w:hAnsi="仿宋_GB2312" w:cs="仿宋_GB2312" w:eastAsia="仿宋_GB2312"/>
              </w:rPr>
              <w:t>服务内容及服务邀请应答表</w:t>
            </w:r>
          </w:p>
        </w:tc>
      </w:tr>
      <w:tr>
        <w:tc>
          <w:tcPr>
            <w:tcW w:type="dxa" w:w="831"/>
            <w:vMerge/>
          </w:tcPr>
          <w:p/>
        </w:tc>
        <w:tc>
          <w:tcPr>
            <w:tcW w:type="dxa" w:w="1661"/>
          </w:tcPr>
          <w:p>
            <w:pPr>
              <w:pStyle w:val="null3"/>
            </w:pPr>
            <w:r>
              <w:rPr>
                <w:rFonts w:ascii="仿宋_GB2312" w:hAnsi="仿宋_GB2312" w:cs="仿宋_GB2312" w:eastAsia="仿宋_GB2312"/>
              </w:rPr>
              <w:t>重点与难点分析</w:t>
            </w:r>
          </w:p>
        </w:tc>
        <w:tc>
          <w:tcPr>
            <w:tcW w:type="dxa" w:w="2492"/>
          </w:tcPr>
          <w:p>
            <w:pPr>
              <w:pStyle w:val="null3"/>
            </w:pPr>
            <w:r>
              <w:rPr>
                <w:rFonts w:ascii="仿宋_GB2312" w:hAnsi="仿宋_GB2312" w:cs="仿宋_GB2312" w:eastAsia="仿宋_GB2312"/>
              </w:rPr>
              <w:t>1.重点和难点分析全面，合理，并且提出切实可行的解决办法的，得8分； 2.重点和难点分析全面，合理，对于重难点的解决办法较为合理可行的，得6分； 3.重点和难点分析全面，合理，对于重难点的解决办法可行性一般的，得4分； 4.重点和难点分析基本全面，基本合理，对于重难点的解决办法基本可行的，得2分； 5.重点和难点分析不全面，不合理，对于重难点的解决办法不可行的，得1分； 未提供或完全脱离项目实际的不得分。</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人员配备方案</w:t>
            </w:r>
          </w:p>
        </w:tc>
        <w:tc>
          <w:tcPr>
            <w:tcW w:type="dxa" w:w="2492"/>
          </w:tcPr>
          <w:p>
            <w:pPr>
              <w:pStyle w:val="null3"/>
            </w:pPr>
            <w:r>
              <w:rPr>
                <w:rFonts w:ascii="仿宋_GB2312" w:hAnsi="仿宋_GB2312" w:cs="仿宋_GB2312" w:eastAsia="仿宋_GB2312"/>
              </w:rPr>
              <w:t>专业人员配备合理，拟投入本项目人员数量充足，专业人员配置齐全、针对性强、人员分工、岗位职责明确，能够满足采购人项目需求的，证明材料提供齐全、详细的得10分； 专业人员配备数量充足，专业人员配备能够基本满足项目实施需要，分工、岗位职责安排有一定的合理性，基本能满足项目需求的，证明材料提供齐全、详细的得8分； 专业人员配备数量基本充足、专业人员配备能够基本满足项目实施需要，分工、岗位职责安排基本合理的，证明材料提供不齐全的，得6分； 专业人员配备数量较充足、专业人员配备能够基本满足项目实施需要，分工、岗位职责安排不明确、不合理的，且证明材料提供不齐全的得4分； 专业人员配备数量较少，专业人员配备不齐全的，未提供相关证明材料的得2分； 相关人员配置在满足采购人要求的基础上严重不足的不得分。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拟派项目负责人</w:t>
            </w:r>
          </w:p>
        </w:tc>
        <w:tc>
          <w:tcPr>
            <w:tcW w:type="dxa" w:w="2492"/>
          </w:tcPr>
          <w:p>
            <w:pPr>
              <w:pStyle w:val="null3"/>
            </w:pPr>
            <w:r>
              <w:rPr>
                <w:rFonts w:ascii="仿宋_GB2312" w:hAnsi="仿宋_GB2312" w:cs="仿宋_GB2312" w:eastAsia="仿宋_GB2312"/>
              </w:rPr>
              <w:t>拟派技术负责人，具有相关专业高级或以上职称的得2分，中级职称得1分；其他不得分。</w:t>
            </w:r>
          </w:p>
        </w:tc>
        <w:tc>
          <w:tcPr>
            <w:tcW w:type="dxa" w:w="831"/>
          </w:tcPr>
          <w:p>
            <w:pPr>
              <w:pStyle w:val="null3"/>
              <w:jc w:val="right"/>
            </w:pPr>
            <w:r>
              <w:rPr>
                <w:rFonts w:ascii="仿宋_GB2312" w:hAnsi="仿宋_GB2312" w:cs="仿宋_GB2312" w:eastAsia="仿宋_GB2312"/>
              </w:rPr>
              <w:t>2.0000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项目进度安排</w:t>
            </w:r>
          </w:p>
        </w:tc>
        <w:tc>
          <w:tcPr>
            <w:tcW w:type="dxa" w:w="2492"/>
          </w:tcPr>
          <w:p>
            <w:pPr>
              <w:pStyle w:val="null3"/>
            </w:pPr>
            <w:r>
              <w:rPr>
                <w:rFonts w:ascii="仿宋_GB2312" w:hAnsi="仿宋_GB2312" w:cs="仿宋_GB2312" w:eastAsia="仿宋_GB2312"/>
              </w:rPr>
              <w:t>对投标人针对本项目的进度安排措施进行评审。 具有科学合理明确的工作进度计划，工作进度计划与实际需求的契合度高，时间节点把控清晰明确，对工作推进指导性强，得8分； 具有科学合理工作进度计划，工作进度计划与实际需求的契合度相对较高，时间节点把控准确，对工作推进指导性强，得6分； 工作进度计划基本符合实际需求，相关时间节点的把控要求基本准确，对工作推进相对有指导性，得4分； 工作进度计划不符合实际需求，无法保证工作能够正常推进，得2分； 工作进度计划措施与项目实际需求不符，内容粗略得1分； 未提供或完全脱离项目实际的不得分。</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服务质量保障措施</w:t>
            </w:r>
          </w:p>
        </w:tc>
        <w:tc>
          <w:tcPr>
            <w:tcW w:type="dxa" w:w="2492"/>
          </w:tcPr>
          <w:p>
            <w:pPr>
              <w:pStyle w:val="null3"/>
            </w:pPr>
            <w:r>
              <w:rPr>
                <w:rFonts w:ascii="仿宋_GB2312" w:hAnsi="仿宋_GB2312" w:cs="仿宋_GB2312" w:eastAsia="仿宋_GB2312"/>
              </w:rPr>
              <w:t>措施全面、具体、可行、科学合理，得8分； 措施比较全面、具体、可行、科学合理，得6分； 措施简单，有一定的合理性得4分； 措施存在较多缺漏，合理性较差，得2分； 措施存在严重缺漏，不具备合理性，得1分； 未提供或完全脱离项目实际的不得分。</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规范和技术标准措施</w:t>
            </w:r>
          </w:p>
        </w:tc>
        <w:tc>
          <w:tcPr>
            <w:tcW w:type="dxa" w:w="2492"/>
          </w:tcPr>
          <w:p>
            <w:pPr>
              <w:pStyle w:val="null3"/>
            </w:pPr>
            <w:r>
              <w:rPr>
                <w:rFonts w:ascii="仿宋_GB2312" w:hAnsi="仿宋_GB2312" w:cs="仿宋_GB2312" w:eastAsia="仿宋_GB2312"/>
              </w:rPr>
              <w:t>根据对服务符合相关规范和技术标准的措施。 措施方案全面具体、规范和技术标准高、数据可靠、能有效保障项目实施的得8分； 措施方案较全面较具体、规范和技术标准较高、数据可靠、较能有效保障项目实施的得6分； 措施方案基本全面、规范和技术标准高、数据较为可靠、对项目实施有利性一般得4分； 措施方案不全面、规范和技术标准低、数据基本可靠、基本有利于对项目实施的的得2分； 措施方案不全面、规范和技术标准低、数据不可靠的，不利于对项目实施的的得1分； 未提供或完全脱离项目实际的不得分。</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档案管理方案</w:t>
            </w:r>
          </w:p>
        </w:tc>
        <w:tc>
          <w:tcPr>
            <w:tcW w:type="dxa" w:w="2492"/>
          </w:tcPr>
          <w:p>
            <w:pPr>
              <w:pStyle w:val="null3"/>
            </w:pPr>
            <w:r>
              <w:rPr>
                <w:rFonts w:ascii="仿宋_GB2312" w:hAnsi="仿宋_GB2312" w:cs="仿宋_GB2312" w:eastAsia="仿宋_GB2312"/>
              </w:rPr>
              <w:t>根据本项目采购需求并结合项目实际，制定对于数据、图纸、报告等内容的管理方案， 方案得当、合理、规范，可行性强得8分； 方案较合理，具有可行性得6分； 方案基本合理，可行性一般得4分； 方案简单，基本可行得2分； 方案缺漏，不利于项目实施得1分； 未提供或完全脱离项目实际的不得分。</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服务承诺</w:t>
            </w:r>
          </w:p>
        </w:tc>
        <w:tc>
          <w:tcPr>
            <w:tcW w:type="dxa" w:w="2492"/>
          </w:tcPr>
          <w:p>
            <w:pPr>
              <w:pStyle w:val="null3"/>
            </w:pPr>
            <w:r>
              <w:rPr>
                <w:rFonts w:ascii="仿宋_GB2312" w:hAnsi="仿宋_GB2312" w:cs="仿宋_GB2312" w:eastAsia="仿宋_GB2312"/>
              </w:rPr>
              <w:t>承诺全面且从多个角度明确地做出承诺，合理可行且完全能满足采购人对项目需求的，得6分； 承诺基本全面且承诺内容基本可行的，得4分； 承诺基本全面但实施有难度的，得2分； 承诺不全面且实施难度大的，得1分； 未提供或完全脱离项目实际的不得分。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合理化建议</w:t>
            </w:r>
          </w:p>
        </w:tc>
        <w:tc>
          <w:tcPr>
            <w:tcW w:type="dxa" w:w="2492"/>
          </w:tcPr>
          <w:p>
            <w:pPr>
              <w:pStyle w:val="null3"/>
            </w:pPr>
            <w:r>
              <w:rPr>
                <w:rFonts w:ascii="仿宋_GB2312" w:hAnsi="仿宋_GB2312" w:cs="仿宋_GB2312" w:eastAsia="仿宋_GB2312"/>
              </w:rPr>
              <w:t>建议全面且从多个角度考虑，合理可行且对项目实施具有较强的指导作用的得6分； 建议基本全面且建议内容基本可行的，得4分； 建议基本全面但实施有难度的，得2分； 建议不全面且实施难度大的，得1分； 未提供或完全脱离项目实际的不得分。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vMerge/>
          </w:tcPr>
          <w:p/>
        </w:tc>
        <w:tc>
          <w:tcPr>
            <w:tcW w:type="dxa" w:w="1661"/>
          </w:tcPr>
          <w:p>
            <w:pPr>
              <w:pStyle w:val="null3"/>
            </w:pPr>
            <w:r>
              <w:rPr>
                <w:rFonts w:ascii="仿宋_GB2312" w:hAnsi="仿宋_GB2312" w:cs="仿宋_GB2312" w:eastAsia="仿宋_GB2312"/>
              </w:rPr>
              <w:t>类似业绩</w:t>
            </w:r>
          </w:p>
        </w:tc>
        <w:tc>
          <w:tcPr>
            <w:tcW w:type="dxa" w:w="2492"/>
          </w:tcPr>
          <w:p>
            <w:pPr>
              <w:pStyle w:val="null3"/>
            </w:pPr>
            <w:r>
              <w:rPr>
                <w:rFonts w:ascii="仿宋_GB2312" w:hAnsi="仿宋_GB2312" w:cs="仿宋_GB2312" w:eastAsia="仿宋_GB2312"/>
              </w:rPr>
              <w:t>1、供应商提供2022年1月1日至投标文件递交截止时间内的类似业绩，每提供一项单个合同项目得3分，累计最多得12分。 注 ：以投标文件中所附的加盖公章的业绩合同复印件为准，时间以合同签订时间为准；未提供业绩证明资料、业绩证明资料未显示时间、业绩证明资料显示时间不符合要求者不得分。</w:t>
            </w:r>
          </w:p>
        </w:tc>
        <w:tc>
          <w:tcPr>
            <w:tcW w:type="dxa" w:w="831"/>
          </w:tcPr>
          <w:p>
            <w:pPr>
              <w:pStyle w:val="null3"/>
              <w:jc w:val="right"/>
            </w:pPr>
            <w:r>
              <w:rPr>
                <w:rFonts w:ascii="仿宋_GB2312" w:hAnsi="仿宋_GB2312" w:cs="仿宋_GB2312" w:eastAsia="仿宋_GB2312"/>
              </w:rPr>
              <w:t>12.0000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商务应答表</w:t>
            </w:r>
          </w:p>
          <w:p>
            <w:pPr>
              <w:pStyle w:val="null3"/>
            </w:pPr>
            <w:r>
              <w:rPr>
                <w:rFonts w:ascii="仿宋_GB2312" w:hAnsi="仿宋_GB2312" w:cs="仿宋_GB2312" w:eastAsia="仿宋_GB2312"/>
              </w:rPr>
              <w:t>服务方案</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满足招标文件要求且报价最低的供应商的价格为评标基准价，其价格分为满分。其他供应商的价格分统一按照下列公式计算：投标报价得分=（评标基准价/投标报价） ×分值</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开标一览表</w:t>
            </w:r>
          </w:p>
          <w:p>
            <w:pPr>
              <w:pStyle w:val="null3"/>
            </w:pPr>
            <w:r>
              <w:rPr>
                <w:rFonts w:ascii="仿宋_GB2312" w:hAnsi="仿宋_GB2312" w:cs="仿宋_GB2312" w:eastAsia="仿宋_GB2312"/>
              </w:rPr>
              <w:t>标的清单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1661"/>
          </w:tcPr>
          <w:p>
            <w:pPr>
              <w:pStyle w:val="null3"/>
            </w:pPr>
            <w:r>
              <w:rPr>
                <w:rFonts w:ascii="仿宋_GB2312" w:hAnsi="仿宋_GB2312" w:cs="仿宋_GB2312" w:eastAsia="仿宋_GB2312"/>
              </w:rPr>
              <w:t>小型、微型企业，监狱企业，残疾人福利性单位</w:t>
            </w:r>
          </w:p>
        </w:tc>
        <w:tc>
          <w:tcPr>
            <w:tcW w:type="dxa" w:w="1661"/>
          </w:tcPr>
          <w:p>
            <w:pPr>
              <w:pStyle w:val="null3"/>
            </w:pPr>
            <w:r>
              <w:rPr>
                <w:rFonts w:ascii="仿宋_GB2312" w:hAnsi="仿宋_GB2312" w:cs="仿宋_GB2312" w:eastAsia="仿宋_GB2312"/>
              </w:rPr>
              <w:t>投标人或联合体成员均为小型、微型企业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pPr>
            <w:r>
              <w:rPr>
                <w:rFonts w:ascii="仿宋_GB2312" w:hAnsi="仿宋_GB2312" w:cs="仿宋_GB2312" w:eastAsia="仿宋_GB2312"/>
              </w:rPr>
              <w:t>对于经主管预算单位统筹后未预留份额专门面向中小企业采购的采购项目，以及预留份额项目中的非预留部分采购包，对符合《政府采购促进中小企业发展管理办法》（财库〔2020〕46号）规定的小微企业报价给予C1的扣除，用扣除后的价格参加评审。承接本项目的供应商符合相应条件时，给予C1的价格扣除，即：评标价=最后报价×（1-C1）;监狱企业与残疾人福利性单位视同小型、微型企业，享受同等价格扣除，当企业属性重复时，不重复价格扣除</w:t>
            </w:r>
          </w:p>
        </w:tc>
        <w:tc>
          <w:tcPr>
            <w:tcW w:type="dxa" w:w="1661"/>
          </w:tcPr>
          <w:p>
            <w:pPr>
              <w:pStyle w:val="null3"/>
            </w:pPr>
            <w:r>
              <w:rPr>
                <w:rFonts w:ascii="仿宋_GB2312" w:hAnsi="仿宋_GB2312" w:cs="仿宋_GB2312" w:eastAsia="仿宋_GB2312"/>
              </w:rPr>
              <w:t>开标一览表 中小企业声明函 残疾人福利性单位声明函 标的清单 监狱企业的证明文件</w:t>
            </w:r>
          </w:p>
        </w:tc>
      </w:tr>
    </w:tbl>
    <w:p>
      <w:pPr>
        <w:pStyle w:val="null3"/>
        <w:ind w:firstLine="480"/>
      </w:pPr>
      <w:r>
        <w:rPr>
          <w:rFonts w:ascii="仿宋_GB2312" w:hAnsi="仿宋_GB2312" w:cs="仿宋_GB2312" w:eastAsia="仿宋_GB2312"/>
        </w:rPr>
        <w:t>说明：</w:t>
      </w:r>
    </w:p>
    <w:p>
      <w:pPr>
        <w:pStyle w:val="null3"/>
        <w:ind w:firstLine="480"/>
      </w:pPr>
      <w:r>
        <w:rPr>
          <w:rFonts w:ascii="仿宋_GB2312" w:hAnsi="仿宋_GB2312" w:cs="仿宋_GB2312" w:eastAsia="仿宋_GB2312"/>
        </w:rPr>
        <w:t>1、评分的取值按四舍五入法，保留小数点后两位；</w:t>
      </w:r>
    </w:p>
    <w:p>
      <w:pPr>
        <w:pStyle w:val="null3"/>
        <w:ind w:firstLine="480"/>
      </w:pPr>
      <w:r>
        <w:rPr>
          <w:rFonts w:ascii="仿宋_GB2312" w:hAnsi="仿宋_GB2312" w:cs="仿宋_GB2312" w:eastAsia="仿宋_GB2312"/>
        </w:rPr>
        <w:t>2、评分标准中要求提供的证明材料须清晰可辨。</w:t>
      </w:r>
    </w:p>
    <w:p>
      <w:pPr>
        <w:pStyle w:val="null3"/>
        <w:ind w:firstLine="480"/>
      </w:pPr>
      <w:r>
        <w:rPr>
          <w:rFonts w:ascii="仿宋_GB2312" w:hAnsi="仿宋_GB2312" w:cs="仿宋_GB2312" w:eastAsia="仿宋_GB2312"/>
        </w:rPr>
        <w:t xml:space="preserve"> （最低评标价法适用）采用最低评标价法的，投标文件满足招标文件全部实质性要求，且投标报价最低的投标人为中标候选人。采用最低评标价法评标时，除了算术修正和落实政府采购政策需进行的价格扣除外，不能对投标人的投标价格进行任何调整。</w:t>
      </w:r>
    </w:p>
    <w:p>
      <w:pPr>
        <w:pStyle w:val="null3"/>
        <w:outlineLvl w:val="2"/>
      </w:pPr>
      <w:r>
        <w:rPr>
          <w:rFonts w:ascii="仿宋_GB2312" w:hAnsi="仿宋_GB2312" w:cs="仿宋_GB2312" w:eastAsia="仿宋_GB2312"/>
          <w:sz w:val="28"/>
          <w:b/>
        </w:rPr>
        <w:t>5.7废标</w:t>
      </w:r>
    </w:p>
    <w:p>
      <w:pPr>
        <w:pStyle w:val="null3"/>
        <w:ind w:firstLine="480"/>
      </w:pPr>
      <w:r>
        <w:rPr>
          <w:rFonts w:ascii="仿宋_GB2312" w:hAnsi="仿宋_GB2312" w:cs="仿宋_GB2312" w:eastAsia="仿宋_GB2312"/>
        </w:rPr>
        <w:t>本次政府采购活动中，出现下列情形之一的，予以废标：</w:t>
      </w:r>
    </w:p>
    <w:p>
      <w:pPr>
        <w:pStyle w:val="null3"/>
        <w:ind w:firstLine="480"/>
      </w:pPr>
      <w:r>
        <w:rPr>
          <w:rFonts w:ascii="仿宋_GB2312" w:hAnsi="仿宋_GB2312" w:cs="仿宋_GB2312" w:eastAsia="仿宋_GB2312"/>
        </w:rPr>
        <w:t>一、符合专业条件的投标人或者对招标文件作实质响应的投标人不足三家的；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三、投标人的报价均超过了采购预算，采购人不能支付的；</w:t>
      </w:r>
    </w:p>
    <w:p>
      <w:pPr>
        <w:pStyle w:val="null3"/>
        <w:ind w:firstLine="480"/>
      </w:pPr>
      <w:r>
        <w:rPr>
          <w:rFonts w:ascii="仿宋_GB2312" w:hAnsi="仿宋_GB2312" w:cs="仿宋_GB2312" w:eastAsia="仿宋_GB2312"/>
        </w:rPr>
        <w:t>四、因重大变故，采购任务取消的；</w:t>
      </w:r>
    </w:p>
    <w:p>
      <w:pPr>
        <w:pStyle w:val="null3"/>
        <w:ind w:firstLine="480"/>
      </w:pPr>
      <w:r>
        <w:rPr>
          <w:rFonts w:ascii="仿宋_GB2312" w:hAnsi="仿宋_GB2312" w:cs="仿宋_GB2312" w:eastAsia="仿宋_GB2312"/>
        </w:rPr>
        <w:t xml:space="preserve"> 废标后，代理机构将在陕西省政府采购网上公告。对于评标过程中废标的采购项目，评标委员会应当对招标文件是否存在倾向性和歧视性、是否存在不合理条款进行论证，并出具书面论证意见。</w:t>
      </w:r>
    </w:p>
    <w:p>
      <w:pPr>
        <w:pStyle w:val="null3"/>
        <w:outlineLvl w:val="2"/>
      </w:pPr>
      <w:r>
        <w:rPr>
          <w:rFonts w:ascii="仿宋_GB2312" w:hAnsi="仿宋_GB2312" w:cs="仿宋_GB2312" w:eastAsia="仿宋_GB2312"/>
          <w:sz w:val="28"/>
          <w:b/>
        </w:rPr>
        <w:t>5.8定标</w:t>
      </w:r>
    </w:p>
    <w:p>
      <w:pPr>
        <w:pStyle w:val="null3"/>
        <w:outlineLvl w:val="3"/>
      </w:pPr>
      <w:r>
        <w:rPr>
          <w:rFonts w:ascii="仿宋_GB2312" w:hAnsi="仿宋_GB2312" w:cs="仿宋_GB2312" w:eastAsia="仿宋_GB2312"/>
          <w:sz w:val="24"/>
          <w:b/>
        </w:rPr>
        <w:t>5.8.1 定标原则</w:t>
      </w:r>
    </w:p>
    <w:p>
      <w:pPr>
        <w:pStyle w:val="null3"/>
      </w:pPr>
      <w:r>
        <w:rPr>
          <w:rFonts w:ascii="仿宋_GB2312" w:hAnsi="仿宋_GB2312" w:cs="仿宋_GB2312" w:eastAsia="仿宋_GB2312"/>
        </w:rPr>
        <w:t>采购人在评标报告确定的中标候选人名单中按顺序确定1名中标人。中标候选人并列的，由采购人采取随机抽取的方式确定中标人。</w:t>
      </w:r>
    </w:p>
    <w:p>
      <w:pPr>
        <w:pStyle w:val="null3"/>
        <w:outlineLvl w:val="3"/>
      </w:pPr>
      <w:r>
        <w:rPr>
          <w:rFonts w:ascii="仿宋_GB2312" w:hAnsi="仿宋_GB2312" w:cs="仿宋_GB2312" w:eastAsia="仿宋_GB2312"/>
          <w:sz w:val="24"/>
          <w:b/>
        </w:rPr>
        <w:t>5.8.2定标程序</w:t>
      </w:r>
    </w:p>
    <w:p>
      <w:pPr>
        <w:pStyle w:val="null3"/>
      </w:pPr>
      <w:r>
        <w:rPr>
          <w:rFonts w:ascii="仿宋_GB2312" w:hAnsi="仿宋_GB2312" w:cs="仿宋_GB2312" w:eastAsia="仿宋_GB2312"/>
        </w:rPr>
        <w:t>一、评标委员会在项目电子化交易系统中编制评标情况，生成评标报告。</w:t>
      </w:r>
    </w:p>
    <w:p>
      <w:pPr>
        <w:pStyle w:val="null3"/>
      </w:pPr>
      <w:r>
        <w:rPr>
          <w:rFonts w:ascii="仿宋_GB2312" w:hAnsi="仿宋_GB2312" w:cs="仿宋_GB2312" w:eastAsia="仿宋_GB2312"/>
        </w:rPr>
        <w:t>二、代理机构在评标结束之日起2个工作日内将评标报告送采购人。</w:t>
      </w:r>
    </w:p>
    <w:p>
      <w:pPr>
        <w:pStyle w:val="null3"/>
      </w:pPr>
      <w:r>
        <w:rPr>
          <w:rFonts w:ascii="仿宋_GB2312" w:hAnsi="仿宋_GB2312" w:cs="仿宋_GB2312" w:eastAsia="仿宋_GB2312"/>
        </w:rPr>
        <w:t>三、采购人在收到评标报告后5个工作日内，按照评标报告中推荐的中标候选人顺序确定中标供应商。逾期未确认的，又不能说明合法理由的，视同按评标报告推荐的顺序确定排名第一的中标候选人为中标供应商。</w:t>
      </w:r>
    </w:p>
    <w:p>
      <w:pPr>
        <w:pStyle w:val="null3"/>
      </w:pPr>
      <w:r>
        <w:rPr>
          <w:rFonts w:ascii="仿宋_GB2312" w:hAnsi="仿宋_GB2312" w:cs="仿宋_GB2312" w:eastAsia="仿宋_GB2312"/>
        </w:rPr>
        <w:t>四、根据确定的中标供应商，代理机构在陕西省政府采购网上发布中标结果公告，通过项目电子化交易系统向中标供应商发出中标通知书。</w:t>
      </w:r>
    </w:p>
    <w:p>
      <w:pPr>
        <w:pStyle w:val="null3"/>
        <w:outlineLvl w:val="2"/>
      </w:pPr>
      <w:r>
        <w:rPr>
          <w:rFonts w:ascii="仿宋_GB2312" w:hAnsi="仿宋_GB2312" w:cs="仿宋_GB2312" w:eastAsia="仿宋_GB2312"/>
          <w:sz w:val="28"/>
          <w:b/>
        </w:rPr>
        <w:t>5.9评审专家在政府采购活动中承担以下义务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5.10评审专家在政府采购活动中应当遵守以下工作纪律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（二）评标前，应当将通讯工具或者相关电子设备交由采购组织单位统一保管。</w:t>
      </w:r>
    </w:p>
    <w:p>
      <w:pPr>
        <w:pStyle w:val="null3"/>
        <w:ind w:firstLine="480"/>
      </w:pPr>
      <w:r>
        <w:rPr>
          <w:rFonts w:ascii="仿宋_GB2312" w:hAnsi="仿宋_GB2312" w:cs="仿宋_GB2312" w:eastAsia="仿宋_GB2312"/>
        </w:rPr>
        <w:t>（三）评标过程中，不得与外界联系，因发生不可预见情况，确实需要与外界联系的， 应当在监督人员监督之下办理。</w:t>
      </w:r>
    </w:p>
    <w:p>
      <w:pPr>
        <w:pStyle w:val="null3"/>
        <w:ind w:firstLine="480"/>
      </w:pPr>
      <w:r>
        <w:rPr>
          <w:rFonts w:ascii="仿宋_GB2312" w:hAnsi="仿宋_GB2312" w:cs="仿宋_GB2312" w:eastAsia="仿宋_GB2312"/>
        </w:rPr>
        <w:t>（四）评标过程中，不得干预或者影响正常评标工作，不得发表倾向性、引导性意见， 不得修改或细化招标文件确定的评标程序、评标方法、评审因素和评审标准，不得接受供应商主动提出的澄清和解释，不得征询采购人代表的意见，不得协商评分，不得违反规定的评审格式评分和撰写评标意见，不得拒绝对自己的评标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（五）在评审过程中和评审结束后，不得记录、复制或带走任何评审资料，不得向外界透露评审内容。</w:t>
      </w:r>
    </w:p>
    <w:p>
      <w:pPr>
        <w:pStyle w:val="null3"/>
        <w:ind w:firstLine="480"/>
      </w:pPr>
      <w:r>
        <w:rPr>
          <w:rFonts w:ascii="仿宋_GB2312" w:hAnsi="仿宋_GB2312" w:cs="仿宋_GB2312" w:eastAsia="仿宋_GB2312"/>
        </w:rPr>
        <w:t>（六）服从评审现场采购组织单位的现场秩序管理，接受评审现场监督人员的合法监督。</w:t>
      </w:r>
    </w:p>
    <w:p>
      <w:pPr>
        <w:pStyle w:val="null3"/>
        <w:ind w:firstLine="480"/>
      </w:pPr>
      <w:r>
        <w:rPr>
          <w:rFonts w:ascii="仿宋_GB2312" w:hAnsi="仿宋_GB2312" w:cs="仿宋_GB2312" w:eastAsia="仿宋_GB2312"/>
        </w:rPr>
        <w:t xml:space="preserve"> （七）遵守有关廉洁自律规定，不得私下接触供应商，不得收受供应商及有关业务单位和个人的财物或好处，不得接受采购组织单位的请托。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第6章投标文件格式</w:t>
      </w:r>
    </w:p>
    <w:p>
      <w:pPr>
        <w:pStyle w:val="null3"/>
        <w:outlineLvl w:val="2"/>
      </w:pPr>
      <w:r>
        <w:rPr>
          <w:rFonts w:ascii="仿宋_GB2312" w:hAnsi="仿宋_GB2312" w:cs="仿宋_GB2312" w:eastAsia="仿宋_GB2312"/>
          <w:sz w:val="28"/>
          <w:b/>
        </w:rPr>
        <w:t>6.1投标文件封面格式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详见附件：投标文件封面</w:t>
      </w:r>
    </w:p>
    <w:p>
      <w:pPr>
        <w:pStyle w:val="null3"/>
        <w:ind w:firstLine="960"/>
      </w:pPr>
      <w:r>
        <w:rPr>
          <w:rFonts w:ascii="仿宋_GB2312" w:hAnsi="仿宋_GB2312" w:cs="仿宋_GB2312" w:eastAsia="仿宋_GB2312"/>
        </w:rPr>
        <w:t>详见附件：投标函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详见附件：供应商应提交的相关资格证明材料.docx</w:t>
      </w:r>
    </w:p>
    <w:p>
      <w:pPr>
        <w:pStyle w:val="null3"/>
        <w:ind w:firstLine="960"/>
      </w:pPr>
      <w:r>
        <w:rPr>
          <w:rFonts w:ascii="仿宋_GB2312" w:hAnsi="仿宋_GB2312" w:cs="仿宋_GB2312" w:eastAsia="仿宋_GB2312"/>
        </w:rPr>
        <w:t>详见附件：服务内容及服务邀请应答表</w:t>
      </w:r>
    </w:p>
    <w:p>
      <w:pPr>
        <w:pStyle w:val="null3"/>
        <w:ind w:firstLine="960"/>
      </w:pPr>
      <w:r>
        <w:rPr>
          <w:rFonts w:ascii="仿宋_GB2312" w:hAnsi="仿宋_GB2312" w:cs="仿宋_GB2312" w:eastAsia="仿宋_GB2312"/>
        </w:rPr>
        <w:t>详见附件：商务应答表</w:t>
      </w:r>
    </w:p>
    <w:p>
      <w:pPr>
        <w:pStyle w:val="null3"/>
        <w:ind w:firstLine="960"/>
      </w:pPr>
      <w:r>
        <w:rPr>
          <w:rFonts w:ascii="仿宋_GB2312" w:hAnsi="仿宋_GB2312" w:cs="仿宋_GB2312" w:eastAsia="仿宋_GB2312"/>
        </w:rPr>
        <w:t>详见附件：开标一览表</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详见附件：服务方案</w:t>
      </w:r>
    </w:p>
    <w:p>
      <w:pPr>
        <w:pStyle w:val="null3"/>
        <w:ind w:firstLine="960"/>
      </w:pPr>
      <w:r>
        <w:rPr>
          <w:rFonts w:ascii="仿宋_GB2312" w:hAnsi="仿宋_GB2312" w:cs="仿宋_GB2312" w:eastAsia="仿宋_GB2312"/>
        </w:rPr>
        <w:t>详见附件：业绩.docx</w:t>
      </w:r>
    </w:p>
    <w:p>
      <w:pPr>
        <w:pStyle w:val="null3"/>
        <w:ind w:firstLine="960"/>
      </w:pPr>
      <w:r>
        <w:rPr>
          <w:rFonts w:ascii="仿宋_GB2312" w:hAnsi="仿宋_GB2312" w:cs="仿宋_GB2312" w:eastAsia="仿宋_GB2312"/>
        </w:rPr>
        <w:t>详见附件：其他.docx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第7章 拟签订采购合同文本</w:t>
      </w:r>
    </w:p>
    <w:p>
      <w:pPr>
        <w:pStyle w:val="null3"/>
      </w:pPr>
      <w:r>
        <w:rPr>
          <w:rFonts w:ascii="仿宋_GB2312" w:hAnsi="仿宋_GB2312" w:cs="仿宋_GB2312" w:eastAsia="仿宋_GB2312"/>
        </w:rPr>
        <w:t>详见附件：合同.docx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