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版本号：TWZB2025-106-120250730001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陕西12345省级平台呼叫中心2025年度服务项目(二次)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TWZB2025-106-1</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陕西12345省级平台呼叫中心2025年度服务项目(二次)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陕西12345省级平台呼叫中心2025年度服务项目(二次)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12345”政务服务热线呼叫中心服务采购包括场地租赁、呼叫中心软件平台租赁、管理体系完善、日常运营工作等方面的工作，其中日常运营工作包括团队建立、开展培训、管理团队、培训指导等；全省政务服务热线管理体系包括协助制定管理办法、考核制度、业务流程联动等；辅助全省热线发展相关的重点任务配合实施工作的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授权委托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2023年度或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11、投标保证金交纳凭证：投标保证金交纳凭证（附开户许可证或基本账户存款信息）</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029-88661371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12345”政务服务热线呼叫中心服务采购包括场地租赁、呼叫中心软件平台租赁、管理体系完善、日常运营工作等方面的工作，其中日常运营工作包括团队建立、开展培训、管理团队、培训指导等；全省政务服务热线管理体系包括协助制定管理办法、考核制度、业务流程联动等；辅助全省热线发展相关的重点任务配合实施工作的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5,470,000.00</w:t>
      </w:r>
    </w:p>
    <w:p>
      <w:pPr>
        <w:pStyle w:val="null3"/>
      </w:pPr>
      <w:r>
        <w:rPr>
          <w:rFonts w:ascii="仿宋_GB2312" w:hAnsi="仿宋_GB2312" w:cs="仿宋_GB2312" w:eastAsia="仿宋_GB2312"/>
        </w:rPr>
        <w:t>采购包最高限价（元）: 5,470,000.00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12345平台呼叫中心2025年度服务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标的名称：12345平台呼叫中心2025年度服务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ind w:firstLine="489"/>
              <w:jc w:val="left"/>
            </w:pPr>
            <w:r>
              <w:rPr>
                <w:rFonts w:ascii="仿宋_GB2312" w:hAnsi="仿宋_GB2312" w:cs="仿宋_GB2312" w:eastAsia="仿宋_GB2312"/>
                <w:sz w:val="24"/>
                <w:b/>
              </w:rPr>
              <w:t>招标项目技术、服务</w:t>
            </w:r>
          </w:p>
          <w:p>
            <w:pPr>
              <w:pStyle w:val="null3"/>
              <w:ind w:firstLine="560"/>
              <w:jc w:val="both"/>
            </w:pPr>
            <w:r>
              <w:rPr>
                <w:rFonts w:ascii="仿宋_GB2312" w:hAnsi="仿宋_GB2312" w:cs="仿宋_GB2312" w:eastAsia="仿宋_GB2312"/>
                <w:sz w:val="24"/>
              </w:rPr>
              <w:t>陕西省</w:t>
            </w:r>
            <w:r>
              <w:rPr>
                <w:rFonts w:ascii="仿宋_GB2312" w:hAnsi="仿宋_GB2312" w:cs="仿宋_GB2312" w:eastAsia="仿宋_GB2312"/>
                <w:sz w:val="24"/>
              </w:rPr>
              <w:t>“12345”政务服务热线呼叫中心服务采购包括场地租赁、呼叫中心软件平台租赁、管理体系完善、日常运营工作等方面的工作</w:t>
            </w:r>
            <w:r>
              <w:rPr>
                <w:rFonts w:ascii="仿宋_GB2312" w:hAnsi="仿宋_GB2312" w:cs="仿宋_GB2312" w:eastAsia="仿宋_GB2312"/>
                <w:sz w:val="24"/>
              </w:rPr>
              <w:t>，其中日常运营工作</w:t>
            </w:r>
            <w:r>
              <w:rPr>
                <w:rFonts w:ascii="仿宋_GB2312" w:hAnsi="仿宋_GB2312" w:cs="仿宋_GB2312" w:eastAsia="仿宋_GB2312"/>
                <w:sz w:val="24"/>
              </w:rPr>
              <w:t>包括团队建立、开展培训、管理团队、培训指导等；全省政务服务热线管理体系包括协助制定管理办法、考核制度、业务流程联动等</w:t>
            </w:r>
            <w:r>
              <w:rPr>
                <w:rFonts w:ascii="仿宋_GB2312" w:hAnsi="仿宋_GB2312" w:cs="仿宋_GB2312" w:eastAsia="仿宋_GB2312"/>
                <w:sz w:val="24"/>
              </w:rPr>
              <w:t>；辅助全省热线发展相关的重点任务配合实施工作的开展。</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服务采购内容具体如下：</w:t>
            </w:r>
          </w:p>
          <w:p>
            <w:pPr>
              <w:pStyle w:val="null3"/>
              <w:spacing w:before="210"/>
              <w:ind w:left="30" w:right="75" w:firstLine="428"/>
              <w:jc w:val="both"/>
            </w:pPr>
            <w:r>
              <w:rPr>
                <w:rFonts w:ascii="仿宋_GB2312" w:hAnsi="仿宋_GB2312" w:cs="仿宋_GB2312" w:eastAsia="仿宋_GB2312"/>
                <w:sz w:val="24"/>
              </w:rPr>
              <w:t>1.1场地</w:t>
            </w:r>
            <w:r>
              <w:rPr>
                <w:rFonts w:ascii="仿宋_GB2312" w:hAnsi="仿宋_GB2312" w:cs="仿宋_GB2312" w:eastAsia="仿宋_GB2312"/>
                <w:sz w:val="24"/>
              </w:rPr>
              <w:t>要求</w:t>
            </w:r>
            <w:r>
              <w:rPr>
                <w:rFonts w:ascii="仿宋_GB2312" w:hAnsi="仿宋_GB2312" w:cs="仿宋_GB2312" w:eastAsia="仿宋_GB2312"/>
                <w:sz w:val="24"/>
              </w:rPr>
              <w:t>：提供省</w:t>
            </w:r>
            <w:r>
              <w:rPr>
                <w:rFonts w:ascii="仿宋_GB2312" w:hAnsi="仿宋_GB2312" w:cs="仿宋_GB2312" w:eastAsia="仿宋_GB2312"/>
                <w:sz w:val="24"/>
              </w:rPr>
              <w:t>“12345”呼叫中心场地，场地需与省政府、省政务服务中心之间交通便捷，场地使用面积不小于1500平方米。场地应有独立出入口，可进行安全检查。要有明确的功能区划分，包括不限于：话务区（58个座席，包含手语客服专区）；办公区（独立办公室不少于8个）；会议区（会议室不少于2个，会议室分大、小会议室可具备会议接待、员工培训条件，其中大会议室可容纳50人以上）；减压区（配备相应减压活动器材）；调度区（配备LED 大屏和操作间，需满足隔音降噪要求）；根据现场情况配备文化墙、员工风采、制度流程规范等；另需配备独立机房及场地中的正常办公环境需求（如水、电、暖等）。</w:t>
            </w:r>
          </w:p>
          <w:p>
            <w:pPr>
              <w:pStyle w:val="null3"/>
              <w:spacing w:before="210"/>
              <w:ind w:left="30" w:right="75" w:firstLine="428"/>
              <w:jc w:val="both"/>
            </w:pPr>
            <w:r>
              <w:rPr>
                <w:rFonts w:ascii="仿宋_GB2312" w:hAnsi="仿宋_GB2312" w:cs="仿宋_GB2312" w:eastAsia="仿宋_GB2312"/>
                <w:sz w:val="24"/>
              </w:rPr>
              <w:t>1.2.服务团队要求：要求提供不少于60人服务团队，结合实际话务量情况配置话务团队负责全渠道业务受理、工单分转办理等热线运营工作，要求团队中包含1名懂得手语的客服人员，2名英语客服人员，核心管理团队人员不低于4人包括项目经理、项目主管、专职培训员和质检员，2名现场网络、软硬件维护人员。</w:t>
            </w:r>
          </w:p>
          <w:p>
            <w:pPr>
              <w:pStyle w:val="null3"/>
              <w:ind w:firstLine="560"/>
              <w:jc w:val="both"/>
            </w:pPr>
            <w:r>
              <w:rPr>
                <w:rFonts w:ascii="仿宋_GB2312" w:hAnsi="仿宋_GB2312" w:cs="仿宋_GB2312" w:eastAsia="仿宋_GB2312"/>
                <w:sz w:val="24"/>
              </w:rPr>
              <w:t>1.3 话务平台：平台需具备呼叫排队功能、 一对一接听服务功能、置闲/置忙切换功能、保持/拾回功能、软摘机/软挂机功能、外呼功能、转接及随路转移功能、路由功能、安全 ACD 应用功能、排队通报应用功能、来电弹屏功能、号码隐藏功能、工作时间管理功能、监听、三方通话功能、录音功能、IVR 自动语音导 航功能、中继线路异常告警功能、黑白单比对功能、视频客服应用功能、居家座席服务功能、呼叫中心备份功能、提供支持第三方语音信箱的接口、实时语音流、指定号码优先接入等功能。需具备与陕西12345业务系统平台的对接能力。</w:t>
            </w:r>
          </w:p>
          <w:p>
            <w:pPr>
              <w:pStyle w:val="null3"/>
              <w:spacing w:before="225"/>
              <w:ind w:left="225" w:firstLine="238"/>
              <w:jc w:val="both"/>
            </w:pPr>
            <w:r>
              <w:rPr>
                <w:rFonts w:ascii="仿宋_GB2312" w:hAnsi="仿宋_GB2312" w:cs="仿宋_GB2312" w:eastAsia="仿宋_GB2312"/>
                <w:sz w:val="24"/>
              </w:rPr>
              <w:t>1.4配套资源：工作现场需提供满足客服需求的电脑设备，耳麦，座席桌椅等条件，提供58台电脑设备，每席一台电脑，两台显示屏。办公室相关电脑设备6台、打印传真一体机8台、网络电视10台（≥50英寸）。</w:t>
            </w:r>
          </w:p>
          <w:p>
            <w:pPr>
              <w:pStyle w:val="null3"/>
              <w:spacing w:before="225"/>
              <w:ind w:left="225" w:firstLine="238"/>
              <w:jc w:val="both"/>
            </w:pPr>
            <w:r>
              <w:rPr>
                <w:rFonts w:ascii="仿宋_GB2312" w:hAnsi="仿宋_GB2312" w:cs="仿宋_GB2312" w:eastAsia="仿宋_GB2312"/>
                <w:sz w:val="24"/>
              </w:rPr>
              <w:t>另调度室需配置不小于</w:t>
            </w:r>
            <w:r>
              <w:rPr>
                <w:rFonts w:ascii="仿宋_GB2312" w:hAnsi="仿宋_GB2312" w:cs="仿宋_GB2312" w:eastAsia="仿宋_GB2312"/>
                <w:sz w:val="24"/>
              </w:rPr>
              <w:t>30平方米的全彩无缝 LED 大屏（≤P1.5）。</w:t>
            </w:r>
          </w:p>
          <w:p>
            <w:pPr>
              <w:pStyle w:val="null3"/>
              <w:spacing w:before="225"/>
              <w:ind w:left="15" w:firstLine="460"/>
              <w:jc w:val="both"/>
            </w:pPr>
            <w:r>
              <w:rPr>
                <w:rFonts w:ascii="仿宋_GB2312" w:hAnsi="仿宋_GB2312" w:cs="仿宋_GB2312" w:eastAsia="仿宋_GB2312"/>
                <w:sz w:val="24"/>
              </w:rPr>
              <w:t>提供支持现场运行的网络设备包括不限于：满足办公环境所需的网络交换机、防火墙、路由器、无线控制器</w:t>
            </w:r>
            <w:r>
              <w:rPr>
                <w:rFonts w:ascii="仿宋_GB2312" w:hAnsi="仿宋_GB2312" w:cs="仿宋_GB2312" w:eastAsia="仿宋_GB2312"/>
                <w:sz w:val="24"/>
              </w:rPr>
              <w:t>AC、高密AP、行为管理器、IPS、IDS及千兆光模块等，工作区满足无死角监控要求。</w:t>
            </w:r>
          </w:p>
          <w:p>
            <w:pPr>
              <w:pStyle w:val="null3"/>
              <w:spacing w:before="225"/>
              <w:ind w:left="15" w:firstLine="460"/>
              <w:jc w:val="both"/>
            </w:pPr>
            <w:r>
              <w:rPr>
                <w:rFonts w:ascii="仿宋_GB2312" w:hAnsi="仿宋_GB2312" w:cs="仿宋_GB2312" w:eastAsia="仿宋_GB2312"/>
                <w:sz w:val="24"/>
              </w:rPr>
              <w:t>满足对于</w:t>
            </w:r>
            <w:r>
              <w:rPr>
                <w:rFonts w:ascii="仿宋_GB2312" w:hAnsi="仿宋_GB2312" w:cs="仿宋_GB2312" w:eastAsia="仿宋_GB2312"/>
                <w:sz w:val="24"/>
              </w:rPr>
              <w:t>11个地市12345工作现场的视频监控与调度管理功能。</w:t>
            </w:r>
          </w:p>
          <w:p>
            <w:pPr>
              <w:pStyle w:val="null3"/>
              <w:spacing w:before="225"/>
              <w:ind w:left="15" w:firstLine="460"/>
              <w:jc w:val="both"/>
            </w:pPr>
            <w:r>
              <w:rPr>
                <w:rFonts w:ascii="仿宋_GB2312" w:hAnsi="仿宋_GB2312" w:cs="仿宋_GB2312" w:eastAsia="仿宋_GB2312"/>
                <w:sz w:val="24"/>
              </w:rPr>
              <w:t>提供现场办公专线</w:t>
            </w:r>
            <w:r>
              <w:rPr>
                <w:rFonts w:ascii="仿宋_GB2312" w:hAnsi="仿宋_GB2312" w:cs="仿宋_GB2312" w:eastAsia="仿宋_GB2312"/>
                <w:sz w:val="24"/>
              </w:rPr>
              <w:t>2条，包括互联网宽带专线500M一条，电子政务外网专线200M一条。</w:t>
            </w:r>
          </w:p>
          <w:p>
            <w:pPr>
              <w:pStyle w:val="null3"/>
              <w:spacing w:before="225"/>
              <w:ind w:left="15" w:firstLine="460"/>
              <w:jc w:val="both"/>
            </w:pPr>
            <w:r>
              <w:rPr>
                <w:rFonts w:ascii="仿宋_GB2312" w:hAnsi="仿宋_GB2312" w:cs="仿宋_GB2312" w:eastAsia="仿宋_GB2312"/>
                <w:sz w:val="24"/>
              </w:rPr>
              <w:t>提供运营呼叫中心通讯固话及通讯保障。</w:t>
            </w:r>
          </w:p>
          <w:p>
            <w:pPr>
              <w:pStyle w:val="null3"/>
              <w:ind w:firstLine="480"/>
              <w:jc w:val="both"/>
            </w:pPr>
            <w:r>
              <w:rPr>
                <w:rFonts w:ascii="仿宋_GB2312" w:hAnsi="仿宋_GB2312" w:cs="仿宋_GB2312" w:eastAsia="仿宋_GB2312"/>
                <w:sz w:val="24"/>
              </w:rPr>
              <w:t>提供云资源服务，满足陕西省</w:t>
            </w:r>
            <w:r>
              <w:rPr>
                <w:rFonts w:ascii="仿宋_GB2312" w:hAnsi="仿宋_GB2312" w:cs="仿宋_GB2312" w:eastAsia="仿宋_GB2312"/>
                <w:sz w:val="24"/>
              </w:rPr>
              <w:t>12345热线平台系统所需的部署环境，包含云主机及相关配套设施。</w:t>
            </w:r>
          </w:p>
          <w:tbl>
            <w:tblPr>
              <w:tblBorders>
                <w:top w:val="none" w:color="000000" w:sz="4"/>
                <w:left w:val="none" w:color="000000" w:sz="4"/>
                <w:bottom w:val="none" w:color="000000" w:sz="4"/>
                <w:right w:val="none" w:color="000000" w:sz="4"/>
                <w:insideH w:val="none"/>
                <w:insideV w:val="none"/>
              </w:tblBorders>
            </w:tblPr>
            <w:tblGrid>
              <w:gridCol w:w="315"/>
              <w:gridCol w:w="389"/>
              <w:gridCol w:w="1849"/>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设备名称</w:t>
                  </w:r>
                </w:p>
              </w:tc>
              <w:tc>
                <w:tcPr>
                  <w:tcW w:type="dxa" w:w="1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参数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LED大屏</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像数点间距：</w:t>
                  </w:r>
                  <w:r>
                    <w:rPr>
                      <w:rFonts w:ascii="仿宋_GB2312" w:hAnsi="仿宋_GB2312" w:cs="仿宋_GB2312" w:eastAsia="仿宋_GB2312"/>
                      <w:sz w:val="18"/>
                      <w:color w:val="000000"/>
                    </w:rPr>
                    <w:t>1.5mm</w:t>
                  </w:r>
                </w:p>
                <w:p>
                  <w:pPr>
                    <w:pStyle w:val="null3"/>
                  </w:pP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w:t>
                  </w:r>
                </w:p>
                <w:p>
                  <w:pPr>
                    <w:pStyle w:val="null3"/>
                  </w:pPr>
                  <w:r>
                    <w:rPr>
                      <w:rFonts w:ascii="仿宋_GB2312" w:hAnsi="仿宋_GB2312" w:cs="仿宋_GB2312" w:eastAsia="仿宋_GB2312"/>
                      <w:sz w:val="18"/>
                      <w:color w:val="000000"/>
                    </w:rPr>
                    <w:t>屏幕水平视角：</w:t>
                  </w:r>
                  <w:r>
                    <w:rPr>
                      <w:rFonts w:ascii="仿宋_GB2312" w:hAnsi="仿宋_GB2312" w:cs="仿宋_GB2312" w:eastAsia="仿宋_GB2312"/>
                      <w:sz w:val="18"/>
                      <w:color w:val="000000"/>
                    </w:rPr>
                    <w:t>160±10 度</w:t>
                  </w:r>
                </w:p>
                <w:p>
                  <w:pPr>
                    <w:pStyle w:val="null3"/>
                  </w:pPr>
                  <w:r>
                    <w:rPr>
                      <w:rFonts w:ascii="仿宋_GB2312" w:hAnsi="仿宋_GB2312" w:cs="仿宋_GB2312" w:eastAsia="仿宋_GB2312"/>
                      <w:sz w:val="18"/>
                      <w:color w:val="000000"/>
                    </w:rPr>
                    <w:t>最佳视距：</w:t>
                  </w:r>
                  <w:r>
                    <w:rPr>
                      <w:rFonts w:ascii="仿宋_GB2312" w:hAnsi="仿宋_GB2312" w:cs="仿宋_GB2312" w:eastAsia="仿宋_GB2312"/>
                      <w:sz w:val="18"/>
                      <w:color w:val="000000"/>
                    </w:rPr>
                    <w:t>1.6m</w:t>
                  </w:r>
                </w:p>
                <w:p>
                  <w:pPr>
                    <w:pStyle w:val="null3"/>
                  </w:pPr>
                  <w:r>
                    <w:rPr>
                      <w:rFonts w:ascii="仿宋_GB2312" w:hAnsi="仿宋_GB2312" w:cs="仿宋_GB2312" w:eastAsia="仿宋_GB2312"/>
                      <w:sz w:val="18"/>
                      <w:color w:val="000000"/>
                    </w:rPr>
                    <w:t>使用寿命：</w:t>
                  </w:r>
                  <w:r>
                    <w:rPr>
                      <w:rFonts w:ascii="仿宋_GB2312" w:hAnsi="仿宋_GB2312" w:cs="仿宋_GB2312" w:eastAsia="仿宋_GB2312"/>
                      <w:sz w:val="18"/>
                      <w:color w:val="000000"/>
                    </w:rPr>
                    <w:t>10 万小时</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座席硬件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电脑：</w:t>
                  </w:r>
                  <w:r>
                    <w:rPr>
                      <w:rFonts w:ascii="仿宋_GB2312" w:hAnsi="仿宋_GB2312" w:cs="仿宋_GB2312" w:eastAsia="仿宋_GB2312"/>
                      <w:sz w:val="18"/>
                      <w:color w:val="000000"/>
                    </w:rPr>
                    <w:t>i5 8100,4G,1T+256G</w:t>
                  </w:r>
                </w:p>
                <w:p>
                  <w:pPr>
                    <w:pStyle w:val="null3"/>
                  </w:pPr>
                  <w:r>
                    <w:rPr>
                      <w:rFonts w:ascii="仿宋_GB2312" w:hAnsi="仿宋_GB2312" w:cs="仿宋_GB2312" w:eastAsia="仿宋_GB2312"/>
                      <w:sz w:val="18"/>
                      <w:color w:val="000000"/>
                    </w:rPr>
                    <w:t>SSD 无光驱， win10pro 操作系统 21.5 寸双显示器</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座席耳麦</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头戴式单耳型声导管耳麦</w:t>
                  </w:r>
                </w:p>
                <w:p>
                  <w:pPr>
                    <w:pStyle w:val="null3"/>
                  </w:pPr>
                  <w:r>
                    <w:rPr>
                      <w:rFonts w:ascii="仿宋_GB2312" w:hAnsi="仿宋_GB2312" w:cs="仿宋_GB2312" w:eastAsia="仿宋_GB2312"/>
                      <w:sz w:val="18"/>
                    </w:rPr>
                    <w:t>麦克风性能：降噪麦克风</w:t>
                  </w:r>
                </w:p>
                <w:p>
                  <w:pPr>
                    <w:pStyle w:val="null3"/>
                  </w:pPr>
                  <w:r>
                    <w:rPr>
                      <w:rFonts w:ascii="仿宋_GB2312" w:hAnsi="仿宋_GB2312" w:cs="仿宋_GB2312" w:eastAsia="仿宋_GB2312"/>
                      <w:sz w:val="18"/>
                    </w:rPr>
                    <w:t>插头</w:t>
                  </w:r>
                  <w:r>
                    <w:rPr>
                      <w:rFonts w:ascii="仿宋_GB2312" w:hAnsi="仿宋_GB2312" w:cs="仿宋_GB2312" w:eastAsia="仿宋_GB2312"/>
                      <w:sz w:val="18"/>
                    </w:rPr>
                    <w:t>/接口：3.5mm立体声镀金声卡插头</w:t>
                  </w:r>
                </w:p>
                <w:p>
                  <w:pPr>
                    <w:pStyle w:val="null3"/>
                  </w:pPr>
                  <w:r>
                    <w:rPr>
                      <w:rFonts w:ascii="仿宋_GB2312" w:hAnsi="仿宋_GB2312" w:cs="仿宋_GB2312" w:eastAsia="仿宋_GB2312"/>
                      <w:sz w:val="18"/>
                    </w:rPr>
                    <w:t>电缆长度：声卡</w:t>
                  </w:r>
                  <w:r>
                    <w:rPr>
                      <w:rFonts w:ascii="仿宋_GB2312" w:hAnsi="仿宋_GB2312" w:cs="仿宋_GB2312" w:eastAsia="仿宋_GB2312"/>
                      <w:sz w:val="18"/>
                    </w:rPr>
                    <w:t>-在线静音开关1700米±20mm，在线静音开关-耳麦600mm±20mm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4</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网络环境</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24 口核心网络交换机（1、交换容量336Gbps，包转发率108Mpps； 2、24 个 10/100/1000BAS E-T 电口(支持PoE+),4 个千兆 SFP 端口）</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5</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48 口接入交换机 （1、交换容量 336Gbps，包转发率 108Mpps；2、 48 个 10/100/1000BAS E-T 电口(支持PoE+),4 个千兆 SFP 端口）</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6</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千兆光模块（传输速率</w:t>
                  </w:r>
                  <w:r>
                    <w:rPr>
                      <w:rFonts w:ascii="仿宋_GB2312" w:hAnsi="仿宋_GB2312" w:cs="仿宋_GB2312" w:eastAsia="仿宋_GB2312"/>
                      <w:sz w:val="18"/>
                      <w:color w:val="000000"/>
                    </w:rPr>
                    <w:t>1.25G，波长 1310nm，单模双纤）</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7</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室内吸顶</w:t>
                  </w:r>
                  <w:r>
                    <w:rPr>
                      <w:rFonts w:ascii="仿宋_GB2312" w:hAnsi="仿宋_GB2312" w:cs="仿宋_GB2312" w:eastAsia="仿宋_GB2312"/>
                      <w:sz w:val="18"/>
                      <w:color w:val="000000"/>
                    </w:rPr>
                    <w:t>AP（1、采用整机三射频六流设计，可同时工作在</w:t>
                  </w:r>
                </w:p>
                <w:p>
                  <w:pPr>
                    <w:pStyle w:val="null3"/>
                  </w:pPr>
                  <w:r>
                    <w:rPr>
                      <w:rFonts w:ascii="仿宋_GB2312" w:hAnsi="仿宋_GB2312" w:cs="仿宋_GB2312" w:eastAsia="仿宋_GB2312"/>
                      <w:sz w:val="18"/>
                      <w:color w:val="000000"/>
                    </w:rPr>
                    <w:t>802.11a/b/g/n/ac/ac wave2 模式；2、整机协商速率2133Mbps；3、 2 个10/100/1000Mbps(RJ45)，1 个接口支持 POE in，1个接口支持 IoT扩展；）</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8</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防火墙</w:t>
                  </w:r>
                </w:p>
                <w:p>
                  <w:pPr>
                    <w:pStyle w:val="null3"/>
                  </w:pPr>
                  <w:r>
                    <w:rPr>
                      <w:rFonts w:ascii="仿宋_GB2312" w:hAnsi="仿宋_GB2312" w:cs="仿宋_GB2312" w:eastAsia="仿宋_GB2312"/>
                      <w:sz w:val="18"/>
                      <w:color w:val="000000"/>
                    </w:rPr>
                    <w:t>架构：非</w:t>
                  </w:r>
                  <w:r>
                    <w:rPr>
                      <w:rFonts w:ascii="仿宋_GB2312" w:hAnsi="仿宋_GB2312" w:cs="仿宋_GB2312" w:eastAsia="仿宋_GB2312"/>
                      <w:sz w:val="18"/>
                      <w:color w:val="000000"/>
                    </w:rPr>
                    <w:t>X86 多核，冗余电源。</w:t>
                  </w:r>
                </w:p>
                <w:p>
                  <w:pPr>
                    <w:pStyle w:val="null3"/>
                  </w:pPr>
                  <w:r>
                    <w:rPr>
                      <w:rFonts w:ascii="仿宋_GB2312" w:hAnsi="仿宋_GB2312" w:cs="仿宋_GB2312" w:eastAsia="仿宋_GB2312"/>
                      <w:sz w:val="18"/>
                      <w:color w:val="000000"/>
                    </w:rPr>
                    <w:t>接口：</w:t>
                  </w:r>
                  <w:r>
                    <w:rPr>
                      <w:rFonts w:ascii="仿宋_GB2312" w:hAnsi="仿宋_GB2312" w:cs="仿宋_GB2312" w:eastAsia="仿宋_GB2312"/>
                      <w:sz w:val="18"/>
                      <w:color w:val="000000"/>
                    </w:rPr>
                    <w:t>8 千兆电、2 Combo、2 Bypass 、1 Console、2 USB，支持扩展。</w:t>
                  </w:r>
                </w:p>
                <w:p>
                  <w:pPr>
                    <w:pStyle w:val="null3"/>
                  </w:pPr>
                  <w:r>
                    <w:rPr>
                      <w:rFonts w:ascii="仿宋_GB2312" w:hAnsi="仿宋_GB2312" w:cs="仿宋_GB2312" w:eastAsia="仿宋_GB2312"/>
                      <w:sz w:val="18"/>
                      <w:color w:val="000000"/>
                    </w:rPr>
                    <w:t>性能：吞吐量（大包）</w:t>
                  </w:r>
                  <w:r>
                    <w:rPr>
                      <w:rFonts w:ascii="仿宋_GB2312" w:hAnsi="仿宋_GB2312" w:cs="仿宋_GB2312" w:eastAsia="仿宋_GB2312"/>
                      <w:sz w:val="18"/>
                      <w:color w:val="000000"/>
                    </w:rPr>
                    <w:t>1Gbps，并发连接100 万，新建连接2万/秒，SSLVPN 并发750 用户，IPSecVPN 隧道750 条。</w:t>
                  </w:r>
                </w:p>
                <w:p>
                  <w:pPr>
                    <w:pStyle w:val="null3"/>
                  </w:pPr>
                  <w:r>
                    <w:rPr>
                      <w:rFonts w:ascii="仿宋_GB2312" w:hAnsi="仿宋_GB2312" w:cs="仿宋_GB2312" w:eastAsia="仿宋_GB2312"/>
                      <w:sz w:val="18"/>
                      <w:color w:val="000000"/>
                    </w:rPr>
                    <w:t>NAT：支持动态探测与地址分配。</w:t>
                  </w:r>
                </w:p>
                <w:p>
                  <w:pPr>
                    <w:pStyle w:val="null3"/>
                  </w:pPr>
                  <w:r>
                    <w:rPr>
                      <w:rFonts w:ascii="仿宋_GB2312" w:hAnsi="仿宋_GB2312" w:cs="仿宋_GB2312" w:eastAsia="仿宋_GB2312"/>
                      <w:sz w:val="18"/>
                      <w:color w:val="000000"/>
                    </w:rPr>
                    <w:t>应用识别：</w:t>
                  </w:r>
                  <w:r>
                    <w:rPr>
                      <w:rFonts w:ascii="仿宋_GB2312" w:hAnsi="仿宋_GB2312" w:cs="仿宋_GB2312" w:eastAsia="仿宋_GB2312"/>
                      <w:sz w:val="18"/>
                      <w:color w:val="000000"/>
                    </w:rPr>
                    <w:t>3000 种，可精细识别微信、QQ 等应用内容。</w:t>
                  </w:r>
                </w:p>
                <w:p>
                  <w:pPr>
                    <w:pStyle w:val="null3"/>
                  </w:pPr>
                  <w:r>
                    <w:rPr>
                      <w:rFonts w:ascii="仿宋_GB2312" w:hAnsi="仿宋_GB2312" w:cs="仿宋_GB2312" w:eastAsia="仿宋_GB2312"/>
                      <w:sz w:val="18"/>
                      <w:color w:val="000000"/>
                    </w:rPr>
                    <w:t>DNS：支持透明代理与负载均衡转发，平衡带宽。</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9</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IDS 方面：</w:t>
                  </w:r>
                </w:p>
                <w:p>
                  <w:pPr>
                    <w:pStyle w:val="null3"/>
                  </w:pPr>
                  <w:r>
                    <w:rPr>
                      <w:rFonts w:ascii="仿宋_GB2312" w:hAnsi="仿宋_GB2312" w:cs="仿宋_GB2312" w:eastAsia="仿宋_GB2312"/>
                      <w:sz w:val="18"/>
                      <w:color w:val="000000"/>
                    </w:rPr>
                    <w:t>端口：含千兆电、光口，万兆光口，有扩展插槽。</w:t>
                  </w:r>
                </w:p>
                <w:p>
                  <w:pPr>
                    <w:pStyle w:val="null3"/>
                  </w:pPr>
                  <w:r>
                    <w:rPr>
                      <w:rFonts w:ascii="仿宋_GB2312" w:hAnsi="仿宋_GB2312" w:cs="仿宋_GB2312" w:eastAsia="仿宋_GB2312"/>
                      <w:sz w:val="18"/>
                      <w:color w:val="000000"/>
                    </w:rPr>
                    <w:t>部署：支持路由、透明、混合模式。</w:t>
                  </w:r>
                </w:p>
                <w:p>
                  <w:pPr>
                    <w:pStyle w:val="null3"/>
                  </w:pPr>
                  <w:r>
                    <w:rPr>
                      <w:rFonts w:ascii="仿宋_GB2312" w:hAnsi="仿宋_GB2312" w:cs="仿宋_GB2312" w:eastAsia="仿宋_GB2312"/>
                      <w:sz w:val="18"/>
                      <w:color w:val="000000"/>
                    </w:rPr>
                    <w:t>防护：防畸形包、</w:t>
                  </w:r>
                  <w:r>
                    <w:rPr>
                      <w:rFonts w:ascii="仿宋_GB2312" w:hAnsi="仿宋_GB2312" w:cs="仿宋_GB2312" w:eastAsia="仿宋_GB2312"/>
                      <w:sz w:val="18"/>
                      <w:color w:val="000000"/>
                    </w:rPr>
                    <w:t>DDOS 等，能升级、回滚及自定义 IPS 特征库，检测应用层病毒，有数据、文件过滤等功能，支持 IPV6 及相关技术，具备虚拟化能力。</w:t>
                  </w:r>
                </w:p>
                <w:p>
                  <w:pPr>
                    <w:pStyle w:val="null3"/>
                  </w:pPr>
                  <w:r>
                    <w:rPr>
                      <w:rFonts w:ascii="仿宋_GB2312" w:hAnsi="仿宋_GB2312" w:cs="仿宋_GB2312" w:eastAsia="仿宋_GB2312"/>
                      <w:sz w:val="18"/>
                      <w:color w:val="000000"/>
                    </w:rPr>
                    <w:t>管理：可用</w:t>
                  </w:r>
                  <w:r>
                    <w:rPr>
                      <w:rFonts w:ascii="仿宋_GB2312" w:hAnsi="仿宋_GB2312" w:cs="仿宋_GB2312" w:eastAsia="仿宋_GB2312"/>
                      <w:sz w:val="18"/>
                      <w:color w:val="000000"/>
                    </w:rPr>
                    <w:t>Web - GUI、CLI、SSH 等管理，配 SSM 平台，支持 IPV6 管理。</w:t>
                  </w:r>
                </w:p>
                <w:p>
                  <w:pPr>
                    <w:pStyle w:val="null3"/>
                  </w:pPr>
                  <w:r>
                    <w:rPr>
                      <w:rFonts w:ascii="仿宋_GB2312" w:hAnsi="仿宋_GB2312" w:cs="仿宋_GB2312" w:eastAsia="仿宋_GB2312"/>
                      <w:sz w:val="18"/>
                      <w:color w:val="000000"/>
                    </w:rPr>
                    <w:t>IPS 方面：</w:t>
                  </w:r>
                </w:p>
                <w:p>
                  <w:pPr>
                    <w:pStyle w:val="null3"/>
                  </w:pPr>
                  <w:r>
                    <w:rPr>
                      <w:rFonts w:ascii="仿宋_GB2312" w:hAnsi="仿宋_GB2312" w:cs="仿宋_GB2312" w:eastAsia="仿宋_GB2312"/>
                      <w:sz w:val="18"/>
                      <w:color w:val="000000"/>
                    </w:rPr>
                    <w:t>VPN：支持多种，如 L2TP、IPSec 等。</w:t>
                  </w:r>
                </w:p>
                <w:p>
                  <w:pPr>
                    <w:pStyle w:val="null3"/>
                  </w:pPr>
                  <w:r>
                    <w:rPr>
                      <w:rFonts w:ascii="仿宋_GB2312" w:hAnsi="仿宋_GB2312" w:cs="仿宋_GB2312" w:eastAsia="仿宋_GB2312"/>
                      <w:sz w:val="18"/>
                      <w:color w:val="000000"/>
                    </w:rPr>
                    <w:t>配置：命令行与</w:t>
                  </w:r>
                  <w:r>
                    <w:rPr>
                      <w:rFonts w:ascii="仿宋_GB2312" w:hAnsi="仿宋_GB2312" w:cs="仿宋_GB2312" w:eastAsia="仿宋_GB2312"/>
                      <w:sz w:val="18"/>
                      <w:color w:val="000000"/>
                    </w:rPr>
                    <w:t>Web 方式均可操作。</w:t>
                  </w:r>
                </w:p>
                <w:p>
                  <w:pPr>
                    <w:pStyle w:val="null3"/>
                  </w:pPr>
                  <w:r>
                    <w:rPr>
                      <w:rFonts w:ascii="仿宋_GB2312" w:hAnsi="仿宋_GB2312" w:cs="仿宋_GB2312" w:eastAsia="仿宋_GB2312"/>
                      <w:sz w:val="18"/>
                      <w:color w:val="000000"/>
                    </w:rPr>
                    <w:t>网管：兼容</w:t>
                  </w:r>
                  <w:r>
                    <w:rPr>
                      <w:rFonts w:ascii="仿宋_GB2312" w:hAnsi="仿宋_GB2312" w:cs="仿宋_GB2312" w:eastAsia="仿宋_GB2312"/>
                      <w:sz w:val="18"/>
                      <w:color w:val="000000"/>
                    </w:rPr>
                    <w:t>SNMPv1 - v3。</w:t>
                  </w:r>
                </w:p>
                <w:p>
                  <w:pPr>
                    <w:pStyle w:val="null3"/>
                  </w:pPr>
                  <w:r>
                    <w:rPr>
                      <w:rFonts w:ascii="仿宋_GB2312" w:hAnsi="仿宋_GB2312" w:cs="仿宋_GB2312" w:eastAsia="仿宋_GB2312"/>
                      <w:sz w:val="18"/>
                      <w:color w:val="000000"/>
                    </w:rPr>
                    <w:t>认证：涵盖</w:t>
                  </w:r>
                  <w:r>
                    <w:rPr>
                      <w:rFonts w:ascii="仿宋_GB2312" w:hAnsi="仿宋_GB2312" w:cs="仿宋_GB2312" w:eastAsia="仿宋_GB2312"/>
                      <w:sz w:val="18"/>
                      <w:color w:val="000000"/>
                    </w:rPr>
                    <w:t>Portal、RADIUS 等多种。</w:t>
                  </w:r>
                </w:p>
                <w:p>
                  <w:pPr>
                    <w:pStyle w:val="null3"/>
                  </w:pPr>
                  <w:r>
                    <w:rPr>
                      <w:rFonts w:ascii="仿宋_GB2312" w:hAnsi="仿宋_GB2312" w:cs="仿宋_GB2312" w:eastAsia="仿宋_GB2312"/>
                      <w:sz w:val="18"/>
                      <w:color w:val="000000"/>
                    </w:rPr>
                    <w:t>硬件：</w:t>
                  </w:r>
                  <w:r>
                    <w:rPr>
                      <w:rFonts w:ascii="仿宋_GB2312" w:hAnsi="仿宋_GB2312" w:cs="仿宋_GB2312" w:eastAsia="仿宋_GB2312"/>
                      <w:sz w:val="18"/>
                      <w:color w:val="000000"/>
                    </w:rPr>
                    <w:t>64 位多核处理器，硬盘可扩展，运行模式多样。</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10</w:t>
                  </w:r>
                </w:p>
              </w:tc>
              <w:tc>
                <w:tcPr>
                  <w:tcW w:type="dxa" w:w="389"/>
                  <w:vMerge/>
                  <w:tcBorders>
                    <w:top w:val="none" w:color="000000" w:sz="4"/>
                    <w:left w:val="none" w:color="000000" w:sz="4"/>
                    <w:bottom w:val="single" w:color="000000" w:sz="4"/>
                    <w:right w:val="single" w:color="000000" w:sz="4"/>
                  </w:tcBorders>
                </w:tc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行为管理专用设备（</w:t>
                  </w:r>
                  <w:r>
                    <w:rPr>
                      <w:rFonts w:ascii="仿宋_GB2312" w:hAnsi="仿宋_GB2312" w:cs="仿宋_GB2312" w:eastAsia="仿宋_GB2312"/>
                      <w:sz w:val="18"/>
                      <w:color w:val="000000"/>
                    </w:rPr>
                    <w:t>2U 机架设备, 设备吞吐量：三层 2Gbps/七层800Mbps；WAN 口带宽支持（功能全开情况）：80M ；建议用户数：500 人；10GE电口+4GE Combo）</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室内监控系统</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网络高清红外球机、安装支架、电源适配器、</w:t>
                  </w:r>
                  <w:r>
                    <w:rPr>
                      <w:rFonts w:ascii="仿宋_GB2312" w:hAnsi="仿宋_GB2312" w:cs="仿宋_GB2312" w:eastAsia="仿宋_GB2312"/>
                      <w:sz w:val="18"/>
                      <w:color w:val="000000"/>
                    </w:rPr>
                    <w:t>4 路网络高清硬盘录像机、视频专用硬盘，工作区内无死角监控，监控视频存储 3 个月。</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打印传真一体机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彩色激光复印扫描打印传真</w:t>
                  </w:r>
                </w:p>
                <w:p>
                  <w:pPr>
                    <w:pStyle w:val="null3"/>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:600x600dpi；打印速度黑白(正常模式，A4):21页/分钟；彩色(正常模式，A4):高达21页/分钟；多功能:打印扫描复印传真；类型:彩色激光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电视机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≧50英寸，分辨率4K（3840*2160），面板类型：LED；带HDMI接口、UBS接口；安装方式：支持壁挂</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音响设备</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手持麦、立麦，多组音箱，满足线下培训会议和全省线上会议；功率</w:t>
                  </w:r>
                  <w:r>
                    <w:rPr>
                      <w:rFonts w:ascii="仿宋_GB2312" w:hAnsi="仿宋_GB2312" w:cs="仿宋_GB2312" w:eastAsia="仿宋_GB2312"/>
                      <w:sz w:val="18"/>
                      <w:color w:val="000000"/>
                    </w:rPr>
                    <w:t>≥300W ，2-4只吸顶音箱</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15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仿宋_GB2312" w:hAnsi="仿宋_GB2312" w:cs="仿宋_GB2312" w:eastAsia="仿宋_GB2312"/>
                      <w:sz w:val="18"/>
                    </w:rPr>
                    <w:t>其他设备</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冰箱：冷藏室容量</w:t>
                  </w:r>
                  <w:r>
                    <w:rPr>
                      <w:rFonts w:ascii="仿宋_GB2312" w:hAnsi="仿宋_GB2312" w:cs="仿宋_GB2312" w:eastAsia="仿宋_GB2312"/>
                      <w:sz w:val="18"/>
                      <w:color w:val="000000"/>
                    </w:rPr>
                    <w:t>100L（满足团队使用）</w:t>
                  </w:r>
                </w:p>
                <w:p>
                  <w:pPr>
                    <w:pStyle w:val="null3"/>
                  </w:pPr>
                  <w:r>
                    <w:rPr>
                      <w:rFonts w:ascii="仿宋_GB2312" w:hAnsi="仿宋_GB2312" w:cs="仿宋_GB2312" w:eastAsia="仿宋_GB2312"/>
                      <w:sz w:val="18"/>
                      <w:color w:val="000000"/>
                    </w:rPr>
                    <w:t>饮水机：功率不得超过</w:t>
                  </w:r>
                  <w:r>
                    <w:rPr>
                      <w:rFonts w:ascii="仿宋_GB2312" w:hAnsi="仿宋_GB2312" w:cs="仿宋_GB2312" w:eastAsia="仿宋_GB2312"/>
                      <w:sz w:val="18"/>
                      <w:color w:val="000000"/>
                    </w:rPr>
                    <w:t>1200千瓦时（满足团队使用）</w:t>
                  </w:r>
                </w:p>
              </w:tc>
            </w:tr>
          </w:tbl>
          <w:p>
            <w:pPr>
              <w:pStyle w:val="null3"/>
              <w:spacing w:before="225"/>
              <w:ind w:left="15" w:firstLine="460"/>
              <w:jc w:val="both"/>
            </w:pPr>
            <w:r>
              <w:rPr>
                <w:rFonts w:ascii="仿宋_GB2312" w:hAnsi="仿宋_GB2312" w:cs="仿宋_GB2312" w:eastAsia="仿宋_GB2312"/>
                <w:sz w:val="24"/>
              </w:rPr>
              <w:t>1.5数据分析要求：具备数据分析、挖掘能力，提供日常的数据分析报告。深挖数据价值，分析难点痛点辅助科学决策。报告不限于月报、年报、专报、线索提供等；其中热线月报：要求每月1期；营商环境月报：每月一期；年报：热线年报、营商环境年报、人民网年报各一份，其他专报及线索根据招标方需求提供。</w:t>
            </w:r>
          </w:p>
          <w:p>
            <w:pPr>
              <w:pStyle w:val="null3"/>
              <w:ind w:firstLine="480"/>
              <w:jc w:val="both"/>
            </w:pPr>
            <w:r>
              <w:rPr>
                <w:rFonts w:ascii="仿宋_GB2312" w:hAnsi="仿宋_GB2312" w:cs="仿宋_GB2312" w:eastAsia="仿宋_GB2312"/>
                <w:sz w:val="24"/>
              </w:rPr>
              <w:t>1.6重点工作配合实施：供应商需协助采购人推进人工智能相关工作及“接诉即办”、热线归并优化等重点工作任务实施。</w:t>
            </w:r>
          </w:p>
          <w:p>
            <w:pPr>
              <w:pStyle w:val="null3"/>
              <w:ind w:firstLine="480"/>
              <w:jc w:val="both"/>
            </w:pPr>
            <w:r>
              <w:rPr>
                <w:rFonts w:ascii="仿宋_GB2312" w:hAnsi="仿宋_GB2312" w:cs="仿宋_GB2312" w:eastAsia="仿宋_GB2312"/>
                <w:sz w:val="24"/>
              </w:rPr>
              <w:t>1.7 后勤保障：提供5个专用停车位，供应商需开放本单位员工食堂，保障项目人员就餐需求。</w:t>
            </w:r>
          </w:p>
          <w:p>
            <w:pPr>
              <w:pStyle w:val="null3"/>
              <w:spacing w:before="90" w:after="90"/>
              <w:jc w:val="both"/>
            </w:pPr>
            <w:r>
              <w:rPr>
                <w:rFonts w:ascii="仿宋_GB2312" w:hAnsi="仿宋_GB2312" w:cs="仿宋_GB2312" w:eastAsia="仿宋_GB2312"/>
                <w:sz w:val="24"/>
                <w:b/>
              </w:rPr>
              <w:t>2、运营具体要求</w:t>
            </w:r>
          </w:p>
          <w:p>
            <w:pPr>
              <w:pStyle w:val="null3"/>
              <w:spacing w:before="255" w:after="255"/>
              <w:jc w:val="both"/>
            </w:pPr>
            <w:r>
              <w:rPr>
                <w:rFonts w:ascii="仿宋_GB2312" w:hAnsi="仿宋_GB2312" w:cs="仿宋_GB2312" w:eastAsia="仿宋_GB2312"/>
                <w:sz w:val="24"/>
                <w:b/>
              </w:rPr>
              <w:t>2.1运营管理要求</w:t>
            </w:r>
          </w:p>
          <w:p>
            <w:pPr>
              <w:pStyle w:val="null3"/>
            </w:pPr>
            <w:r>
              <w:rPr>
                <w:rFonts w:ascii="仿宋_GB2312" w:hAnsi="仿宋_GB2312" w:cs="仿宋_GB2312" w:eastAsia="仿宋_GB2312"/>
                <w:sz w:val="24"/>
              </w:rPr>
              <w:t>2.1.1</w:t>
            </w:r>
            <w:r>
              <w:rPr>
                <w:rFonts w:ascii="仿宋_GB2312" w:hAnsi="仿宋_GB2312" w:cs="仿宋_GB2312" w:eastAsia="仿宋_GB2312"/>
                <w:sz w:val="24"/>
              </w:rPr>
              <w:t>具备规范、完善的服务处理流程。</w:t>
            </w:r>
          </w:p>
          <w:p>
            <w:pPr>
              <w:pStyle w:val="null3"/>
            </w:pPr>
            <w:r>
              <w:rPr>
                <w:rFonts w:ascii="仿宋_GB2312" w:hAnsi="仿宋_GB2312" w:cs="仿宋_GB2312" w:eastAsia="仿宋_GB2312"/>
                <w:sz w:val="24"/>
              </w:rPr>
              <w:t>2.1.2</w:t>
            </w:r>
            <w:r>
              <w:rPr>
                <w:rFonts w:ascii="仿宋_GB2312" w:hAnsi="仿宋_GB2312" w:cs="仿宋_GB2312" w:eastAsia="仿宋_GB2312"/>
                <w:sz w:val="24"/>
              </w:rPr>
              <w:t>保密要求，平台信息为政府重要信息，</w:t>
            </w:r>
            <w:r>
              <w:rPr>
                <w:rFonts w:ascii="仿宋_GB2312" w:hAnsi="仿宋_GB2312" w:cs="仿宋_GB2312" w:eastAsia="仿宋_GB2312"/>
                <w:sz w:val="24"/>
              </w:rPr>
              <w:t>供应商</w:t>
            </w:r>
            <w:r>
              <w:rPr>
                <w:rFonts w:ascii="仿宋_GB2312" w:hAnsi="仿宋_GB2312" w:cs="仿宋_GB2312" w:eastAsia="仿宋_GB2312"/>
                <w:sz w:val="24"/>
              </w:rPr>
              <w:t>必须保证系统和座席的信息安全，防止黑客攻击和人为信息泄露。座席必须屏蔽</w:t>
            </w:r>
            <w:r>
              <w:rPr>
                <w:rFonts w:ascii="仿宋_GB2312" w:hAnsi="仿宋_GB2312" w:cs="仿宋_GB2312" w:eastAsia="仿宋_GB2312"/>
                <w:sz w:val="24"/>
              </w:rPr>
              <w:t>U口，防止人为拷贝数据。须具备完善的信息安全保障体系，保障信息安全。</w:t>
            </w:r>
          </w:p>
          <w:p>
            <w:pPr>
              <w:pStyle w:val="null3"/>
            </w:pPr>
            <w:r>
              <w:rPr>
                <w:rFonts w:ascii="仿宋_GB2312" w:hAnsi="仿宋_GB2312" w:cs="仿宋_GB2312" w:eastAsia="仿宋_GB2312"/>
                <w:sz w:val="24"/>
              </w:rPr>
              <w:t>2.1.3</w:t>
            </w:r>
            <w:r>
              <w:rPr>
                <w:rFonts w:ascii="仿宋_GB2312" w:hAnsi="仿宋_GB2312" w:cs="仿宋_GB2312" w:eastAsia="仿宋_GB2312"/>
                <w:sz w:val="24"/>
              </w:rPr>
              <w:t>要求</w:t>
            </w:r>
            <w:r>
              <w:rPr>
                <w:rFonts w:ascii="仿宋_GB2312" w:hAnsi="仿宋_GB2312" w:cs="仿宋_GB2312" w:eastAsia="仿宋_GB2312"/>
                <w:sz w:val="24"/>
              </w:rPr>
              <w:t>供应商</w:t>
            </w:r>
            <w:r>
              <w:rPr>
                <w:rFonts w:ascii="仿宋_GB2312" w:hAnsi="仿宋_GB2312" w:cs="仿宋_GB2312" w:eastAsia="仿宋_GB2312"/>
                <w:sz w:val="24"/>
              </w:rPr>
              <w:t>通过服务能力、服务质量、服务效率、客户满意等方面进行考核和管理，在投标文件中提供具体运营管理制度和绩效考核方案供参考。指标不低于国家对政务服务热线的服务标准。</w:t>
            </w:r>
          </w:p>
          <w:p>
            <w:pPr>
              <w:pStyle w:val="null3"/>
              <w:spacing w:before="255" w:after="255"/>
              <w:jc w:val="both"/>
            </w:pPr>
            <w:r>
              <w:rPr>
                <w:rFonts w:ascii="仿宋_GB2312" w:hAnsi="仿宋_GB2312" w:cs="仿宋_GB2312" w:eastAsia="仿宋_GB2312"/>
                <w:sz w:val="24"/>
                <w:b/>
              </w:rPr>
              <w:t>2.2质量要求</w:t>
            </w:r>
          </w:p>
          <w:p>
            <w:pPr>
              <w:pStyle w:val="null3"/>
            </w:pPr>
            <w:r>
              <w:rPr>
                <w:rFonts w:ascii="仿宋_GB2312" w:hAnsi="仿宋_GB2312" w:cs="仿宋_GB2312" w:eastAsia="仿宋_GB2312"/>
                <w:sz w:val="24"/>
              </w:rPr>
              <w:t>2.2.1</w:t>
            </w:r>
            <w:r>
              <w:rPr>
                <w:rFonts w:ascii="仿宋_GB2312" w:hAnsi="仿宋_GB2312" w:cs="仿宋_GB2312" w:eastAsia="仿宋_GB2312"/>
                <w:sz w:val="24"/>
              </w:rPr>
              <w:t>保证话务人员日常工作、运营管理等均符合招标文件要求，满足呼叫中心运营所需。</w:t>
            </w:r>
          </w:p>
          <w:p>
            <w:pPr>
              <w:pStyle w:val="null3"/>
            </w:pPr>
            <w:r>
              <w:rPr>
                <w:rFonts w:ascii="仿宋_GB2312" w:hAnsi="仿宋_GB2312" w:cs="仿宋_GB2312" w:eastAsia="仿宋_GB2312"/>
                <w:sz w:val="24"/>
              </w:rPr>
              <w:t>2.2.2</w:t>
            </w:r>
            <w:r>
              <w:rPr>
                <w:rFonts w:ascii="仿宋_GB2312" w:hAnsi="仿宋_GB2312" w:cs="仿宋_GB2312" w:eastAsia="仿宋_GB2312"/>
                <w:sz w:val="24"/>
              </w:rPr>
              <w:t>保证提供服务人员在进行培训考核合格后方可上岗。</w:t>
            </w:r>
          </w:p>
          <w:p>
            <w:pPr>
              <w:pStyle w:val="null3"/>
            </w:pPr>
            <w:r>
              <w:rPr>
                <w:rFonts w:ascii="仿宋_GB2312" w:hAnsi="仿宋_GB2312" w:cs="仿宋_GB2312" w:eastAsia="仿宋_GB2312"/>
                <w:sz w:val="24"/>
              </w:rPr>
              <w:t>2.2.3</w:t>
            </w:r>
            <w:r>
              <w:rPr>
                <w:rFonts w:ascii="仿宋_GB2312" w:hAnsi="仿宋_GB2312" w:cs="仿宋_GB2312" w:eastAsia="仿宋_GB2312"/>
                <w:sz w:val="24"/>
              </w:rPr>
              <w:t>保证投标时所采用的解决方案的完整性、实用性，符合招标文件和国家相关标准和规范要求。</w:t>
            </w:r>
          </w:p>
          <w:p>
            <w:pPr>
              <w:pStyle w:val="null3"/>
            </w:pPr>
            <w:r>
              <w:rPr>
                <w:rFonts w:ascii="仿宋_GB2312" w:hAnsi="仿宋_GB2312" w:cs="仿宋_GB2312" w:eastAsia="仿宋_GB2312"/>
                <w:sz w:val="24"/>
              </w:rPr>
              <w:t>2.2.4</w:t>
            </w:r>
            <w:r>
              <w:rPr>
                <w:rFonts w:ascii="仿宋_GB2312" w:hAnsi="仿宋_GB2312" w:cs="仿宋_GB2312" w:eastAsia="仿宋_GB2312"/>
                <w:sz w:val="24"/>
              </w:rPr>
              <w:t>保证合法用工，保证人员稳定，不得拖欠人员薪酬，并按国家规定为人员缴纳社保。能根据呼叫中心的运营特点，定期对话务人员进行技能培训、技能考核。能有效保障人员素质，提升服务水平和质量。</w:t>
            </w:r>
          </w:p>
          <w:p>
            <w:pPr>
              <w:pStyle w:val="null3"/>
            </w:pPr>
            <w:r>
              <w:rPr>
                <w:rFonts w:ascii="仿宋_GB2312" w:hAnsi="仿宋_GB2312" w:cs="仿宋_GB2312" w:eastAsia="仿宋_GB2312"/>
                <w:sz w:val="24"/>
              </w:rPr>
              <w:t>2.2.5</w:t>
            </w:r>
            <w:r>
              <w:rPr>
                <w:rFonts w:ascii="仿宋_GB2312" w:hAnsi="仿宋_GB2312" w:cs="仿宋_GB2312" w:eastAsia="仿宋_GB2312"/>
                <w:sz w:val="24"/>
              </w:rPr>
              <w:t>保证按招标文件要求提供每周</w:t>
            </w:r>
            <w:r>
              <w:rPr>
                <w:rFonts w:ascii="仿宋_GB2312" w:hAnsi="仿宋_GB2312" w:cs="仿宋_GB2312" w:eastAsia="仿宋_GB2312"/>
                <w:sz w:val="24"/>
              </w:rPr>
              <w:t>7×24小时不间断的稳定运营。对于</w:t>
            </w:r>
            <w:r>
              <w:rPr>
                <w:rFonts w:ascii="仿宋_GB2312" w:hAnsi="仿宋_GB2312" w:cs="仿宋_GB2312" w:eastAsia="仿宋_GB2312"/>
                <w:sz w:val="24"/>
              </w:rPr>
              <w:t>供应商</w:t>
            </w:r>
            <w:r>
              <w:rPr>
                <w:rFonts w:ascii="仿宋_GB2312" w:hAnsi="仿宋_GB2312" w:cs="仿宋_GB2312" w:eastAsia="仿宋_GB2312"/>
                <w:sz w:val="24"/>
              </w:rPr>
              <w:t>所属责任范围内的紧急故障，能有效应对，通信线路需保证</w:t>
            </w:r>
            <w:r>
              <w:rPr>
                <w:rFonts w:ascii="仿宋_GB2312" w:hAnsi="仿宋_GB2312" w:cs="仿宋_GB2312" w:eastAsia="仿宋_GB2312"/>
                <w:sz w:val="24"/>
              </w:rPr>
              <w:t>100％畅通，并在招标文件规定和投标文件承诺的时限内及时解决。</w:t>
            </w:r>
          </w:p>
          <w:p>
            <w:pPr>
              <w:pStyle w:val="null3"/>
            </w:pPr>
            <w:r>
              <w:rPr>
                <w:rFonts w:ascii="仿宋_GB2312" w:hAnsi="仿宋_GB2312" w:cs="仿宋_GB2312" w:eastAsia="仿宋_GB2312"/>
                <w:sz w:val="24"/>
              </w:rPr>
              <w:t>2.2.6</w:t>
            </w:r>
            <w:r>
              <w:rPr>
                <w:rFonts w:ascii="仿宋_GB2312" w:hAnsi="仿宋_GB2312" w:cs="仿宋_GB2312" w:eastAsia="仿宋_GB2312"/>
                <w:sz w:val="24"/>
              </w:rPr>
              <w:t>承诺在合同期满后，若服务外包商发生变更，能积极配合交接和转签。</w:t>
            </w:r>
          </w:p>
          <w:p>
            <w:pPr>
              <w:pStyle w:val="null3"/>
            </w:pPr>
            <w:r>
              <w:rPr>
                <w:rFonts w:ascii="仿宋_GB2312" w:hAnsi="仿宋_GB2312" w:cs="仿宋_GB2312" w:eastAsia="仿宋_GB2312"/>
                <w:sz w:val="24"/>
              </w:rPr>
              <w:t>2.2.7</w:t>
            </w:r>
            <w:r>
              <w:rPr>
                <w:rFonts w:ascii="仿宋_GB2312" w:hAnsi="仿宋_GB2312" w:cs="仿宋_GB2312" w:eastAsia="仿宋_GB2312"/>
                <w:sz w:val="24"/>
              </w:rPr>
              <w:t>中标</w:t>
            </w:r>
            <w:r>
              <w:rPr>
                <w:rFonts w:ascii="仿宋_GB2312" w:hAnsi="仿宋_GB2312" w:cs="仿宋_GB2312" w:eastAsia="仿宋_GB2312"/>
                <w:sz w:val="24"/>
              </w:rPr>
              <w:t>供应商</w:t>
            </w:r>
            <w:r>
              <w:rPr>
                <w:rFonts w:ascii="仿宋_GB2312" w:hAnsi="仿宋_GB2312" w:cs="仿宋_GB2312" w:eastAsia="仿宋_GB2312"/>
                <w:sz w:val="24"/>
              </w:rPr>
              <w:t>在前期建设和提供服务期间遵守国家各项法律法规，若因侵权或因管理不善等原因而产生的一切后果，由中标</w:t>
            </w:r>
            <w:r>
              <w:rPr>
                <w:rFonts w:ascii="仿宋_GB2312" w:hAnsi="仿宋_GB2312" w:cs="仿宋_GB2312" w:eastAsia="仿宋_GB2312"/>
                <w:sz w:val="24"/>
              </w:rPr>
              <w:t>供应商</w:t>
            </w:r>
            <w:r>
              <w:rPr>
                <w:rFonts w:ascii="仿宋_GB2312" w:hAnsi="仿宋_GB2312" w:cs="仿宋_GB2312" w:eastAsia="仿宋_GB2312"/>
                <w:sz w:val="24"/>
              </w:rPr>
              <w:t>负责。采购人保留索赔权力。</w:t>
            </w:r>
          </w:p>
          <w:p>
            <w:pPr>
              <w:pStyle w:val="null3"/>
              <w:spacing w:before="255" w:after="255"/>
              <w:jc w:val="both"/>
            </w:pPr>
            <w:r>
              <w:rPr>
                <w:rFonts w:ascii="仿宋_GB2312" w:hAnsi="仿宋_GB2312" w:cs="仿宋_GB2312" w:eastAsia="仿宋_GB2312"/>
                <w:sz w:val="24"/>
                <w:b/>
              </w:rPr>
              <w:t>2.3服务团队要求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为保证项目团队的稳定性和工作积极性，</w:t>
            </w:r>
            <w:r>
              <w:rPr>
                <w:rFonts w:ascii="仿宋_GB2312" w:hAnsi="仿宋_GB2312" w:cs="仿宋_GB2312" w:eastAsia="仿宋_GB2312"/>
                <w:sz w:val="24"/>
              </w:rPr>
              <w:t>供应商</w:t>
            </w:r>
            <w:r>
              <w:rPr>
                <w:rFonts w:ascii="仿宋_GB2312" w:hAnsi="仿宋_GB2312" w:cs="仿宋_GB2312" w:eastAsia="仿宋_GB2312"/>
                <w:sz w:val="24"/>
              </w:rPr>
              <w:t>必须按照国家社保缴纳基数相关规定进行社保缴纳，做到合法用工。若因用工引起的任何纠纷均由中标方承担。</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应当针对本项目范围内服务制定专门的管理办法，明确岗位职责、权限及内部控制要求，确保服务人员充分了解项目内服务内容、标准和要求等相关事项。</w:t>
            </w:r>
          </w:p>
          <w:p>
            <w:pPr>
              <w:pStyle w:val="null3"/>
            </w:pPr>
            <w:r>
              <w:rPr>
                <w:rFonts w:ascii="仿宋_GB2312" w:hAnsi="仿宋_GB2312" w:cs="仿宋_GB2312" w:eastAsia="仿宋_GB2312"/>
                <w:sz w:val="24"/>
              </w:rPr>
              <w:t>团队人员需向采购人备案，并签署保密协议。</w:t>
            </w:r>
          </w:p>
          <w:p>
            <w:pPr>
              <w:pStyle w:val="null3"/>
              <w:spacing w:before="255" w:after="255"/>
              <w:jc w:val="both"/>
            </w:pPr>
            <w:r>
              <w:rPr>
                <w:rFonts w:ascii="仿宋_GB2312" w:hAnsi="仿宋_GB2312" w:cs="仿宋_GB2312" w:eastAsia="仿宋_GB2312"/>
                <w:sz w:val="24"/>
                <w:b/>
              </w:rPr>
              <w:t>2.3.1话务人员要求</w:t>
            </w:r>
          </w:p>
          <w:p>
            <w:pPr>
              <w:pStyle w:val="null3"/>
            </w:pPr>
            <w:r>
              <w:rPr>
                <w:rFonts w:ascii="仿宋_GB2312" w:hAnsi="仿宋_GB2312" w:cs="仿宋_GB2312" w:eastAsia="仿宋_GB2312"/>
                <w:sz w:val="24"/>
              </w:rPr>
              <w:t>①</w:t>
            </w:r>
            <w:r>
              <w:rPr>
                <w:rFonts w:ascii="仿宋_GB2312" w:hAnsi="仿宋_GB2312" w:cs="仿宋_GB2312" w:eastAsia="仿宋_GB2312"/>
                <w:sz w:val="24"/>
              </w:rPr>
              <w:t>思想作风正派，廉洁奉公，工作责任心强，有良好的团队意识和吃苦耐劳的精神；</w:t>
            </w:r>
          </w:p>
          <w:p>
            <w:pPr>
              <w:pStyle w:val="null3"/>
            </w:pPr>
            <w:r>
              <w:rPr>
                <w:rFonts w:ascii="仿宋_GB2312" w:hAnsi="仿宋_GB2312" w:cs="仿宋_GB2312" w:eastAsia="仿宋_GB2312"/>
                <w:sz w:val="24"/>
              </w:rPr>
              <w:t>②</w:t>
            </w:r>
            <w:r>
              <w:rPr>
                <w:rFonts w:ascii="仿宋_GB2312" w:hAnsi="仿宋_GB2312" w:cs="仿宋_GB2312" w:eastAsia="仿宋_GB2312"/>
                <w:sz w:val="24"/>
              </w:rPr>
              <w:t>有较强的语言表达和沟通能力、文字归纳和输入能力；</w:t>
            </w:r>
          </w:p>
          <w:p>
            <w:pPr>
              <w:pStyle w:val="null3"/>
            </w:pPr>
            <w:r>
              <w:rPr>
                <w:rFonts w:ascii="仿宋_GB2312" w:hAnsi="仿宋_GB2312" w:cs="仿宋_GB2312" w:eastAsia="仿宋_GB2312"/>
                <w:sz w:val="24"/>
              </w:rPr>
              <w:t>③</w:t>
            </w:r>
            <w:r>
              <w:rPr>
                <w:rFonts w:ascii="仿宋_GB2312" w:hAnsi="仿宋_GB2312" w:cs="仿宋_GB2312" w:eastAsia="仿宋_GB2312"/>
                <w:sz w:val="24"/>
              </w:rPr>
              <w:t>具有适应岗位要求的身体条件；</w:t>
            </w:r>
          </w:p>
          <w:p>
            <w:pPr>
              <w:pStyle w:val="null3"/>
            </w:pPr>
            <w:r>
              <w:rPr>
                <w:rFonts w:ascii="仿宋_GB2312" w:hAnsi="仿宋_GB2312" w:cs="仿宋_GB2312" w:eastAsia="仿宋_GB2312"/>
                <w:sz w:val="24"/>
              </w:rPr>
              <w:t>④</w:t>
            </w:r>
            <w:r>
              <w:rPr>
                <w:rFonts w:ascii="仿宋_GB2312" w:hAnsi="仿宋_GB2312" w:cs="仿宋_GB2312" w:eastAsia="仿宋_GB2312"/>
                <w:sz w:val="24"/>
              </w:rPr>
              <w:t>原则上本科及以上学历，专业不限，</w:t>
            </w:r>
            <w:r>
              <w:rPr>
                <w:rFonts w:ascii="仿宋_GB2312" w:hAnsi="仿宋_GB2312" w:cs="仿宋_GB2312" w:eastAsia="仿宋_GB2312"/>
                <w:sz w:val="24"/>
              </w:rPr>
              <w:t>1年及以上服务类呼叫中心工作经验，政务服务类优先。</w:t>
            </w:r>
          </w:p>
          <w:p>
            <w:pPr>
              <w:pStyle w:val="null3"/>
              <w:spacing w:before="255" w:after="255"/>
              <w:jc w:val="both"/>
            </w:pPr>
            <w:r>
              <w:rPr>
                <w:rFonts w:ascii="仿宋_GB2312" w:hAnsi="仿宋_GB2312" w:cs="仿宋_GB2312" w:eastAsia="仿宋_GB2312"/>
                <w:sz w:val="24"/>
                <w:b/>
              </w:rPr>
              <w:t>2.3.2特殊座席要求</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12345省级平台的服务要求，提供1个可兼做手语视频服务的座席，需安装摄像头，专门用于传输视频信号，并根据手语服务工作时间，安排人员上线提供服务。通过陕西12345政务服务便民热线微信小程序向听力及言语障碍人群提供服务。提供2名英语客服，在线为全省群众提供外语服务。</w:t>
            </w:r>
          </w:p>
          <w:p>
            <w:pPr>
              <w:pStyle w:val="null3"/>
              <w:spacing w:before="90" w:after="90"/>
              <w:jc w:val="both"/>
            </w:pPr>
            <w:r>
              <w:rPr>
                <w:rFonts w:ascii="仿宋_GB2312" w:hAnsi="仿宋_GB2312" w:cs="仿宋_GB2312" w:eastAsia="仿宋_GB2312"/>
                <w:sz w:val="24"/>
                <w:b/>
              </w:rPr>
              <w:t>3、运行维护要求：</w:t>
            </w:r>
          </w:p>
          <w:p>
            <w:pPr>
              <w:pStyle w:val="null3"/>
              <w:spacing w:before="210"/>
              <w:ind w:left="135" w:right="105" w:firstLine="422"/>
              <w:jc w:val="both"/>
            </w:pPr>
            <w:r>
              <w:rPr>
                <w:rFonts w:ascii="仿宋_GB2312" w:hAnsi="仿宋_GB2312" w:cs="仿宋_GB2312" w:eastAsia="仿宋_GB2312"/>
                <w:sz w:val="24"/>
              </w:rPr>
              <w:t>为保证本项目的建设和投入使用后的稳定运行，必须配备至少</w:t>
            </w:r>
            <w:r>
              <w:rPr>
                <w:rFonts w:ascii="仿宋_GB2312" w:hAnsi="仿宋_GB2312" w:cs="仿宋_GB2312" w:eastAsia="仿宋_GB2312"/>
                <w:sz w:val="24"/>
              </w:rPr>
              <w:t>2名（当系统维护需求有变时可随时进行维护人数的调整）经过系统专业培训，具有相关专业技术知识的业务人员对各应用系统软硬件进行 7×24 小时响应</w:t>
            </w:r>
            <w:r>
              <w:rPr>
                <w:rFonts w:ascii="仿宋_GB2312" w:hAnsi="仿宋_GB2312" w:cs="仿宋_GB2312" w:eastAsia="仿宋_GB2312"/>
                <w:sz w:val="24"/>
              </w:rPr>
              <w:t>保障</w:t>
            </w:r>
            <w:r>
              <w:rPr>
                <w:rFonts w:ascii="仿宋_GB2312" w:hAnsi="仿宋_GB2312" w:cs="仿宋_GB2312" w:eastAsia="仿宋_GB2312"/>
                <w:sz w:val="24"/>
              </w:rPr>
              <w:t>，进行维护、保养、故障诊断、维修、更新、记录等全方位服务，而且必须能够满足按照维护保养规定进行维护、保养与使用时的现场技术保障需要。</w:t>
            </w:r>
          </w:p>
          <w:tbl>
            <w:tblPr>
              <w:tblInd w:type="dxa" w:w="240"/>
              <w:tblBorders>
                <w:top w:val="none" w:color="000000" w:sz="4"/>
                <w:left w:val="none" w:color="000000" w:sz="4"/>
                <w:bottom w:val="none" w:color="000000" w:sz="4"/>
                <w:right w:val="none" w:color="000000" w:sz="4"/>
                <w:insideH w:val="none"/>
                <w:insideV w:val="none"/>
              </w:tblBorders>
            </w:tblPr>
            <w:tblGrid>
              <w:gridCol w:w="349"/>
              <w:gridCol w:w="318"/>
              <w:gridCol w:w="775"/>
              <w:gridCol w:w="1110"/>
            </w:tblGrid>
            <w:tr>
              <w:tc>
                <w:tcPr>
                  <w:tcW w:type="dxa" w:w="3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jc w:val="center"/>
                  </w:pPr>
                  <w:r>
                    <w:rPr>
                      <w:rFonts w:ascii="仿宋_GB2312" w:hAnsi="仿宋_GB2312" w:cs="仿宋_GB2312" w:eastAsia="仿宋_GB2312"/>
                      <w:sz w:val="18"/>
                      <w:b/>
                    </w:rPr>
                    <w:t>类别</w:t>
                  </w:r>
                </w:p>
              </w:tc>
              <w:tc>
                <w:tcPr>
                  <w:tcW w:type="dxa" w:w="3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240"/>
                    <w:jc w:val="center"/>
                  </w:pPr>
                  <w:r>
                    <w:rPr>
                      <w:rFonts w:ascii="仿宋_GB2312" w:hAnsi="仿宋_GB2312" w:cs="仿宋_GB2312" w:eastAsia="仿宋_GB2312"/>
                      <w:sz w:val="18"/>
                      <w:b/>
                    </w:rPr>
                    <w:t>序号</w:t>
                  </w:r>
                </w:p>
              </w:tc>
              <w:tc>
                <w:tcPr>
                  <w:tcW w:type="dxa" w:w="7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35"/>
                    <w:jc w:val="both"/>
                  </w:pPr>
                  <w:r>
                    <w:rPr>
                      <w:rFonts w:ascii="仿宋_GB2312" w:hAnsi="仿宋_GB2312" w:cs="仿宋_GB2312" w:eastAsia="仿宋_GB2312"/>
                      <w:sz w:val="18"/>
                      <w:b/>
                    </w:rPr>
                    <w:t>工作项</w:t>
                  </w:r>
                </w:p>
              </w:tc>
              <w:tc>
                <w:tcPr>
                  <w:tcW w:type="dxa" w:w="11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560"/>
                    <w:jc w:val="both"/>
                  </w:pPr>
                  <w:r>
                    <w:rPr>
                      <w:rFonts w:ascii="仿宋_GB2312" w:hAnsi="仿宋_GB2312" w:cs="仿宋_GB2312" w:eastAsia="仿宋_GB2312"/>
                      <w:sz w:val="18"/>
                      <w:b/>
                    </w:rPr>
                    <w:t>备注</w:t>
                  </w:r>
                </w:p>
              </w:tc>
            </w:tr>
            <w:tr>
              <w:tc>
                <w:tcPr>
                  <w:tcW w:type="dxa" w:w="34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系统维护</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18"/>
                    </w:rPr>
                    <w:t>1</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18"/>
                    </w:rPr>
                    <w:t>7×24</w:t>
                  </w:r>
                  <w:r>
                    <w:rPr>
                      <w:rFonts w:ascii="仿宋_GB2312" w:hAnsi="仿宋_GB2312" w:cs="仿宋_GB2312" w:eastAsia="仿宋_GB2312"/>
                      <w:sz w:val="19"/>
                    </w:rPr>
                    <w:t xml:space="preserve"> </w:t>
                  </w:r>
                  <w:r>
                    <w:rPr>
                      <w:rFonts w:ascii="仿宋_GB2312" w:hAnsi="仿宋_GB2312" w:cs="仿宋_GB2312" w:eastAsia="仿宋_GB2312"/>
                      <w:sz w:val="18"/>
                    </w:rPr>
                    <w:t>小时响应</w:t>
                  </w:r>
                  <w:r>
                    <w:rPr>
                      <w:rFonts w:ascii="仿宋_GB2312" w:hAnsi="仿宋_GB2312" w:cs="仿宋_GB2312" w:eastAsia="仿宋_GB2312"/>
                      <w:sz w:val="18"/>
                    </w:rPr>
                    <w:t>保障</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9"/>
                  <w:vMerge/>
                  <w:tcBorders>
                    <w:top w:val="none" w:color="000000" w:sz="4"/>
                    <w:left w:val="singl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网络日常稳定性维护</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18"/>
                    </w:rPr>
                    <w:t>断网参照《服务质量考核细则》执行</w:t>
                  </w:r>
                </w:p>
              </w:tc>
            </w:tr>
            <w:tr>
              <w:tc>
                <w:tcPr>
                  <w:tcW w:type="dxa" w:w="349"/>
                  <w:vMerge/>
                  <w:tcBorders>
                    <w:top w:val="none" w:color="000000" w:sz="4"/>
                    <w:left w:val="singl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需求开发</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right="90"/>
                    <w:jc w:val="center"/>
                  </w:pPr>
                  <w:r>
                    <w:rPr>
                      <w:rFonts w:ascii="仿宋_GB2312" w:hAnsi="仿宋_GB2312" w:cs="仿宋_GB2312" w:eastAsia="仿宋_GB2312"/>
                      <w:sz w:val="18"/>
                    </w:rPr>
                    <w:t>不涉及对软件框架的调整，不涉及重大技术公关的需求</w:t>
                  </w:r>
                </w:p>
              </w:tc>
            </w:tr>
            <w:tr>
              <w:tc>
                <w:tcPr>
                  <w:tcW w:type="dxa" w:w="349"/>
                  <w:vMerge/>
                  <w:tcBorders>
                    <w:top w:val="none" w:color="000000" w:sz="4"/>
                    <w:left w:val="singl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rPr>
                    <w:t>4</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18"/>
                    </w:rPr>
                    <w:t>客户端</w:t>
                  </w:r>
                  <w:r>
                    <w:rPr>
                      <w:rFonts w:ascii="仿宋_GB2312" w:hAnsi="仿宋_GB2312" w:cs="仿宋_GB2312" w:eastAsia="仿宋_GB2312"/>
                      <w:sz w:val="19"/>
                    </w:rPr>
                    <w:t xml:space="preserve"> </w:t>
                  </w:r>
                  <w:r>
                    <w:rPr>
                      <w:rFonts w:ascii="仿宋_GB2312" w:hAnsi="仿宋_GB2312" w:cs="仿宋_GB2312" w:eastAsia="仿宋_GB2312"/>
                      <w:sz w:val="18"/>
                    </w:rPr>
                    <w:t>BUG</w:t>
                  </w:r>
                  <w:r>
                    <w:rPr>
                      <w:rFonts w:ascii="仿宋_GB2312" w:hAnsi="仿宋_GB2312" w:cs="仿宋_GB2312" w:eastAsia="仿宋_GB2312"/>
                      <w:sz w:val="19"/>
                    </w:rPr>
                    <w:t xml:space="preserve"> </w:t>
                  </w:r>
                  <w:r>
                    <w:rPr>
                      <w:rFonts w:ascii="仿宋_GB2312" w:hAnsi="仿宋_GB2312" w:cs="仿宋_GB2312" w:eastAsia="仿宋_GB2312"/>
                      <w:sz w:val="18"/>
                    </w:rPr>
                    <w:t>修复</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9"/>
                  <w:vMerge/>
                  <w:tcBorders>
                    <w:top w:val="none" w:color="000000" w:sz="4"/>
                    <w:left w:val="singl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客户端更新</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right="180"/>
                    <w:jc w:val="center"/>
                  </w:pPr>
                  <w:r>
                    <w:rPr>
                      <w:rFonts w:ascii="仿宋_GB2312" w:hAnsi="仿宋_GB2312" w:cs="仿宋_GB2312" w:eastAsia="仿宋_GB2312"/>
                      <w:sz w:val="18"/>
                    </w:rPr>
                    <w:t>根据用户反馈和技术更新做出的客户端更新</w:t>
                  </w:r>
                </w:p>
              </w:tc>
            </w:tr>
            <w:tr>
              <w:tc>
                <w:tcPr>
                  <w:tcW w:type="dxa" w:w="349"/>
                  <w:vMerge/>
                  <w:tcBorders>
                    <w:top w:val="none" w:color="000000" w:sz="4"/>
                    <w:left w:val="singl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rFonts w:ascii="仿宋_GB2312" w:hAnsi="仿宋_GB2312" w:cs="仿宋_GB2312" w:eastAsia="仿宋_GB2312"/>
                      <w:sz w:val="18"/>
                    </w:rPr>
                    <w:t>用电日常稳定性维护，如提供可支持全</w:t>
                  </w:r>
                  <w:r>
                    <w:rPr>
                      <w:rFonts w:ascii="仿宋_GB2312" w:hAnsi="仿宋_GB2312" w:cs="仿宋_GB2312" w:eastAsia="仿宋_GB2312"/>
                      <w:sz w:val="18"/>
                    </w:rPr>
                    <w:t>座席</w:t>
                  </w:r>
                  <w:r>
                    <w:rPr>
                      <w:rFonts w:ascii="仿宋_GB2312" w:hAnsi="仿宋_GB2312" w:cs="仿宋_GB2312" w:eastAsia="仿宋_GB2312"/>
                      <w:sz w:val="18"/>
                    </w:rPr>
                    <w:t>正常接听的</w:t>
                  </w:r>
                  <w:r>
                    <w:rPr>
                      <w:rFonts w:ascii="仿宋_GB2312" w:hAnsi="仿宋_GB2312" w:cs="仿宋_GB2312" w:eastAsia="仿宋_GB2312"/>
                      <w:sz w:val="19"/>
                    </w:rPr>
                    <w:t xml:space="preserve"> </w:t>
                  </w:r>
                  <w:r>
                    <w:rPr>
                      <w:rFonts w:ascii="仿宋_GB2312" w:hAnsi="仿宋_GB2312" w:cs="仿宋_GB2312" w:eastAsia="仿宋_GB2312"/>
                      <w:sz w:val="18"/>
                    </w:rPr>
                    <w:t>UPS</w:t>
                  </w:r>
                  <w:r>
                    <w:rPr>
                      <w:rFonts w:ascii="仿宋_GB2312" w:hAnsi="仿宋_GB2312" w:cs="仿宋_GB2312" w:eastAsia="仿宋_GB2312"/>
                      <w:sz w:val="19"/>
                    </w:rPr>
                    <w:t xml:space="preserve"> </w:t>
                  </w:r>
                  <w:r>
                    <w:rPr>
                      <w:rFonts w:ascii="仿宋_GB2312" w:hAnsi="仿宋_GB2312" w:cs="仿宋_GB2312" w:eastAsia="仿宋_GB2312"/>
                      <w:sz w:val="18"/>
                    </w:rPr>
                    <w:t>电池、双路供电</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断电参照《服务质量考核细则》执行</w:t>
                  </w:r>
                </w:p>
              </w:tc>
            </w:tr>
          </w:tbl>
          <w:p>
            <w:pPr>
              <w:pStyle w:val="null3"/>
              <w:spacing w:before="90" w:after="90"/>
              <w:jc w:val="both"/>
            </w:pPr>
            <w:r>
              <w:rPr>
                <w:rFonts w:ascii="仿宋_GB2312" w:hAnsi="仿宋_GB2312" w:cs="仿宋_GB2312" w:eastAsia="仿宋_GB2312"/>
                <w:sz w:val="24"/>
                <w:b/>
              </w:rPr>
              <w:t>4、其他要求：</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需按本项目要求，针对本项目座席人员需求的波动及呼叫中心正常的人员流失率等情况，制订人员管理规范，保证有充分的人员补充渠道，确保人员出勤率，满足项目用人需求。</w:t>
            </w:r>
          </w:p>
          <w:p>
            <w:pPr>
              <w:pStyle w:val="null3"/>
              <w:jc w:val="both"/>
            </w:pPr>
            <w:r>
              <w:rPr>
                <w:rFonts w:ascii="仿宋_GB2312" w:hAnsi="仿宋_GB2312" w:cs="仿宋_GB2312" w:eastAsia="仿宋_GB2312"/>
                <w:sz w:val="24"/>
              </w:rPr>
              <w:t>供应商须在投标文件中提供话务员职业发展规划方案，根据话务员职业发展规划方案制定相关的常规类培训、活动类培训、定制类培训方案，在员工发展的每个环节提供相应的培训及辅导，帮助员工能真正达到这一成长阶段的目标，在培养人的同时，也发现人才、储备人才、输送人才。</w:t>
            </w:r>
          </w:p>
          <w:p>
            <w:pPr>
              <w:pStyle w:val="null3"/>
              <w:spacing w:before="120"/>
              <w:ind w:firstLine="408"/>
              <w:jc w:val="left"/>
            </w:pPr>
            <w:r>
              <w:rPr>
                <w:rFonts w:ascii="仿宋_GB2312" w:hAnsi="仿宋_GB2312" w:cs="仿宋_GB2312" w:eastAsia="仿宋_GB2312"/>
                <w:sz w:val="20"/>
                <w:b/>
              </w:rPr>
              <w:t>附件：陕西</w:t>
            </w:r>
            <w:r>
              <w:rPr>
                <w:rFonts w:ascii="仿宋_GB2312" w:hAnsi="仿宋_GB2312" w:cs="仿宋_GB2312" w:eastAsia="仿宋_GB2312"/>
                <w:sz w:val="20"/>
                <w:b/>
              </w:rPr>
              <w:t>12345政务服务便民热线平台服务质量考核细则</w:t>
            </w:r>
          </w:p>
          <w:tbl>
            <w:tblPr>
              <w:tblBorders>
                <w:top w:val="none" w:color="000000" w:sz="4"/>
                <w:left w:val="none" w:color="000000" w:sz="4"/>
                <w:bottom w:val="none" w:color="000000" w:sz="4"/>
                <w:right w:val="none" w:color="000000" w:sz="4"/>
                <w:insideH w:val="none"/>
                <w:insideV w:val="none"/>
              </w:tblBorders>
            </w:tblPr>
            <w:tblGrid>
              <w:gridCol w:w="262"/>
              <w:gridCol w:w="510"/>
              <w:gridCol w:w="262"/>
              <w:gridCol w:w="636"/>
              <w:gridCol w:w="622"/>
              <w:gridCol w:w="262"/>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考核项目</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考核指标</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指标说明</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评分细则</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满分</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综合管理（</w:t>
                  </w:r>
                  <w:r>
                    <w:rPr>
                      <w:rFonts w:ascii="仿宋_GB2312" w:hAnsi="仿宋_GB2312" w:cs="仿宋_GB2312" w:eastAsia="仿宋_GB2312"/>
                      <w:sz w:val="18"/>
                      <w:b/>
                      <w:color w:val="000000"/>
                    </w:rPr>
                    <w:t>20）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队伍建设</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服务交付团队总人数不低于</w:t>
                  </w:r>
                  <w:r>
                    <w:rPr>
                      <w:rFonts w:ascii="仿宋_GB2312" w:hAnsi="仿宋_GB2312" w:cs="仿宋_GB2312" w:eastAsia="仿宋_GB2312"/>
                      <w:sz w:val="18"/>
                    </w:rPr>
                    <w:t>60 人（含项目经理、话务班长、质检培训、综合行政等核心岗位），组成业务受理组、审核督办组、质效评估组、数据分析、技术运维、综合保障六个工作小组，明确职责，夯实责任，推动工作。</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 核心管理团队人数不少于 4 人，每少一人扣 1 分。</w:t>
                  </w:r>
                  <w:r>
                    <w:br/>
                  </w:r>
                  <w:r>
                    <w:rPr>
                      <w:rFonts w:ascii="仿宋_GB2312" w:hAnsi="仿宋_GB2312" w:cs="仿宋_GB2312" w:eastAsia="仿宋_GB2312"/>
                      <w:sz w:val="18"/>
                    </w:rPr>
                    <w:t>2. 发现某组人员不足，导致热线服务水平下滑的，每次扣 0.5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管理制度与能力</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 要求依照《陕西 12345 政务服务便民热线运行管理办法》等系列文件，形成管理制度与明确的职责分工文件并严格落实责任。</w:t>
                  </w:r>
                  <w:r>
                    <w:br/>
                  </w:r>
                  <w:r>
                    <w:rPr>
                      <w:rFonts w:ascii="仿宋_GB2312" w:hAnsi="仿宋_GB2312" w:cs="仿宋_GB2312" w:eastAsia="仿宋_GB2312"/>
                      <w:sz w:val="18"/>
                      <w:color w:val="000000"/>
                    </w:rPr>
                    <w:t>2. 每月 7 日前提交一份运营报告，报告中汇报当月工作落实情况，分析问题原因，在下一考核周期内及时调整并进行总结反思及下一步工作计划。</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没有管理制度与职责分工文件，或未按照管理制度安排工作的，扣</w:t>
                  </w:r>
                  <w:r>
                    <w:rPr>
                      <w:rFonts w:ascii="仿宋_GB2312" w:hAnsi="仿宋_GB2312" w:cs="仿宋_GB2312" w:eastAsia="仿宋_GB2312"/>
                      <w:sz w:val="18"/>
                      <w:color w:val="000000"/>
                    </w:rPr>
                    <w:t>0.5 分。没有按时提交运营报告或报告内容不全面的，扣 1 分（逢法定节假日顺延）。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话务员月流失率及替补时效</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月流失率</w:t>
                  </w:r>
                  <w:r>
                    <w:rPr>
                      <w:rFonts w:ascii="仿宋_GB2312" w:hAnsi="仿宋_GB2312" w:cs="仿宋_GB2312" w:eastAsia="仿宋_GB2312"/>
                      <w:sz w:val="18"/>
                      <w:color w:val="000000"/>
                    </w:rPr>
                    <w:t>=流失人数÷  [(月初人数+月末人数)÷ 2]*100%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月流失率小于</w:t>
                  </w:r>
                  <w:r>
                    <w:rPr>
                      <w:rFonts w:ascii="仿宋_GB2312" w:hAnsi="仿宋_GB2312" w:cs="仿宋_GB2312" w:eastAsia="仿宋_GB2312"/>
                      <w:sz w:val="18"/>
                      <w:color w:val="000000"/>
                    </w:rPr>
                    <w:t>8%得满分；以 8%为基准，每增加 1%（不足 1%按 0%计算）扣 0.5 分。流失人员承诺 15 个工作日内完成填充，每延迟一天扣 0.5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沟通情况</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采购人关于项目运营相关的工作安排及建议乙方需积极按时落实，并且定期向采购人汇报工作进展。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按时完成并定期汇报得满分。如超过约定期限且未提前征得采购人同意，每超过一个工作日扣</w:t>
                  </w:r>
                  <w:r>
                    <w:rPr>
                      <w:rFonts w:ascii="仿宋_GB2312" w:hAnsi="仿宋_GB2312" w:cs="仿宋_GB2312" w:eastAsia="仿宋_GB2312"/>
                      <w:sz w:val="18"/>
                      <w:color w:val="000000"/>
                    </w:rPr>
                    <w:t>0.5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服务能力（</w:t>
                  </w:r>
                  <w:r>
                    <w:rPr>
                      <w:rFonts w:ascii="仿宋_GB2312" w:hAnsi="仿宋_GB2312" w:cs="仿宋_GB2312" w:eastAsia="仿宋_GB2312"/>
                      <w:sz w:val="18"/>
                      <w:b/>
                      <w:color w:val="000000"/>
                    </w:rPr>
                    <w:t>20）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派单及时率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派单及时率</w:t>
                  </w:r>
                  <w:r>
                    <w:rPr>
                      <w:rFonts w:ascii="仿宋_GB2312" w:hAnsi="仿宋_GB2312" w:cs="仿宋_GB2312" w:eastAsia="仿宋_GB2312"/>
                      <w:sz w:val="18"/>
                      <w:color w:val="000000"/>
                    </w:rPr>
                    <w:t>=每月及时派 单工单数量/每月应派单 工单总数量*100%（自然日8 点至 17 点工单 1 小时内派发，17 点至次日早 8 点工单次日 12 点前派发）。</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派单及时率</w:t>
                  </w:r>
                  <w:r>
                    <w:rPr>
                      <w:rFonts w:ascii="仿宋_GB2312" w:hAnsi="仿宋_GB2312" w:cs="仿宋_GB2312" w:eastAsia="仿宋_GB2312"/>
                      <w:sz w:val="18"/>
                      <w:color w:val="000000"/>
                    </w:rPr>
                    <w:t>≧95%得满分；以 95% 为基数，每降低 1%（不足 1%按 1% 计算）扣 1 分（要素不全的诉求建议关单，关单理由注明缺失信息）。</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审核及时率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对承办单位回复结果审核工作需在工单形成后</w:t>
                  </w:r>
                  <w:r>
                    <w:rPr>
                      <w:rFonts w:ascii="仿宋_GB2312" w:hAnsi="仿宋_GB2312" w:cs="仿宋_GB2312" w:eastAsia="仿宋_GB2312"/>
                      <w:sz w:val="18"/>
                      <w:color w:val="000000"/>
                    </w:rPr>
                    <w:t>24 小时内完成。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滞后审核工单量超过当日应审核量的</w:t>
                  </w:r>
                  <w:r>
                    <w:rPr>
                      <w:rFonts w:ascii="仿宋_GB2312" w:hAnsi="仿宋_GB2312" w:cs="仿宋_GB2312" w:eastAsia="仿宋_GB2312"/>
                      <w:sz w:val="18"/>
                      <w:color w:val="000000"/>
                    </w:rPr>
                    <w:t>30%，扣 1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来电接通率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座席接通的各条热线来电数量与接入</w:t>
                  </w:r>
                  <w:r>
                    <w:rPr>
                      <w:rFonts w:ascii="仿宋_GB2312" w:hAnsi="仿宋_GB2312" w:cs="仿宋_GB2312" w:eastAsia="仿宋_GB2312"/>
                      <w:sz w:val="18"/>
                      <w:color w:val="000000"/>
                    </w:rPr>
                    <w:t>座席</w:t>
                  </w:r>
                  <w:r>
                    <w:rPr>
                      <w:rFonts w:ascii="仿宋_GB2312" w:hAnsi="仿宋_GB2312" w:cs="仿宋_GB2312" w:eastAsia="仿宋_GB2312"/>
                      <w:sz w:val="18"/>
                      <w:color w:val="000000"/>
                    </w:rPr>
                    <w:t>的电话总量之比。</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≧95%得 10 分；以 95%为基数，每增加 1%（不足 1%按 0%计算）加 1 分，每降低 1%（不足 1%按 1%计算） 扣 1 分。存在特殊情况时乙方可提前报备，征求采购人批准。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服务质量（</w:t>
                  </w:r>
                  <w:r>
                    <w:rPr>
                      <w:rFonts w:ascii="仿宋_GB2312" w:hAnsi="仿宋_GB2312" w:cs="仿宋_GB2312" w:eastAsia="仿宋_GB2312"/>
                      <w:sz w:val="18"/>
                      <w:b/>
                      <w:color w:val="000000"/>
                    </w:rPr>
                    <w:t>35）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派单准确率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合理退单数量：符合退单条件、退单理由和依据充分、符合退单流程规范的工单数量。派单准确率</w:t>
                  </w:r>
                  <w:r>
                    <w:rPr>
                      <w:rFonts w:ascii="仿宋_GB2312" w:hAnsi="仿宋_GB2312" w:cs="仿宋_GB2312" w:eastAsia="仿宋_GB2312"/>
                      <w:sz w:val="18"/>
                      <w:color w:val="000000"/>
                    </w:rPr>
                    <w:t>=1-（合理退单数量÷派出工单总数）。</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≧95%得满分；以 95%为基准，每降低 1%（不足 1%按 1%计算）扣 1 分（因承办单位职责问题导致互相推诿或职权下放的数据，经查属实后可剔除）。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在线答复率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“省平台一次办结的咨询类工单”：前台直接答复诉求人的咨询类工单。 即时答复比例=省平台一次办结的咨询类工单数量÷咨询类工单总量。</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以</w:t>
                  </w:r>
                  <w:r>
                    <w:rPr>
                      <w:rFonts w:ascii="仿宋_GB2312" w:hAnsi="仿宋_GB2312" w:cs="仿宋_GB2312" w:eastAsia="仿宋_GB2312"/>
                      <w:sz w:val="18"/>
                      <w:color w:val="000000"/>
                    </w:rPr>
                    <w:t>80%为目标值，若咨询类工单在线答复比例达到或超过目标值，则即时答复率为满分（5 分）；若即时答复比例低于目标值，每降低1%扣 0.5 分，扣完为止。</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团队态度满意率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满意程度：分为非常满意、满意、基本满意、不满意和非常不满意。满意率＝（非常满意量＋满意量＋基本满意量）</w:t>
                  </w:r>
                  <w:r>
                    <w:rPr>
                      <w:rFonts w:ascii="仿宋_GB2312" w:hAnsi="仿宋_GB2312" w:cs="仿宋_GB2312" w:eastAsia="仿宋_GB2312"/>
                      <w:sz w:val="18"/>
                      <w:color w:val="000000"/>
                    </w:rPr>
                    <w:t>÷（实际评价量）×100%；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满意率需达到</w:t>
                  </w:r>
                  <w:r>
                    <w:rPr>
                      <w:rFonts w:ascii="仿宋_GB2312" w:hAnsi="仿宋_GB2312" w:cs="仿宋_GB2312" w:eastAsia="仿宋_GB2312"/>
                      <w:sz w:val="18"/>
                      <w:color w:val="000000"/>
                    </w:rPr>
                    <w:t>95%以上，否则，每降低 1%扣 0.5 分。满意率达到 99%以上的，加 1 分（话务员对差评评价进行回访，如群众因诉求办理实效、结果不满做出“差评”，经查属实后差评数据可进行剔除）。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工时利用率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工时利用率</w:t>
                  </w:r>
                  <w:r>
                    <w:rPr>
                      <w:rFonts w:ascii="仿宋_GB2312" w:hAnsi="仿宋_GB2312" w:cs="仿宋_GB2312" w:eastAsia="仿宋_GB2312"/>
                      <w:sz w:val="18"/>
                      <w:color w:val="000000"/>
                    </w:rPr>
                    <w:t>=在线工作时间/排班时间</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≧71%得满分；以 71%为基准，每降低 1%（不足 1%按 1%计算）扣 1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工单质检准确率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每月随机抽检已质检工单</w:t>
                  </w:r>
                  <w:r>
                    <w:rPr>
                      <w:rFonts w:ascii="仿宋_GB2312" w:hAnsi="仿宋_GB2312" w:cs="仿宋_GB2312" w:eastAsia="仿宋_GB2312"/>
                      <w:sz w:val="18"/>
                      <w:color w:val="000000"/>
                    </w:rPr>
                    <w:t>10 条，工单质检准确率= 抽检合格工单/10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≧80%得满分，每降低 10%扣 0.5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答复准确率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每月随机抽检</w:t>
                  </w:r>
                  <w:r>
                    <w:rPr>
                      <w:rFonts w:ascii="仿宋_GB2312" w:hAnsi="仿宋_GB2312" w:cs="仿宋_GB2312" w:eastAsia="仿宋_GB2312"/>
                      <w:sz w:val="18"/>
                      <w:color w:val="000000"/>
                    </w:rPr>
                    <w:t>5 条工单，每条工单 20 分。答复准确率=合格工单得分/100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≧80%得满分，每降低 20%扣 1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技术保障（</w:t>
                  </w:r>
                  <w:r>
                    <w:rPr>
                      <w:rFonts w:ascii="仿宋_GB2312" w:hAnsi="仿宋_GB2312" w:cs="仿宋_GB2312" w:eastAsia="仿宋_GB2312"/>
                      <w:sz w:val="18"/>
                      <w:b/>
                      <w:color w:val="000000"/>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制度与日常运维</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热线平台硬、软件设备的日常运行情况，线路排查流程的完善性。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建立并实施安全风险管控及隐患排查管理制度，做好安全等级保护、灾难备份、断电断网预防工作，否则扣</w:t>
                  </w:r>
                  <w:r>
                    <w:rPr>
                      <w:rFonts w:ascii="仿宋_GB2312" w:hAnsi="仿宋_GB2312" w:cs="仿宋_GB2312" w:eastAsia="仿宋_GB2312"/>
                      <w:sz w:val="18"/>
                      <w:color w:val="000000"/>
                    </w:rPr>
                    <w:t>2 分。 机房工程布置合规，线路标签清晰等，符合标准且有日常维护机制。抽检不合格的，每次扣 3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紧急预案</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因呼叫中心设备故障处置不及时或技术保障不利（如断电断网），导致</w:t>
                  </w:r>
                  <w:r>
                    <w:rPr>
                      <w:rFonts w:ascii="仿宋_GB2312" w:hAnsi="仿宋_GB2312" w:cs="仿宋_GB2312" w:eastAsia="仿宋_GB2312"/>
                      <w:sz w:val="18"/>
                      <w:color w:val="000000"/>
                    </w:rPr>
                    <w:t>7X24 小时工作受到影响。</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受到轻微影响（</w:t>
                  </w:r>
                  <w:r>
                    <w:rPr>
                      <w:rFonts w:ascii="仿宋_GB2312" w:hAnsi="仿宋_GB2312" w:cs="仿宋_GB2312" w:eastAsia="仿宋_GB2312"/>
                      <w:sz w:val="18"/>
                      <w:color w:val="000000"/>
                    </w:rPr>
                    <w:t>10 分钟内）每次扣 1 分，一般影响（10 分钟-30 分钟）每次扣 2 分，严重影响（大于等于 30 分钟）扣 5 分。每次事故需书面提供原因及整改措施，严格落实并反馈落实结果。此外，省政务服务中心还需追究企业及个人责任。</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辅助全省热线发展（</w:t>
                  </w:r>
                  <w:r>
                    <w:rPr>
                      <w:rFonts w:ascii="仿宋_GB2312" w:hAnsi="仿宋_GB2312" w:cs="仿宋_GB2312" w:eastAsia="仿宋_GB2312"/>
                      <w:sz w:val="18"/>
                      <w:b/>
                      <w:color w:val="000000"/>
                    </w:rPr>
                    <w:t>20）</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数据分析</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每月按时输出全省热线月报，包含全省热线民生月报、运营月报、营商环境月报及信息处月报等。</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未按照时间节点提交月报的，每次扣</w:t>
                  </w:r>
                  <w:r>
                    <w:rPr>
                      <w:rFonts w:ascii="仿宋_GB2312" w:hAnsi="仿宋_GB2312" w:cs="仿宋_GB2312" w:eastAsia="仿宋_GB2312"/>
                      <w:sz w:val="18"/>
                    </w:rPr>
                    <w:t>1 分（逢法定节假日顺延）。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62"/>
                  <w:vMerge/>
                  <w:tcBorders>
                    <w:top w:val="none" w:color="000000" w:sz="4"/>
                    <w:left w:val="single" w:color="000000" w:sz="4"/>
                    <w:bottom w:val="single" w:color="000000" w:sz="4"/>
                    <w:right w:val="none" w:color="000000" w:sz="4"/>
                  </w:tcBorders>
                </w:tcPr>
                <w:p/>
              </w:tc>
              <w:tc>
                <w:tcPr>
                  <w:tcW w:type="dxa" w:w="510"/>
                  <w:vMerge/>
                  <w:tcBorders>
                    <w:top w:val="none" w:color="000000" w:sz="4"/>
                    <w:left w:val="single" w:color="000000" w:sz="4"/>
                    <w:bottom w:val="single" w:color="000000" w:sz="4"/>
                    <w:right w:val="single" w:color="000000" w:sz="4"/>
                  </w:tcBorders>
                </w:tcPr>
                <w:p/>
              </w:tc>
              <w:tc>
                <w:tcPr>
                  <w:tcW w:type="dxa" w:w="2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全省热线服务质量抽检</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制定全省月度业务拨测计划，</w:t>
                  </w:r>
                  <w:r>
                    <w:rPr>
                      <w:rFonts w:ascii="仿宋_GB2312" w:hAnsi="仿宋_GB2312" w:cs="仿宋_GB2312" w:eastAsia="仿宋_GB2312"/>
                      <w:sz w:val="18"/>
                    </w:rPr>
                    <w:t>20条/市（区），抽查市（区）业务执行准确情况，完成率100%。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得分</w:t>
                  </w:r>
                  <w:r>
                    <w:rPr>
                      <w:rFonts w:ascii="仿宋_GB2312" w:hAnsi="仿宋_GB2312" w:cs="仿宋_GB2312" w:eastAsia="仿宋_GB2312"/>
                      <w:sz w:val="18"/>
                    </w:rPr>
                    <w:t>=标准分*完成率</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none" w:color="000000" w:sz="4"/>
                  </w:tcBorders>
                </w:tcPr>
                <w:p/>
              </w:tc>
              <w:tc>
                <w:tcPr>
                  <w:tcW w:type="dxa" w:w="510"/>
                  <w:vMerge/>
                  <w:tcBorders>
                    <w:top w:val="none" w:color="000000" w:sz="4"/>
                    <w:left w:val="single" w:color="000000" w:sz="4"/>
                    <w:bottom w:val="single" w:color="000000" w:sz="4"/>
                    <w:right w:val="single" w:color="000000" w:sz="4"/>
                  </w:tcBorders>
                </w:tcPr>
                <w:p/>
              </w:tc>
              <w:tc>
                <w:tcPr>
                  <w:tcW w:type="dxa" w:w="262"/>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每月随机抽检市（区）</w:t>
                  </w:r>
                  <w:r>
                    <w:rPr>
                      <w:rFonts w:ascii="仿宋_GB2312" w:hAnsi="仿宋_GB2312" w:cs="仿宋_GB2312" w:eastAsia="仿宋_GB2312"/>
                      <w:sz w:val="18"/>
                    </w:rPr>
                    <w:t>12345热线工单100条，重点检查工单书写、诉求分类等内容，完成率100%。</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得分</w:t>
                  </w:r>
                  <w:r>
                    <w:rPr>
                      <w:rFonts w:ascii="仿宋_GB2312" w:hAnsi="仿宋_GB2312" w:cs="仿宋_GB2312" w:eastAsia="仿宋_GB2312"/>
                      <w:sz w:val="18"/>
                    </w:rPr>
                    <w:t>=标准分*完成率</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62"/>
                  <w:vMerge/>
                  <w:tcBorders>
                    <w:top w:val="none" w:color="000000" w:sz="4"/>
                    <w:left w:val="single" w:color="000000" w:sz="4"/>
                    <w:bottom w:val="single" w:color="000000" w:sz="4"/>
                    <w:right w:val="none" w:color="000000" w:sz="4"/>
                  </w:tcBorders>
                </w:tcPr>
                <w:p/>
              </w:tc>
              <w:tc>
                <w:tcPr>
                  <w:tcW w:type="dxa" w:w="510"/>
                  <w:vMerge/>
                  <w:tcBorders>
                    <w:top w:val="none" w:color="000000" w:sz="4"/>
                    <w:left w:val="single" w:color="000000" w:sz="4"/>
                    <w:bottom w:val="single" w:color="000000" w:sz="4"/>
                    <w:right w:val="single" w:color="000000" w:sz="4"/>
                  </w:tcBorders>
                </w:tcPr>
                <w:p/>
              </w:tc>
              <w:tc>
                <w:tcPr>
                  <w:tcW w:type="dxa" w:w="262"/>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每月组织全省热线大讲堂业务培训，包括下发通知、调测设备及相关支撑工作。</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未按时组织全省热线培训或保障不足的，扣</w:t>
                  </w:r>
                  <w:r>
                    <w:rPr>
                      <w:rFonts w:ascii="仿宋_GB2312" w:hAnsi="仿宋_GB2312" w:cs="仿宋_GB2312" w:eastAsia="仿宋_GB2312"/>
                      <w:sz w:val="18"/>
                    </w:rPr>
                    <w:t>2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附加项（全年累计）</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加分项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为省级</w:t>
                  </w:r>
                  <w:r>
                    <w:rPr>
                      <w:rFonts w:ascii="仿宋_GB2312" w:hAnsi="仿宋_GB2312" w:cs="仿宋_GB2312" w:eastAsia="仿宋_GB2312"/>
                      <w:sz w:val="18"/>
                    </w:rPr>
                    <w:t>12345 平台发展提供创新性意见或针对部分问题提供解决思路并被采纳，切实做到推送平台建设发展。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视意见宝贵程度加</w:t>
                  </w:r>
                  <w:r>
                    <w:rPr>
                      <w:rFonts w:ascii="仿宋_GB2312" w:hAnsi="仿宋_GB2312" w:cs="仿宋_GB2312" w:eastAsia="仿宋_GB2312"/>
                      <w:sz w:val="18"/>
                    </w:rPr>
                    <w:t>1-5 分不等。</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应邀向承办单位或热线大讲堂输出业务或服务培训。</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每次加</w:t>
                  </w:r>
                  <w:r>
                    <w:rPr>
                      <w:rFonts w:ascii="仿宋_GB2312" w:hAnsi="仿宋_GB2312" w:cs="仿宋_GB2312" w:eastAsia="仿宋_GB2312"/>
                      <w:sz w:val="18"/>
                    </w:rPr>
                    <w:t>1分。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群众表扬或感谢话务员、表扬省级平台并经查属实。</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由乙方主动进行报送，每次加</w:t>
                  </w:r>
                  <w:r>
                    <w:rPr>
                      <w:rFonts w:ascii="仿宋_GB2312" w:hAnsi="仿宋_GB2312" w:cs="仿宋_GB2312" w:eastAsia="仿宋_GB2312"/>
                      <w:sz w:val="18"/>
                      <w:color w:val="000000"/>
                    </w:rPr>
                    <w:t>1 分。受到省级及以上单位、领导或媒体表扬的，每次加 10 分。1、同一事项只计一次分。2、佐证材料不充分、不完整，或经核查不属实的不加分。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会议支撑受到好评。</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每次会议结束评价会议服务质量，</w:t>
                  </w:r>
                  <w:r>
                    <w:rPr>
                      <w:rFonts w:ascii="仿宋_GB2312" w:hAnsi="仿宋_GB2312" w:cs="仿宋_GB2312" w:eastAsia="仿宋_GB2312"/>
                      <w:sz w:val="18"/>
                      <w:color w:val="000000"/>
                    </w:rPr>
                    <w:t>90 分以上每次加 1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除话务运营之外的其他工作事项。</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运营团队主动支撑并参与，收到省政务服务中心主任认可的，每次加</w:t>
                  </w:r>
                  <w:r>
                    <w:rPr>
                      <w:rFonts w:ascii="仿宋_GB2312" w:hAnsi="仿宋_GB2312" w:cs="仿宋_GB2312" w:eastAsia="仿宋_GB2312"/>
                      <w:sz w:val="18"/>
                      <w:color w:val="000000"/>
                    </w:rPr>
                    <w:t>0.5 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扣分项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项目经理工作质量。</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由于工作疏忽等原因导致出现重大问题的，并造成省政务中心严重损失的，每次扣</w:t>
                  </w:r>
                  <w:r>
                    <w:rPr>
                      <w:rFonts w:ascii="仿宋_GB2312" w:hAnsi="仿宋_GB2312" w:cs="仿宋_GB2312" w:eastAsia="仿宋_GB2312"/>
                      <w:sz w:val="18"/>
                      <w:color w:val="000000"/>
                    </w:rPr>
                    <w:t>5 分，并追究相关人员责任。</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因安全或服务问题导致上级单位书面批评、媒体介入或领导批示造成负面影响。</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受到省级以下单位、领导或媒体批评或报道的，每次扣</w:t>
                  </w:r>
                  <w:r>
                    <w:rPr>
                      <w:rFonts w:ascii="仿宋_GB2312" w:hAnsi="仿宋_GB2312" w:cs="仿宋_GB2312" w:eastAsia="仿宋_GB2312"/>
                      <w:sz w:val="18"/>
                      <w:color w:val="000000"/>
                    </w:rPr>
                    <w:t>10 分；省级单位、领导或媒体批评或报道的， 每次扣 20 分；国家级单位、领导或媒体批评或报道的，每次扣 50分。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客户有效投诉</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因热线受理人员在受理中确实因服务态度差、业务能力低等问题造成群众投诉的（经查属实），每件扣</w:t>
                  </w:r>
                  <w:r>
                    <w:rPr>
                      <w:rFonts w:ascii="仿宋_GB2312" w:hAnsi="仿宋_GB2312" w:cs="仿宋_GB2312" w:eastAsia="仿宋_GB2312"/>
                      <w:sz w:val="18"/>
                      <w:color w:val="000000"/>
                    </w:rPr>
                    <w:t>2 分，并追究相关管理人员及热线受理人员责任。</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vMerge/>
                  <w:tcBorders>
                    <w:top w:val="none" w:color="000000" w:sz="4"/>
                    <w:left w:val="single" w:color="000000" w:sz="4"/>
                    <w:bottom w:val="single" w:color="000000" w:sz="4"/>
                    <w:right w:val="single" w:color="000000" w:sz="4"/>
                  </w:tcBorders>
                </w:tcPr>
                <w:p/>
              </w:tc>
              <w:tc>
                <w:tcPr>
                  <w:tcW w:type="dxa" w:w="510"/>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弄虚作假</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发现冒用群众提出诉求事项，骗取考核指标和回复、办理结果、督办结果、履职意见等弄虚作假等情况的，每次扣</w:t>
                  </w:r>
                  <w:r>
                    <w:rPr>
                      <w:rFonts w:ascii="仿宋_GB2312" w:hAnsi="仿宋_GB2312" w:cs="仿宋_GB2312" w:eastAsia="仿宋_GB2312"/>
                      <w:sz w:val="18"/>
                      <w:color w:val="000000"/>
                    </w:rPr>
                    <w:t>5 分，并追究相关管理人员及个人责任。</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商务及其他要求</w:t>
            </w:r>
          </w:p>
          <w:p>
            <w:pPr>
              <w:pStyle w:val="null3"/>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一、服务期及地点：</w:t>
            </w:r>
          </w:p>
          <w:p>
            <w:pPr>
              <w:pStyle w:val="null3"/>
              <w:ind w:firstLine="480"/>
              <w:jc w:val="left"/>
            </w:pPr>
            <w:r>
              <w:rPr>
                <w:rFonts w:ascii="仿宋_GB2312" w:hAnsi="仿宋_GB2312" w:cs="仿宋_GB2312" w:eastAsia="仿宋_GB2312"/>
                <w:sz w:val="24"/>
              </w:rPr>
              <w:t>1、服务期：</w:t>
            </w:r>
            <w:r>
              <w:rPr>
                <w:rFonts w:ascii="仿宋_GB2312" w:hAnsi="仿宋_GB2312" w:cs="仿宋_GB2312" w:eastAsia="仿宋_GB2312"/>
                <w:sz w:val="24"/>
              </w:rPr>
              <w:t>一年</w:t>
            </w:r>
          </w:p>
          <w:p>
            <w:pPr>
              <w:pStyle w:val="null3"/>
              <w:ind w:firstLine="480"/>
              <w:jc w:val="left"/>
            </w:pPr>
            <w:r>
              <w:rPr>
                <w:rFonts w:ascii="仿宋_GB2312" w:hAnsi="仿宋_GB2312" w:cs="仿宋_GB2312" w:eastAsia="仿宋_GB2312"/>
                <w:sz w:val="24"/>
              </w:rPr>
              <w:t>2、项目地点：采购人指定地点。</w:t>
            </w:r>
          </w:p>
          <w:p>
            <w:pPr>
              <w:pStyle w:val="null3"/>
              <w:ind w:firstLine="480"/>
              <w:jc w:val="left"/>
            </w:pPr>
            <w:r>
              <w:rPr>
                <w:rFonts w:ascii="仿宋_GB2312" w:hAnsi="仿宋_GB2312" w:cs="仿宋_GB2312" w:eastAsia="仿宋_GB2312"/>
                <w:sz w:val="24"/>
              </w:rPr>
              <w:t>二、付款方式和程序：</w:t>
            </w:r>
          </w:p>
          <w:p>
            <w:pPr>
              <w:pStyle w:val="null3"/>
              <w:ind w:firstLine="480"/>
              <w:jc w:val="left"/>
            </w:pPr>
            <w:r>
              <w:rPr>
                <w:rFonts w:ascii="仿宋_GB2312" w:hAnsi="仿宋_GB2312" w:cs="仿宋_GB2312" w:eastAsia="仿宋_GB2312"/>
                <w:sz w:val="24"/>
              </w:rPr>
              <w:t>1、合同签订后 ，达到付款条件起 30 日内，支付合同总金额的60.00%。 2025年12月底前，达到付款条件起 30 日内，支付合同总金额的 40.00%。《陕西12345政务服务便民热线平台服务质量考核细则》（见附件）考核结果应用于最终结算（</w:t>
            </w:r>
            <w:r>
              <w:rPr>
                <w:rFonts w:ascii="仿宋_GB2312" w:hAnsi="仿宋_GB2312" w:cs="仿宋_GB2312" w:eastAsia="仿宋_GB2312"/>
                <w:sz w:val="24"/>
                <w:b/>
              </w:rPr>
              <w:t>考核指标应用说明：该考核指标评价周期为月度评价。年度考核成绩</w:t>
            </w:r>
            <w:r>
              <w:rPr>
                <w:rFonts w:ascii="仿宋_GB2312" w:hAnsi="仿宋_GB2312" w:cs="仿宋_GB2312" w:eastAsia="仿宋_GB2312"/>
                <w:sz w:val="24"/>
                <w:b/>
              </w:rPr>
              <w:t>=月度考核指标平均值。应用办法：年度评价指标平均值＞95分不考核，全额结算；当年度评价指标平均值＜95分，每低一分扣结算额的1%，同时要求整改并提供整改报告。结算应用在最后一笔结算中。</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由中标人书面提出支付申请及拟支付金额等额的符合采购人财务管理要求的相应发票，采购人确认后启动支付流程。</w:t>
            </w:r>
          </w:p>
          <w:p>
            <w:pPr>
              <w:pStyle w:val="null3"/>
              <w:ind w:firstLine="480"/>
              <w:jc w:val="left"/>
            </w:pPr>
            <w:r>
              <w:rPr>
                <w:rFonts w:ascii="仿宋_GB2312" w:hAnsi="仿宋_GB2312" w:cs="仿宋_GB2312" w:eastAsia="仿宋_GB2312"/>
                <w:sz w:val="24"/>
              </w:rPr>
              <w:t>如因政府财政部门审查、财政支付管理流程及预算下达导致支付延期，支付期限自动顺延，采购人不承担责任，中标人不得以此为由迟延履行或不履行合同义务。</w:t>
            </w:r>
          </w:p>
          <w:p>
            <w:pPr>
              <w:pStyle w:val="null3"/>
              <w:ind w:firstLine="480"/>
              <w:jc w:val="left"/>
            </w:pPr>
            <w:r>
              <w:rPr>
                <w:rFonts w:ascii="仿宋_GB2312" w:hAnsi="仿宋_GB2312" w:cs="仿宋_GB2312" w:eastAsia="仿宋_GB2312"/>
                <w:sz w:val="24"/>
              </w:rPr>
              <w:t>2、中标人承诺在采购人办理支付手续前，为采购人出具等额的符合国家规定的发票。</w:t>
            </w:r>
          </w:p>
          <w:p>
            <w:pPr>
              <w:pStyle w:val="null3"/>
              <w:ind w:firstLine="480"/>
              <w:jc w:val="left"/>
            </w:pPr>
            <w:r>
              <w:rPr>
                <w:rFonts w:ascii="仿宋_GB2312" w:hAnsi="仿宋_GB2312" w:cs="仿宋_GB2312" w:eastAsia="仿宋_GB2312"/>
                <w:sz w:val="24"/>
              </w:rPr>
              <w:t>3、上述时间不包括采购人正常办理支付报批手续的时间。</w:t>
            </w:r>
          </w:p>
          <w:p>
            <w:pPr>
              <w:pStyle w:val="null3"/>
              <w:ind w:firstLine="480"/>
              <w:jc w:val="left"/>
            </w:pPr>
            <w:r>
              <w:rPr>
                <w:rFonts w:ascii="仿宋_GB2312" w:hAnsi="仿宋_GB2312" w:cs="仿宋_GB2312" w:eastAsia="仿宋_GB2312"/>
                <w:sz w:val="24"/>
              </w:rPr>
              <w:t>4、中标人未能按服务要求完成服务，则视为逾期违约，从逾期之日起每日按本合同总价1‰的数额向采购人支付违约金；逾期七个工作日以上的，采购人有权终止合同，且有权要求中标人支付合同总价款20%的违约金，违约金不足以弥补损失的，中标人应予补足。</w:t>
            </w:r>
          </w:p>
          <w:p>
            <w:pPr>
              <w:pStyle w:val="null3"/>
              <w:ind w:firstLine="480"/>
              <w:jc w:val="left"/>
            </w:pPr>
            <w:r>
              <w:rPr>
                <w:rFonts w:ascii="仿宋_GB2312" w:hAnsi="仿宋_GB2312" w:cs="仿宋_GB2312" w:eastAsia="仿宋_GB2312"/>
                <w:sz w:val="24"/>
              </w:rPr>
              <w:t>三、知识产权：</w:t>
            </w:r>
          </w:p>
          <w:p>
            <w:pPr>
              <w:pStyle w:val="null3"/>
              <w:ind w:firstLine="480"/>
              <w:jc w:val="left"/>
            </w:pPr>
            <w:r>
              <w:rPr>
                <w:rFonts w:ascii="仿宋_GB2312" w:hAnsi="仿宋_GB2312" w:cs="仿宋_GB2312" w:eastAsia="仿宋_GB2312"/>
                <w:sz w:val="24"/>
              </w:rPr>
              <w:t>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rPr>
              <w:t>服务承诺</w:t>
            </w:r>
          </w:p>
          <w:p>
            <w:pPr>
              <w:pStyle w:val="null3"/>
              <w:ind w:firstLine="480"/>
              <w:jc w:val="left"/>
            </w:pPr>
            <w:r>
              <w:rPr>
                <w:rFonts w:ascii="仿宋_GB2312" w:hAnsi="仿宋_GB2312" w:cs="仿宋_GB2312" w:eastAsia="仿宋_GB2312"/>
                <w:sz w:val="24"/>
              </w:rPr>
              <w:t>投标人应遵照国家规范规定的技术服务内容及要求作出明确承诺。</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合同实施</w:t>
            </w:r>
          </w:p>
          <w:p>
            <w:pPr>
              <w:pStyle w:val="null3"/>
              <w:ind w:firstLine="480"/>
              <w:jc w:val="left"/>
            </w:pPr>
            <w:r>
              <w:rPr>
                <w:rFonts w:ascii="仿宋_GB2312" w:hAnsi="仿宋_GB2312" w:cs="仿宋_GB2312" w:eastAsia="仿宋_GB2312"/>
                <w:sz w:val="24"/>
              </w:rPr>
              <w:t>若未能在服务期内完成合同规定的义务，由此对采购人造成的延误和一切损失，由中标人承担和赔偿。</w:t>
            </w:r>
          </w:p>
          <w:p>
            <w:pPr>
              <w:pStyle w:val="null3"/>
              <w:ind w:firstLine="480"/>
              <w:jc w:val="left"/>
            </w:pPr>
            <w:r>
              <w:rPr>
                <w:rFonts w:ascii="仿宋_GB2312" w:hAnsi="仿宋_GB2312" w:cs="仿宋_GB2312" w:eastAsia="仿宋_GB2312"/>
                <w:sz w:val="24"/>
              </w:rPr>
              <w:t>六、违约责任：</w:t>
            </w:r>
          </w:p>
          <w:p>
            <w:pPr>
              <w:pStyle w:val="null3"/>
              <w:ind w:firstLine="360"/>
              <w:jc w:val="both"/>
            </w:pPr>
            <w:r>
              <w:rPr>
                <w:rFonts w:ascii="仿宋_GB2312" w:hAnsi="仿宋_GB2312" w:cs="仿宋_GB2312" w:eastAsia="仿宋_GB2312"/>
                <w:sz w:val="24"/>
                <w:color w:val="333333"/>
              </w:rPr>
              <w:t>6.1中标人违反其服务条款时，采购人有权要求中标人在5天内予以改正，逾期不改的，采购人有权每日按照合同总金额的0.3%收取中标人违约金。当以上情况持续30天或以上时，采购人有权终止合同，中标人必须将全部服务资料移交甲方，并在合同终止之日起10天内，配合采购人做好服务交接工作，采购人有权追回未完成合同项目的款项，并有权对由此引起的损失要求中标人予以赔偿；</w:t>
            </w:r>
          </w:p>
          <w:p>
            <w:pPr>
              <w:pStyle w:val="null3"/>
              <w:ind w:firstLine="360"/>
              <w:jc w:val="both"/>
            </w:pPr>
            <w:r>
              <w:rPr>
                <w:rFonts w:ascii="仿宋_GB2312" w:hAnsi="仿宋_GB2312" w:cs="仿宋_GB2312" w:eastAsia="仿宋_GB2312"/>
                <w:sz w:val="24"/>
                <w:color w:val="333333"/>
              </w:rPr>
              <w:t xml:space="preserve"> </w:t>
            </w:r>
            <w:r>
              <w:rPr>
                <w:rFonts w:ascii="仿宋_GB2312" w:hAnsi="仿宋_GB2312" w:cs="仿宋_GB2312" w:eastAsia="仿宋_GB2312"/>
                <w:sz w:val="24"/>
                <w:color w:val="333333"/>
              </w:rPr>
              <w:t>6.2因中标人行为违反法律规定产生引起的民事和刑事责任由中标人承担；</w:t>
            </w:r>
          </w:p>
          <w:p>
            <w:pPr>
              <w:pStyle w:val="null3"/>
              <w:ind w:firstLine="360"/>
              <w:jc w:val="both"/>
            </w:pPr>
            <w:r>
              <w:rPr>
                <w:rFonts w:ascii="仿宋_GB2312" w:hAnsi="仿宋_GB2312" w:cs="仿宋_GB2312" w:eastAsia="仿宋_GB2312"/>
                <w:sz w:val="24"/>
                <w:color w:val="333333"/>
              </w:rPr>
              <w:t xml:space="preserve"> </w:t>
            </w:r>
            <w:r>
              <w:rPr>
                <w:rFonts w:ascii="仿宋_GB2312" w:hAnsi="仿宋_GB2312" w:cs="仿宋_GB2312" w:eastAsia="仿宋_GB2312"/>
                <w:sz w:val="24"/>
                <w:color w:val="333333"/>
              </w:rPr>
              <w:t>6.3因中标人行为侵害第三方权益的，责任和相关损失由中标人承担；</w:t>
            </w:r>
          </w:p>
          <w:p>
            <w:pPr>
              <w:pStyle w:val="null3"/>
              <w:ind w:firstLine="360"/>
              <w:jc w:val="both"/>
            </w:pPr>
            <w:r>
              <w:rPr>
                <w:rFonts w:ascii="仿宋_GB2312" w:hAnsi="仿宋_GB2312" w:cs="仿宋_GB2312" w:eastAsia="仿宋_GB2312"/>
                <w:sz w:val="24"/>
                <w:color w:val="333333"/>
              </w:rPr>
              <w:t xml:space="preserve"> </w:t>
            </w:r>
            <w:r>
              <w:rPr>
                <w:rFonts w:ascii="仿宋_GB2312" w:hAnsi="仿宋_GB2312" w:cs="仿宋_GB2312" w:eastAsia="仿宋_GB2312"/>
                <w:sz w:val="24"/>
                <w:color w:val="333333"/>
              </w:rPr>
              <w:t>6.4中标人违反保密规定，全部责任由中标人承担，并需赔偿采购人由此引起的损失。</w:t>
            </w:r>
          </w:p>
          <w:p>
            <w:pPr>
              <w:pStyle w:val="null3"/>
              <w:ind w:firstLine="480"/>
              <w:jc w:val="left"/>
            </w:pPr>
            <w:r>
              <w:rPr>
                <w:rFonts w:ascii="仿宋_GB2312" w:hAnsi="仿宋_GB2312" w:cs="仿宋_GB2312" w:eastAsia="仿宋_GB2312"/>
                <w:sz w:val="24"/>
                <w:color w:val="333333"/>
              </w:rPr>
              <w:t>6.5中标人与其他项目中标企业之间要相互配合完成整体项目，如因不配合或配合不当影响整体项目的，由采购人根据工作实际，认定违约企业和不配合企业的违约责任，并由违约企业和不配合企业共同承担相应的责任。</w:t>
            </w:r>
          </w:p>
          <w:p>
            <w:pPr>
              <w:pStyle w:val="null3"/>
              <w:ind w:firstLine="480"/>
              <w:jc w:val="left"/>
            </w:pPr>
            <w:r>
              <w:rPr>
                <w:rFonts w:ascii="仿宋_GB2312" w:hAnsi="仿宋_GB2312" w:cs="仿宋_GB2312" w:eastAsia="仿宋_GB2312"/>
                <w:sz w:val="24"/>
              </w:rPr>
              <w:t>七、保密要求：</w:t>
            </w:r>
          </w:p>
          <w:p>
            <w:pPr>
              <w:pStyle w:val="null3"/>
              <w:ind w:firstLine="480"/>
              <w:jc w:val="left"/>
            </w:pPr>
            <w:r>
              <w:rPr>
                <w:rFonts w:ascii="仿宋_GB2312" w:hAnsi="仿宋_GB2312" w:cs="仿宋_GB2312" w:eastAsia="仿宋_GB2312"/>
                <w:sz w:val="24"/>
              </w:rPr>
              <w:t>1、突出重点：针对项目中的关键信息、敏感数据和重要系统，应实施重点保护和监控，确保这些信息的安全性和保密性。</w:t>
            </w:r>
          </w:p>
          <w:p>
            <w:pPr>
              <w:pStyle w:val="null3"/>
              <w:ind w:firstLine="480"/>
              <w:jc w:val="left"/>
            </w:pPr>
            <w:r>
              <w:rPr>
                <w:rFonts w:ascii="仿宋_GB2312" w:hAnsi="仿宋_GB2312" w:cs="仿宋_GB2312" w:eastAsia="仿宋_GB2312"/>
                <w:sz w:val="24"/>
              </w:rPr>
              <w:t>2、全面管理：保密工作应贯穿信息的全生命周期，包括信息的产生、存储、传输、使用和销毁等各个环节，实现全面管理和控制。</w:t>
            </w:r>
          </w:p>
          <w:p>
            <w:pPr>
              <w:pStyle w:val="null3"/>
              <w:ind w:firstLine="480"/>
              <w:jc w:val="left"/>
            </w:pPr>
            <w:r>
              <w:rPr>
                <w:rFonts w:ascii="仿宋_GB2312" w:hAnsi="仿宋_GB2312" w:cs="仿宋_GB2312" w:eastAsia="仿宋_GB2312"/>
                <w:sz w:val="24"/>
              </w:rPr>
              <w:t>3、确保安全：通过技术手段和管理措施，确保项目过程中的信息不被非法获取、泄露或滥用，保障政法工作的正常开展和国家安全。</w:t>
            </w:r>
          </w:p>
          <w:p>
            <w:pPr>
              <w:pStyle w:val="null3"/>
              <w:ind w:firstLine="200"/>
              <w:jc w:val="both"/>
            </w:pPr>
            <w:r>
              <w:rPr>
                <w:rFonts w:ascii="仿宋_GB2312" w:hAnsi="仿宋_GB2312" w:cs="仿宋_GB2312" w:eastAsia="仿宋_GB2312"/>
                <w:sz w:val="24"/>
              </w:rPr>
              <w:t>4、中标人应保证采购人在使用该服务时，不受第三方侵权指控。同时，中标人须保证数据中心数据安全，不得向第三方泄露采购机构提供的技术文件等与本项目有关的任何资料。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七.资格证明文件docx.docx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2023年度或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投标保证金交纳凭证（附开户许可证或基本账户存款信息）</w:t>
            </w:r>
          </w:p>
        </w:tc>
        <w:tc>
          <w:tcPr>
            <w:tcW w:type="dxa" w:w="1661"/>
          </w:tcPr>
          <w:p>
            <w:pPr>
              <w:pStyle w:val="null3"/>
            </w:pPr>
            <w:r>
              <w:rPr>
                <w:rFonts w:ascii="仿宋_GB2312" w:hAnsi="仿宋_GB2312" w:cs="仿宋_GB2312" w:eastAsia="仿宋_GB2312"/>
              </w:rPr>
              <w:t>七.资格证明文件docx.docx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三.分项报价表.docx 投标函 二.开标一览表docx.docx 标的清单 一.投标函docx.docx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投标供应商名称与获取招标文件的单位名称是否一致的</w:t>
            </w:r>
          </w:p>
        </w:tc>
        <w:tc>
          <w:tcPr>
            <w:tcW w:type="dxa" w:w="3322"/>
          </w:tcPr>
          <w:p>
            <w:pPr>
              <w:pStyle w:val="null3"/>
            </w:pPr>
            <w:r>
              <w:rPr>
                <w:rFonts w:ascii="仿宋_GB2312" w:hAnsi="仿宋_GB2312" w:cs="仿宋_GB2312" w:eastAsia="仿宋_GB2312"/>
              </w:rPr>
              <w:t>投标供应商名称与获取招标文件的单位名称一致的</w:t>
            </w:r>
          </w:p>
        </w:tc>
        <w:tc>
          <w:tcPr>
            <w:tcW w:type="dxa" w:w="1661"/>
          </w:tcPr>
          <w:p>
            <w:pPr>
              <w:pStyle w:val="null3"/>
            </w:pPr>
            <w:r>
              <w:rPr>
                <w:rFonts w:ascii="仿宋_GB2312" w:hAnsi="仿宋_GB2312" w:cs="仿宋_GB2312" w:eastAsia="仿宋_GB2312"/>
              </w:rPr>
              <w:t>三.分项报价表.docx 投标函 二.开标一览表docx.docx 标的清单 投标文件封面 一.投标函docx.docx 四.商务偏离表docx.docx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投标文件是否按照招标文件规定要求签署、盖章的</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三.分项报价表.docx 二.开标一览表docx.docx 投标文件封面 一.投标函docx.docx 四.商务偏离表docx.docx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投标有效期是否满足招标文件要求的</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七.资格证明文件docx.docx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报价是否超过招标文件中规定的预算金额或者最高限价的</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三.分项报价表.docx 投标函 二.开标一览表docx.docx 标的清单 一.投标函docx.docx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对招标文件商务要求是否出现重大负偏离的</w:t>
            </w:r>
          </w:p>
        </w:tc>
        <w:tc>
          <w:tcPr>
            <w:tcW w:type="dxa" w:w="3322"/>
          </w:tcPr>
          <w:p>
            <w:pPr>
              <w:pStyle w:val="null3"/>
            </w:pPr>
            <w:r>
              <w:rPr>
                <w:rFonts w:ascii="仿宋_GB2312" w:hAnsi="仿宋_GB2312" w:cs="仿宋_GB2312" w:eastAsia="仿宋_GB2312"/>
              </w:rPr>
              <w:t>对招标文件商务要求未出现重大负偏离的</w:t>
            </w:r>
          </w:p>
        </w:tc>
        <w:tc>
          <w:tcPr>
            <w:tcW w:type="dxa" w:w="1661"/>
          </w:tcPr>
          <w:p>
            <w:pPr>
              <w:pStyle w:val="null3"/>
            </w:pPr>
            <w:r>
              <w:rPr>
                <w:rFonts w:ascii="仿宋_GB2312" w:hAnsi="仿宋_GB2312" w:cs="仿宋_GB2312" w:eastAsia="仿宋_GB2312"/>
              </w:rPr>
              <w:t>四.商务偏离表docx.docx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1、充分理解本项目服务需求对项目现状和整体认知的理解，思路清晰明确得4分； 2、理解方案完整合理，但还有可以优化空间得2分； 3、方案内容有缺陷、表述前后不一致、套用其他项目方案或与项目需求匹配性差得1分；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供应商充分理解政务服务热线工作要求，提供项目整体服务方案。 方案内容至少包括:1、运营管理方案；2、特殊座席服务方案；3、运行维护方案；4、业务及工单管理方案。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数据分析方案</w:t>
            </w:r>
          </w:p>
        </w:tc>
        <w:tc>
          <w:tcPr>
            <w:tcW w:type="dxa" w:w="2492"/>
          </w:tcPr>
          <w:p>
            <w:pPr>
              <w:pStyle w:val="null3"/>
            </w:pPr>
            <w:r>
              <w:rPr>
                <w:rFonts w:ascii="仿宋_GB2312" w:hAnsi="仿宋_GB2312" w:cs="仿宋_GB2312" w:eastAsia="仿宋_GB2312"/>
              </w:rPr>
              <w:t>供应商提供数据分析方案：至少包含1、具备数据分析、挖掘能力；2、能提供日常的数据分析报告。 方案所涉及的服务方案周密健全完善，项目工作成果科学严谨，项目服务全流程具体可行，运作流程流畅，能有效保障本项目实施，每有一项缺项扣2分，每有一处内容存在缺陷，扣1分，扣完为止。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六.承诺文件docx.docx</w:t>
            </w:r>
          </w:p>
          <w:p>
            <w:pPr>
              <w:pStyle w:val="null3"/>
            </w:pPr>
            <w:r>
              <w:rPr>
                <w:rFonts w:ascii="仿宋_GB2312" w:hAnsi="仿宋_GB2312" w:cs="仿宋_GB2312" w:eastAsia="仿宋_GB2312"/>
              </w:rPr>
              <w:t>五.项目实施方案docx.docx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供应商充分理解政务服务热线工作要求，提供项目质量保障方案。 方案内容至少包括: 1、服务质量保障目标； 2、服务质量保障措施； 3、服务质量承诺； 4、投诉处理管理方案等。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六.承诺文件docx.docx</w:t>
            </w:r>
          </w:p>
          <w:p>
            <w:pPr>
              <w:pStyle w:val="null3"/>
            </w:pPr>
            <w:r>
              <w:rPr>
                <w:rFonts w:ascii="仿宋_GB2312" w:hAnsi="仿宋_GB2312" w:cs="仿宋_GB2312" w:eastAsia="仿宋_GB2312"/>
              </w:rPr>
              <w:t>五.项目实施方案docx.docx</w:t>
            </w:r>
          </w:p>
        </w:tc>
      </w:tr>
      <w:tr>
        <w:tc>
          <w:tcPr>
            <w:tcW w:type="dxa" w:w="831"/>
            <w:vMerge/>
          </w:tcPr>
          <w:p/>
        </w:tc>
        <w:tc>
          <w:tcPr>
            <w:tcW w:type="dxa" w:w="1661"/>
          </w:tcPr>
          <w:p>
            <w:pPr>
              <w:pStyle w:val="null3"/>
            </w:pPr>
            <w:r>
              <w:rPr>
                <w:rFonts w:ascii="仿宋_GB2312" w:hAnsi="仿宋_GB2312" w:cs="仿宋_GB2312" w:eastAsia="仿宋_GB2312"/>
              </w:rPr>
              <w:t>热线场地、线路资源、设备等保障方案</w:t>
            </w:r>
          </w:p>
        </w:tc>
        <w:tc>
          <w:tcPr>
            <w:tcW w:type="dxa" w:w="2492"/>
          </w:tcPr>
          <w:p>
            <w:pPr>
              <w:pStyle w:val="null3"/>
            </w:pPr>
            <w:r>
              <w:rPr>
                <w:rFonts w:ascii="仿宋_GB2312" w:hAnsi="仿宋_GB2312" w:cs="仿宋_GB2312" w:eastAsia="仿宋_GB2312"/>
              </w:rPr>
              <w:t>投标人应按照12345热线网络和语音线路需求制定线路保障方案，方案至少应包含： 1、热线场地保障方案； 2、线路维护方案； 3、线路接入设备维护方案； 4、线路安全防护。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工作组成员的情况</w:t>
            </w:r>
          </w:p>
        </w:tc>
        <w:tc>
          <w:tcPr>
            <w:tcW w:type="dxa" w:w="2492"/>
          </w:tcPr>
          <w:p>
            <w:pPr>
              <w:pStyle w:val="null3"/>
            </w:pPr>
            <w:r>
              <w:rPr>
                <w:rFonts w:ascii="仿宋_GB2312" w:hAnsi="仿宋_GB2312" w:cs="仿宋_GB2312" w:eastAsia="仿宋_GB2312"/>
              </w:rPr>
              <w:t>供应商提供针对本项目拟投入的工作组成员的情况说明及经验能力证明材料。 方案内容至少包含:1、工作组成员管理组织架构、人员分工；2、工作职责划分；3、业务管理流程等内容。 方案所涉及的拟投入的工作组成员管理组织架构清晰，人员分工和工作职责划分明确、业务管理流程详细，能有效保障本项目实施，每有一项缺项3分，每有一处内容存在缺陷，扣1分，扣完为止。 备注:缺陷是指内容不合理、虽有内容但不完善、内容表述 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六.承诺文件docx.docx</w:t>
            </w:r>
          </w:p>
          <w:p>
            <w:pPr>
              <w:pStyle w:val="null3"/>
            </w:pPr>
            <w:r>
              <w:rPr>
                <w:rFonts w:ascii="仿宋_GB2312" w:hAnsi="仿宋_GB2312" w:cs="仿宋_GB2312" w:eastAsia="仿宋_GB2312"/>
              </w:rPr>
              <w:t>五.项目实施方案docx.docx</w:t>
            </w:r>
          </w:p>
        </w:tc>
      </w:tr>
      <w:tr>
        <w:tc>
          <w:tcPr>
            <w:tcW w:type="dxa" w:w="831"/>
            <w:vMerge/>
          </w:tcPr>
          <w:p/>
        </w:tc>
        <w:tc>
          <w:tcPr>
            <w:tcW w:type="dxa" w:w="1661"/>
          </w:tcPr>
          <w:p>
            <w:pPr>
              <w:pStyle w:val="null3"/>
            </w:pPr>
            <w:r>
              <w:rPr>
                <w:rFonts w:ascii="仿宋_GB2312" w:hAnsi="仿宋_GB2312" w:cs="仿宋_GB2312" w:eastAsia="仿宋_GB2312"/>
              </w:rPr>
              <w:t>实施保障</w:t>
            </w:r>
          </w:p>
        </w:tc>
        <w:tc>
          <w:tcPr>
            <w:tcW w:type="dxa" w:w="2492"/>
          </w:tcPr>
          <w:p>
            <w:pPr>
              <w:pStyle w:val="null3"/>
            </w:pPr>
            <w:r>
              <w:rPr>
                <w:rFonts w:ascii="仿宋_GB2312" w:hAnsi="仿宋_GB2312" w:cs="仿宋_GB2312" w:eastAsia="仿宋_GB2312"/>
              </w:rPr>
              <w:t>提供基础电信业务经营许可证或增值电信业务经营许可证（包含第二类（B2）呼叫中心业务）得2分，未提供不得分。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现场网络、软硬件维护人员（2人）</w:t>
            </w:r>
          </w:p>
        </w:tc>
        <w:tc>
          <w:tcPr>
            <w:tcW w:type="dxa" w:w="2492"/>
          </w:tcPr>
          <w:p>
            <w:pPr>
              <w:pStyle w:val="null3"/>
            </w:pPr>
            <w:r>
              <w:rPr>
                <w:rFonts w:ascii="仿宋_GB2312" w:hAnsi="仿宋_GB2312" w:cs="仿宋_GB2312" w:eastAsia="仿宋_GB2312"/>
              </w:rPr>
              <w:t>具有网络工程师或通信工程师或信息安全工程师证书，提供1人证书得1分，满分2分，未提供不得分。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供应商提供针对本项目培训方案。方案内容至少包含:1、培训大纲；2、培训计划等内容。 方案所涉及提交符合热线运行管理实际的培训内容，制定合理高效的培训计划，培训计划应体现培训时间安排和培训形式，能有效保障本项目实施，每有一项缺项扣2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难点分析方案</w:t>
            </w:r>
          </w:p>
        </w:tc>
        <w:tc>
          <w:tcPr>
            <w:tcW w:type="dxa" w:w="2492"/>
          </w:tcPr>
          <w:p>
            <w:pPr>
              <w:pStyle w:val="null3"/>
            </w:pPr>
            <w:r>
              <w:rPr>
                <w:rFonts w:ascii="仿宋_GB2312" w:hAnsi="仿宋_GB2312" w:cs="仿宋_GB2312" w:eastAsia="仿宋_GB2312"/>
              </w:rPr>
              <w:t>供应商提供针对本项目的难点分析方案，方案至少包括：1、在编制中提出容易出错或忽略的难点分析；2、针对所提出的难点有相应的解决方案。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供应商提供针对本项目的安全保密方案，方案至少包括：1、保密管理制度；2、对数据和信息安全保密；3、其他保密措施等。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六.承诺文件docx.docx</w:t>
            </w:r>
          </w:p>
          <w:p>
            <w:pPr>
              <w:pStyle w:val="null3"/>
            </w:pPr>
            <w:r>
              <w:rPr>
                <w:rFonts w:ascii="仿宋_GB2312" w:hAnsi="仿宋_GB2312" w:cs="仿宋_GB2312" w:eastAsia="仿宋_GB2312"/>
              </w:rPr>
              <w:t>五.项目实施方案docx.docx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供应商提供针对本项目的应急方案，方案至少包括：1、能够处理各类紧急事项的措施；2、保证项目实施，能够保证在规定的时间解决问题。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辅助全省热线发展方案</w:t>
            </w:r>
          </w:p>
        </w:tc>
        <w:tc>
          <w:tcPr>
            <w:tcW w:type="dxa" w:w="2492"/>
          </w:tcPr>
          <w:p>
            <w:pPr>
              <w:pStyle w:val="null3"/>
            </w:pPr>
            <w:r>
              <w:rPr>
                <w:rFonts w:ascii="仿宋_GB2312" w:hAnsi="仿宋_GB2312" w:cs="仿宋_GB2312" w:eastAsia="仿宋_GB2312"/>
              </w:rPr>
              <w:t>供应商提供针对本项目的辅助全省热线发展方案，方案至少包括：1、人工智能推进辅助方案；2、“接诉即办”重点任务配合实施方案；3.热线归并实施方案。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五.项目实施方案docx.docx</w:t>
            </w:r>
          </w:p>
          <w:p>
            <w:pPr>
              <w:pStyle w:val="null3"/>
            </w:pPr>
            <w:r>
              <w:rPr>
                <w:rFonts w:ascii="仿宋_GB2312" w:hAnsi="仿宋_GB2312" w:cs="仿宋_GB2312" w:eastAsia="仿宋_GB2312"/>
              </w:rPr>
              <w:t>六.承诺文件docx.docx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六.承诺文件docx.docx</w:t>
            </w:r>
          </w:p>
          <w:p>
            <w:pPr>
              <w:pStyle w:val="null3"/>
            </w:pPr>
            <w:r>
              <w:rPr>
                <w:rFonts w:ascii="仿宋_GB2312" w:hAnsi="仿宋_GB2312" w:cs="仿宋_GB2312" w:eastAsia="仿宋_GB2312"/>
              </w:rPr>
              <w:t>五.项目实施方案docx.docx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提供2022年1月1日以来同类项目业绩，每提供一个得1分，满分3分。以合同签订日期为准，提供合同复印件加盖公章。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八.其他资料docx.docx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一.投标函docx.docx</w:t>
            </w:r>
          </w:p>
          <w:p>
            <w:pPr>
              <w:pStyle w:val="null3"/>
            </w:pPr>
            <w:r>
              <w:rPr>
                <w:rFonts w:ascii="仿宋_GB2312" w:hAnsi="仿宋_GB2312" w:cs="仿宋_GB2312" w:eastAsia="仿宋_GB2312"/>
              </w:rPr>
              <w:t>二.开标一览表docx.docx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八.其他资料docx.docx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详见附件：一.投标函docx.docx</w:t>
      </w:r>
    </w:p>
    <w:p>
      <w:pPr>
        <w:pStyle w:val="null3"/>
        <w:ind w:firstLine="960"/>
      </w:pPr>
      <w:r>
        <w:rPr>
          <w:rFonts w:ascii="仿宋_GB2312" w:hAnsi="仿宋_GB2312" w:cs="仿宋_GB2312" w:eastAsia="仿宋_GB2312"/>
        </w:rPr>
        <w:t>详见附件：二.开标一览表docx.docx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详见附件：四.商务偏离表docx.docx</w:t>
      </w:r>
    </w:p>
    <w:p>
      <w:pPr>
        <w:pStyle w:val="null3"/>
        <w:ind w:firstLine="960"/>
      </w:pPr>
      <w:r>
        <w:rPr>
          <w:rFonts w:ascii="仿宋_GB2312" w:hAnsi="仿宋_GB2312" w:cs="仿宋_GB2312" w:eastAsia="仿宋_GB2312"/>
        </w:rPr>
        <w:t>详见附件：五.项目实施方案docx.docx</w:t>
      </w:r>
    </w:p>
    <w:p>
      <w:pPr>
        <w:pStyle w:val="null3"/>
        <w:ind w:firstLine="960"/>
      </w:pPr>
      <w:r>
        <w:rPr>
          <w:rFonts w:ascii="仿宋_GB2312" w:hAnsi="仿宋_GB2312" w:cs="仿宋_GB2312" w:eastAsia="仿宋_GB2312"/>
        </w:rPr>
        <w:t>详见附件：六.承诺文件docx.docx</w:t>
      </w:r>
    </w:p>
    <w:p>
      <w:pPr>
        <w:pStyle w:val="null3"/>
        <w:ind w:firstLine="960"/>
      </w:pPr>
      <w:r>
        <w:rPr>
          <w:rFonts w:ascii="仿宋_GB2312" w:hAnsi="仿宋_GB2312" w:cs="仿宋_GB2312" w:eastAsia="仿宋_GB2312"/>
        </w:rPr>
        <w:t>详见附件：七.资格证明文件docx.docx</w:t>
      </w:r>
    </w:p>
    <w:p>
      <w:pPr>
        <w:pStyle w:val="null3"/>
        <w:ind w:firstLine="960"/>
      </w:pPr>
      <w:r>
        <w:rPr>
          <w:rFonts w:ascii="仿宋_GB2312" w:hAnsi="仿宋_GB2312" w:cs="仿宋_GB2312" w:eastAsia="仿宋_GB2312"/>
        </w:rPr>
        <w:t>详见附件：八.其他资料docx.docx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详见附件：第六章 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