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版本号：SNJZ-2025-132A20250730001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全省燃气行业市场竞争状况评估及反垄断执法研究项目(二次)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SNJZ-2025-132A</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全省燃气行业市场竞争状况评估及反垄断执法研究项目(二次)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SNJZ-2025-132A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全省燃气行业市场竞争状况评估及反垄断执法研究项目(二次)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全省燃气行业市场竞争状况评估及反垄断执法研究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2、法人授权书 （证明书）：法定代表人参加磋商时，提供法定代表人证明书；授权代表参加磋商时，提供法定代表人授权书；非法人单位参照执行。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响应文件递交截止时间前一年内银行出具的资信证明；事业单位、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4、税收缴纳证明：提供响应文件提交截止时间前一年内至少一个月已缴纳的纳税凭据或完税证明，依法免税的供应商应提供相关文件证明。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一年内已缴存的至少一个月的社会保障资金缴存单据，或社保机构出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029-86138829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王力 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代理服务费收费标准：定额5000.00元。 服务费交纳账户：开户行：中国光大银行陕西自贸试验区西安唐延路支行，开户名称：陕西教育招标有限责任公司，银行行号：303791000136，开户账号：78580188000058925，财务电话：029-88224928。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（1）供应商按合同约定完成所有服务，且服务质量无争议，视为验收合格。（2）验收依据：合同文本；国家有关的验收标准及规范；磋商文件；响应文件。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联系人：王力</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全省燃气行业市场竞争状况评估及反垄断执法研究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全省燃气行业市场竞争状况评估及反垄断执法研究项目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标的名称：全省燃气行业市场竞争状况评估及反垄断执法研究项目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200"/>
              <w:jc w:val="both"/>
            </w:pPr>
            <w:r>
              <w:rPr>
                <w:rFonts w:ascii="仿宋_GB2312" w:hAnsi="仿宋_GB2312" w:cs="仿宋_GB2312" w:eastAsia="仿宋_GB2312"/>
                <w:sz w:val="21"/>
                <w:color w:val="8EAADB"/>
              </w:rPr>
              <w:t>燃气供应行业作为关涉民生的公用事业，其市场竞争状况关乎广大人民群众的切身利益。然而从近年来处理的投诉举报和调研情况看，当前我省公用事业领域特别是城市燃气供应行业依然存在市场竞争不充分、垄断行为频发等问题，包括燃气行业在内的公用事业领域的反垄断规制一直是市场监管部门的重点工作，反垄断局拟委托</w:t>
            </w:r>
            <w:r>
              <w:rPr>
                <w:rFonts w:ascii="仿宋_GB2312" w:hAnsi="仿宋_GB2312" w:cs="仿宋_GB2312" w:eastAsia="仿宋_GB2312"/>
                <w:sz w:val="21"/>
                <w:color w:val="8EAADB"/>
              </w:rPr>
              <w:t>第三方</w:t>
            </w:r>
            <w:r>
              <w:rPr>
                <w:rFonts w:ascii="仿宋_GB2312" w:hAnsi="仿宋_GB2312" w:cs="仿宋_GB2312" w:eastAsia="仿宋_GB2312"/>
                <w:sz w:val="21"/>
                <w:color w:val="8EAADB"/>
              </w:rPr>
              <w:t>机构就如何适用竞争法尤其《反垄断法》对其垄断问题予以有效规制，并探索构建相应配套制度性框架，通过积极执法推进我省公用事业领域市场化法治化改革，促进该领域开展公平竞争，维护健康的燃气经营秩序，保护消费者合法权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（1）供应商按合同约定完成所有服务，且服务质量无争议，视为验收合格。（2）验收依据：合同文本；国家有关的验收标准及规范；磋商文件；响应文件。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（2）供应商未按合同要求提供服务或服务质量不能满足技术要求，且在规定时间内未使采购人满意的，采购人有权解除合同，同时报请陕西省财政厅政府采购监管部门对其违约行为进行追究。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 （证明书）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响应文件递交截止时间前一年内银行出具的资信证明；事业单位、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提供响应文件截止时间前一年内已缴存的至少一个月的社会保障资金缴存单据，或社保机构出具的社会保险参保缴费情况证明，依法不需要缴纳社会保障资金的单位应提供相关证明材料。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磋商报价未高于磋商文件公布的预算金额或最高限价。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磋商有效期不少于性磋商文件要求，否则其响应文件按无效处理。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商务应答表 服务内容及服务要求应答表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根据本项目实际需求及特点，制定总体方案，方案包括：①项目需求理解；②关键点、重难点分析及解决方案；③实施方案。 二、评审标准 1.完整性：方案必须全面，对评审内容中的各项要求有详细描述； 2.准确性：方案描述准确，没有实质性错误或明显的描述及逻辑错误； 3.可实施性：切合本项目实际情况，提出步骤清晰、合理的方案； 4.针对性：方案能够紧扣项目实际情况，内容科学合理； 5.重点突出性：重点突出，充分体现项目采购需求。 三、赋分标准（满分20分） ①项目需求理解：完全满足每个评审标准得1分，有瑕疵得0.5分，有缺陷得0分，满分 5分。 ②关键点、重难点分析及解决方案：完全满足每个评审标准得1分，有瑕疵得0.5分，有缺陷得0分，满分 5分。 ③实施方案：完全满足每个评审标准得2分，有瑕疵得1分，有缺陷得0分，满分 10分。 说明：瑕疵是指存在不完全满足评分标准，但项目仍可实施。缺陷是指为不满足评分标准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 方案</w:t>
            </w:r>
          </w:p>
        </w:tc>
        <w:tc>
          <w:tcPr>
            <w:tcW w:type="dxa" w:w="2492"/>
          </w:tcPr>
          <w:p>
            <w:pPr>
              <w:pStyle w:val="null3"/>
            </w:pPr>
            <w:r>
              <w:rPr>
                <w:rFonts w:ascii="仿宋_GB2312" w:hAnsi="仿宋_GB2312" w:cs="仿宋_GB2312" w:eastAsia="仿宋_GB2312"/>
              </w:rPr>
              <w:t>一、评审内容 根据本项目实际需求及特点，制定质量保障方案，方案包括：①质量保障目标；②质量控制措施。 二、评审标准 1.完整性：方案必须全面，对评审内容中的各项要求有详细描述； 2.准确性：方案描述准确，没有实质性错误或明显的描述及逻辑错误； 3.可实施性：切合本项目实际情况，提出步骤清晰、合理的方案； 4.针对性：方案能够紧扣项目实际情况，内容科学合理； 5.重点突出性：重点突出，充分体现项目采购需求。 三、赋分标准（满分15分） ①质量保障目标：完全满足每个评审标准得1分，有瑕疵得0.5分，有缺陷得0分，满分 5 分。 ②质量控制措施：完全满足每个评审标准得2分，有瑕疵得1分，有缺陷得0分，满分 10分。 说明：瑕疵是指存在不完全满足评分标准，但项目仍可实施。缺陷是指为不满足评分标准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团队负责人</w:t>
            </w:r>
          </w:p>
        </w:tc>
        <w:tc>
          <w:tcPr>
            <w:tcW w:type="dxa" w:w="2492"/>
          </w:tcPr>
          <w:p>
            <w:pPr>
              <w:pStyle w:val="null3"/>
            </w:pPr>
            <w:r>
              <w:rPr>
                <w:rFonts w:ascii="仿宋_GB2312" w:hAnsi="仿宋_GB2312" w:cs="仿宋_GB2312" w:eastAsia="仿宋_GB2312"/>
              </w:rPr>
              <w:t>1.具有高级职称证书，正高级计3分，副高级计1分。以供应商提供的职称证书为准（复印件加盖供应商公章）。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团队人员能力</w:t>
            </w:r>
          </w:p>
        </w:tc>
        <w:tc>
          <w:tcPr>
            <w:tcW w:type="dxa" w:w="2492"/>
          </w:tcPr>
          <w:p>
            <w:pPr>
              <w:pStyle w:val="null3"/>
            </w:pPr>
            <w:r>
              <w:rPr>
                <w:rFonts w:ascii="仿宋_GB2312" w:hAnsi="仿宋_GB2312" w:cs="仿宋_GB2312" w:eastAsia="仿宋_GB2312"/>
              </w:rPr>
              <w:t>根据拟派项目组的人员数量、职称、学历、专业技术能力、社科类课题的研究经验、岗位划分等赋分。 人员经验丰富、专业能力强、配备合理充足，证明材料齐全得9分；人员有一定经验、人员配备无严重缺漏，有证明材料齐全得5分；人员缺乏经验、配备情况无法充分完成服务工作，且证明材料不足得1分；未提供或人员配备完全无法胜任本项目工作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服务承诺及建议</w:t>
            </w:r>
          </w:p>
        </w:tc>
        <w:tc>
          <w:tcPr>
            <w:tcW w:type="dxa" w:w="2492"/>
          </w:tcPr>
          <w:p>
            <w:pPr>
              <w:pStyle w:val="null3"/>
            </w:pPr>
            <w:r>
              <w:rPr>
                <w:rFonts w:ascii="仿宋_GB2312" w:hAnsi="仿宋_GB2312" w:cs="仿宋_GB2312" w:eastAsia="仿宋_GB2312"/>
              </w:rPr>
              <w:t>一、评审内容 根据本项目实际需求及特点，提供服务承诺及建议，包括：①服务承诺；②合理化建议及意见。 二、评审标准 1.完整性：方案必须全面，对评审内容中的各项要求有详细描述； 2.准确性：方案描述准确，没有实质性错误或明显的描述及逻辑错误； 3.可实施性：切合本项目实际情况，提出步骤清晰、合理的方案； 4.针对性：方案能够紧扣项目实际情况，内容科学合理； 5.重点突出性：重点突出，充分体现项目采购需求。 三、赋分标准（满分10分） ①服务承诺：完全满足每个评审标准得1分，有瑕疵得0.5分，有缺陷得0分，满分 5 分。 ②合理化建议及意见：完全满足每个评审标准得1分，有瑕疵得0.5分，有缺陷得0分，满分 5分。 说明：瑕疵是指存在不完全满足评分标准，但项目仍可实施。缺陷是指为不满足评分标准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根据本项目实际需求及特点，制定保密措施，包括：①保密管理制度；②服务人员的保密措施。 二、评审标准 1.完整性：方案必须全面，对评审内容中的各项要求有详细描述； 2.准确性：方案描述准确，没有实质性错误或明显的描述及逻辑错误； 3.可实施性：切合本项目实际情况，提出步骤清晰、合理的方案； 三、赋分标准（满分6分） ①保密管理制度：完全满足每个评审标准得1分，有瑕疵得0.5分，有缺陷得0分，满分 3分。 ②服务人员的保密措施：完全满足每个评审标准得1分，有瑕疵得0.5分，有缺陷得0分，满分 3分。 说明：瑕疵是指存在不完全满足评分标准，但项目仍可实施。缺陷是指为不满足评分标准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1.业绩情况：供应商或项目团队成员具有社科类题研究经验（成果），10（含）项-20（不含）项计5分，20（含）-30（不含）项计10分，30（含）项以上计20分。 备注：以上经验（成果）需提供证明材料，未提供或不清晰不可辨认，均视为无效业绩，不计分。证明材料包括：项目合同、已发表的论文。证明文件须提供复印件加盖供应商公章。 2.获奖情况：供应商或项目团队成员社科类题研究成果获得奖励。3（含）项以下得4分，3项以上得7分。备注：获奖情况需提供证明材料，未提供或不清晰不可辨认，均视为未获奖，不计分。证明文件须提供复印件加盖供应商公章。</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分值计算方法：P=10×Pmin/ Pn 其中：Pmin：所有有效供应商的最后报价的最低报价。 Pn：第n个供应商的最后报价。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