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版本号：SNJZ-2025-131A20250730001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全省殡葬行业市场竞争状况及专项整治效果评估服务(二次)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SNJZ-2025-131A</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全省殡葬行业市场竞争状况及专项整治效果评估服务(二次)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SNJZ-2025-131A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全省殡葬行业市场竞争状况及专项整治效果评估服务(二次)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全省殡葬行业市场竞争状况及专项整治效果评估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029-86138829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代理服务费收费标准：定额5000.00。招标代理服务费采用现金、电汇或银行转账方式交纳。 服务费交纳账户：开户行：中国光大银行陕西自贸试验区西安唐延路支行，开户名称：陕西教育招标有限责任公司，银行行号：303791000136，开户账号：78580188000058925，财务电话：029-88224928。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全省殡葬行业市场竞争状况及专项整治效果评估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全省殡葬行业市场竞争状况及专项整治效果评估服务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标的名称：全省殡葬行业市场竞争状况及专项整治效果评估服务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200"/>
              <w:jc w:val="both"/>
            </w:pPr>
            <w:r>
              <w:rPr>
                <w:rFonts w:ascii="仿宋_GB2312" w:hAnsi="仿宋_GB2312" w:cs="仿宋_GB2312" w:eastAsia="仿宋_GB2312"/>
                <w:sz w:val="21"/>
                <w:color w:val="4472C4"/>
              </w:rPr>
              <w:t>为做好全省殡葬行业反垄断执法工作，全面了解和掌握全省殡葬行业市场竞争状况，根据集中整治殡葬领域违法违规行为专项行动需要，拟委托</w:t>
            </w:r>
            <w:r>
              <w:rPr>
                <w:rFonts w:ascii="仿宋_GB2312" w:hAnsi="仿宋_GB2312" w:cs="仿宋_GB2312" w:eastAsia="仿宋_GB2312"/>
                <w:sz w:val="21"/>
                <w:color w:val="4472C4"/>
              </w:rPr>
              <w:t>第三方</w:t>
            </w:r>
            <w:r>
              <w:rPr>
                <w:rFonts w:ascii="仿宋_GB2312" w:hAnsi="仿宋_GB2312" w:cs="仿宋_GB2312" w:eastAsia="仿宋_GB2312"/>
                <w:sz w:val="21"/>
                <w:color w:val="4472C4"/>
              </w:rPr>
              <w:t>开展全省殡葬行业市场竞争状况及专项整治效果评估，对专项整治前后殡葬行业市场竞争状况开展客观评价，为专项整治行动结束后，拟开展的殡葬行业合规建设提供重要研究成果依据。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商务应答表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根据本项目实际需求及特点，制定总体方案，方案包括：①项目需求理解；②关键点、重难点分析及解决方案；③实施方案。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三、赋分标准（满分20分） ①项目需求理解：完全满足每个评审标准得1分，有瑕疵得0.5分，有缺陷得0分，满分 5分。 ②关键点、重难点分析及解决方案：完全满足每个评审标准得1分，有瑕疵得0.5分，有缺陷得0分，满分 5分。 ③实施方案：完全满足每个评审标准得2分，有瑕疵得1分，有缺陷得0分，满分 10分。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 方案</w:t>
            </w:r>
          </w:p>
        </w:tc>
        <w:tc>
          <w:tcPr>
            <w:tcW w:type="dxa" w:w="2492"/>
          </w:tcPr>
          <w:p>
            <w:pPr>
              <w:pStyle w:val="null3"/>
            </w:pPr>
            <w:r>
              <w:rPr>
                <w:rFonts w:ascii="仿宋_GB2312" w:hAnsi="仿宋_GB2312" w:cs="仿宋_GB2312" w:eastAsia="仿宋_GB2312"/>
              </w:rPr>
              <w:t>一、评审内容 根据本项目实际需求及特点，制定质量保障方案，方案包括：①质量保障目标；②质量控制措施。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三、赋分标准（满分15分） ①质量保障目标：完全满足每个评审标准得1分，有瑕疵得0.5分，有缺陷得0分，满分 5 分。 ②质量控制措施：完全满足每个评审标准得2分，有瑕疵得1分，有缺陷得0分，满分 10分。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团队负责人</w:t>
            </w:r>
          </w:p>
        </w:tc>
        <w:tc>
          <w:tcPr>
            <w:tcW w:type="dxa" w:w="2492"/>
          </w:tcPr>
          <w:p>
            <w:pPr>
              <w:pStyle w:val="null3"/>
            </w:pPr>
            <w:r>
              <w:rPr>
                <w:rFonts w:ascii="仿宋_GB2312" w:hAnsi="仿宋_GB2312" w:cs="仿宋_GB2312" w:eastAsia="仿宋_GB2312"/>
              </w:rPr>
              <w:t>1.具有高级职称证书，正高级计3分，副高级计1分。以供应商提供的职称证书为准（复印件加盖供应商公章）。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团队人员能力</w:t>
            </w:r>
          </w:p>
        </w:tc>
        <w:tc>
          <w:tcPr>
            <w:tcW w:type="dxa" w:w="2492"/>
          </w:tcPr>
          <w:p>
            <w:pPr>
              <w:pStyle w:val="null3"/>
            </w:pPr>
            <w:r>
              <w:rPr>
                <w:rFonts w:ascii="仿宋_GB2312" w:hAnsi="仿宋_GB2312" w:cs="仿宋_GB2312" w:eastAsia="仿宋_GB2312"/>
              </w:rPr>
              <w:t>根据拟派项目组的人员数量、职称、学历、专业技术能力、社科类课题的研究经验、岗位划分等赋分。 人员经验丰富、专业能力强、配备合理充足，证明材料齐全得9分；人员有一定经验、人员配备无严重缺漏，有证明材料齐全得5分；人员缺乏经验、配备情况无法充分完成服务工作，且证明材料不足得1分；未提供或人员配备完全无法胜任本项目工作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服务承诺及建议</w:t>
            </w:r>
          </w:p>
        </w:tc>
        <w:tc>
          <w:tcPr>
            <w:tcW w:type="dxa" w:w="2492"/>
          </w:tcPr>
          <w:p>
            <w:pPr>
              <w:pStyle w:val="null3"/>
            </w:pPr>
            <w:r>
              <w:rPr>
                <w:rFonts w:ascii="仿宋_GB2312" w:hAnsi="仿宋_GB2312" w:cs="仿宋_GB2312" w:eastAsia="仿宋_GB2312"/>
              </w:rPr>
              <w:t>一、评审内容 根据本项目实际需求及特点，提供服务承诺及建议，包括：①服务承诺；②合理化建议及意见。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三、赋分标准（满分10分） ①服务承诺：完全满足每个评审标准得1分，有瑕疵得0.5分，有缺陷得0分，满分 5 分。 ②合理化建议及意见：完全满足每个评审标准得1分，有瑕疵得0.5分，有缺陷得0分，满分 5分。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根据本项目实际需求及特点，制定保密措施，包括：①保密管理制度；②服务人员的保密措施。 二、评审标准 1.完整性：方案必须全面，对评审内容中的各项要求有详细描述； 2.准确性：方案描述准确，没有实质性错误或明显的描述及逻辑错误； 3.可实施性：切合本项目实际情况，提出步骤清晰、合理的方案； 三、赋分标准（满分6分） ①保密管理制度：完全满足每个评审标准得1分，有瑕疵得0.5分，有缺陷得0分，满分 3分。 ②服务人员的保密措施：完全满足每个评审标准得1分，有瑕疵得0.5分，有缺陷得0分，满分 3分。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1.业绩情况：供应商或项目团队成员具有社科类题研究经验（成果），10（含）项-20（不含）项计5分，20（含）-30（不含）项计10分，30（含）项以上计20分。 备注：以上经验（成果）需提供证明材料，未提供或不清晰不可辨认，均视为无效业绩，不计分。证明材料包括：项目合同、已发表的论文。证明文件须提供复印件加盖供应商公章。 2.获奖情况：供应商或项目团队成员社科类题研究成果获得奖励。3（含）项以下得4分，3项以上得7分。备注：获奖情况需提供证明材料，未提供或不清晰不可辨认，均视为未获奖，不计分。证明文件须提供复印件加盖供应商公章。</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