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版本号：DQB-2025048-CS20250821002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院内市政自来水管道迁改工程项目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DQB-2025048-CS</w:t>
      </w:r>
      <w:r>
        <w:br/>
      </w:r>
      <w:r>
        <w:br/>
      </w:r>
      <w:r>
        <w:br/>
      </w:r>
    </w:p>
    <w:p>
      <w:pPr>
        <w:pStyle w:val="null3"/>
        <w:jc w:val="center"/>
        <w:outlineLvl w:val="2"/>
      </w:pPr>
      <w:r>
        <w:rPr>
          <w:rFonts w:ascii="仿宋_GB2312" w:hAnsi="仿宋_GB2312" w:cs="仿宋_GB2312" w:eastAsia="仿宋_GB2312"/>
          <w:sz w:val="28"/>
          <w:b/>
        </w:rPr>
        <w:t>陕西省工人疗养院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陕西省工人疗养院</w:t>
      </w:r>
      <w:r>
        <w:rPr>
          <w:rFonts w:ascii="仿宋_GB2312" w:hAnsi="仿宋_GB2312" w:cs="仿宋_GB2312" w:eastAsia="仿宋_GB2312"/>
        </w:rPr>
        <w:t>委托，拟对</w:t>
      </w:r>
      <w:r>
        <w:rPr>
          <w:rFonts w:ascii="仿宋_GB2312" w:hAnsi="仿宋_GB2312" w:cs="仿宋_GB2312" w:eastAsia="仿宋_GB2312"/>
        </w:rPr>
        <w:t>院内市政自来水管道迁改工程项目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DQB-2025048-CS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院内市政自来水管道迁改工程项目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陕西省工人疗养院院内市政自来水管道迁改工程项目，为了确保管道供水的安全性、可靠性及该区域人民正常生活用水，拟进行自来水管道迁改工程。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其他特殊资格：具备市政公用工程施工总承包三级以上（含三级）资质，具有有效的安全生产许可证；拟派项目经理须具有市政公用工程专业注册建造师二级以上（含二级）资格和安全生产考核合格B证，且无在建项目（提供无在建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陕西省工人疗养院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陕西省西安市临潼区康复路28号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02983852552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银行账号：52880188000133232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代理服务费收费标准：成交金额100万元以下，按照费率1.5%计取； 核算代理服务费低于5000元时按5000元收取。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陕西省工人疗养院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陕西省工人疗养院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陕西省工人疗养院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765,428.67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自来水管道迁改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标的名称：自来水管道迁改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color w:val="000000"/>
              </w:rPr>
              <w:t>一、依据设计文件的要求，本工程项目的材料、设备、施工须达到所涉及到的现行中华人民共和国以及省、自治区、直辖市或行业的工程建设标准、规范的要求。</w:t>
            </w:r>
          </w:p>
          <w:p>
            <w:pPr>
              <w:pStyle w:val="null3"/>
              <w:ind w:firstLine="480"/>
              <w:jc w:val="left"/>
            </w:pPr>
            <w:r>
              <w:rPr>
                <w:rFonts w:ascii="仿宋_GB2312" w:hAnsi="仿宋_GB2312" w:cs="仿宋_GB2312" w:eastAsia="仿宋_GB2312"/>
                <w:sz w:val="21"/>
                <w:color w:val="000000"/>
              </w:rPr>
              <w:t>二、根据工程设计要求，该项工程项目的材料、设备、施工除须达到以上标准外，还应满足设计要求和业主在磋商文件中的有关要求。</w:t>
            </w:r>
          </w:p>
          <w:p>
            <w:pPr>
              <w:pStyle w:val="null3"/>
              <w:ind w:firstLine="480"/>
              <w:jc w:val="left"/>
            </w:pPr>
            <w:r>
              <w:rPr>
                <w:rFonts w:ascii="仿宋_GB2312" w:hAnsi="仿宋_GB2312" w:cs="仿宋_GB2312" w:eastAsia="仿宋_GB2312"/>
                <w:sz w:val="21"/>
                <w:color w:val="000000"/>
              </w:rPr>
              <w:t>三、该工程项目的材料、设备、施工如无上述</w:t>
            </w:r>
            <w:r>
              <w:rPr>
                <w:rFonts w:ascii="仿宋_GB2312" w:hAnsi="仿宋_GB2312" w:cs="仿宋_GB2312" w:eastAsia="仿宋_GB2312"/>
                <w:sz w:val="21"/>
                <w:color w:val="000000"/>
              </w:rPr>
              <w:t>1、2条的标准，在材料、设备的定货采购和施工安装时，应出具生产厂家或施工安装企业在技术监督部门已备案企业标准，并经监理和采购人批准后方可实施。</w:t>
            </w:r>
          </w:p>
          <w:p>
            <w:pPr>
              <w:pStyle w:val="null3"/>
              <w:ind w:firstLine="480"/>
              <w:jc w:val="left"/>
            </w:pPr>
            <w:r>
              <w:rPr>
                <w:rFonts w:ascii="仿宋_GB2312" w:hAnsi="仿宋_GB2312" w:cs="仿宋_GB2312" w:eastAsia="仿宋_GB2312"/>
                <w:sz w:val="21"/>
                <w:color w:val="000000"/>
              </w:rPr>
              <w:t>四、项目概况</w:t>
            </w:r>
          </w:p>
          <w:p>
            <w:pPr>
              <w:pStyle w:val="null3"/>
              <w:ind w:firstLine="480"/>
              <w:jc w:val="left"/>
            </w:pPr>
            <w:r>
              <w:rPr>
                <w:rFonts w:ascii="仿宋_GB2312" w:hAnsi="仿宋_GB2312" w:cs="仿宋_GB2312" w:eastAsia="仿宋_GB2312"/>
                <w:sz w:val="21"/>
                <w:color w:val="000000"/>
              </w:rPr>
              <w:t>根据省工疗〔</w:t>
            </w:r>
            <w:r>
              <w:rPr>
                <w:rFonts w:ascii="仿宋_GB2312" w:hAnsi="仿宋_GB2312" w:cs="仿宋_GB2312" w:eastAsia="仿宋_GB2312"/>
                <w:sz w:val="21"/>
                <w:color w:val="000000"/>
              </w:rPr>
              <w:t>2021〕1号函，为了确保管道供水的安全性、可靠性及该区域人民正常生活用水，依据《市政给水设计规范》、《给水排水管道工程施工及验收规范》等，拟进行院内市政自来水管道迁改工程。</w:t>
            </w:r>
          </w:p>
          <w:p>
            <w:pPr>
              <w:pStyle w:val="null3"/>
              <w:ind w:firstLine="480"/>
              <w:jc w:val="left"/>
            </w:pPr>
            <w:r>
              <w:rPr>
                <w:rFonts w:ascii="仿宋_GB2312" w:hAnsi="仿宋_GB2312" w:cs="仿宋_GB2312" w:eastAsia="仿宋_GB2312"/>
                <w:sz w:val="21"/>
                <w:color w:val="000000"/>
              </w:rPr>
              <w:t>五、商务要求：</w:t>
            </w:r>
          </w:p>
          <w:p>
            <w:pPr>
              <w:pStyle w:val="null3"/>
              <w:ind w:firstLine="480"/>
              <w:jc w:val="left"/>
            </w:pPr>
            <w:r>
              <w:rPr>
                <w:rFonts w:ascii="仿宋_GB2312" w:hAnsi="仿宋_GB2312" w:cs="仿宋_GB2312" w:eastAsia="仿宋_GB2312"/>
                <w:sz w:val="21"/>
                <w:color w:val="000000"/>
              </w:rPr>
              <w:t>1.工期：15天。</w:t>
            </w:r>
          </w:p>
          <w:p>
            <w:pPr>
              <w:pStyle w:val="null3"/>
              <w:ind w:firstLine="480"/>
              <w:jc w:val="left"/>
            </w:pPr>
            <w:r>
              <w:rPr>
                <w:rFonts w:ascii="仿宋_GB2312" w:hAnsi="仿宋_GB2312" w:cs="仿宋_GB2312" w:eastAsia="仿宋_GB2312"/>
                <w:sz w:val="21"/>
                <w:color w:val="000000"/>
              </w:rPr>
              <w:t>2.质保期：本项目竣工验收合格通过之日起壹年；</w:t>
            </w:r>
          </w:p>
          <w:p>
            <w:pPr>
              <w:pStyle w:val="null3"/>
              <w:ind w:firstLine="480"/>
              <w:jc w:val="left"/>
            </w:pPr>
            <w:r>
              <w:rPr>
                <w:rFonts w:ascii="仿宋_GB2312" w:hAnsi="仿宋_GB2312" w:cs="仿宋_GB2312" w:eastAsia="仿宋_GB2312"/>
                <w:sz w:val="21"/>
                <w:color w:val="000000"/>
              </w:rPr>
              <w:t>3.实施地点：采购人指定地点；</w:t>
            </w:r>
          </w:p>
          <w:p>
            <w:pPr>
              <w:pStyle w:val="null3"/>
              <w:ind w:firstLine="480"/>
              <w:jc w:val="left"/>
            </w:pPr>
            <w:r>
              <w:rPr>
                <w:rFonts w:ascii="仿宋_GB2312" w:hAnsi="仿宋_GB2312" w:cs="仿宋_GB2312" w:eastAsia="仿宋_GB2312"/>
                <w:sz w:val="21"/>
                <w:color w:val="000000"/>
              </w:rPr>
              <w:t>4.付款方式：</w:t>
            </w:r>
          </w:p>
          <w:p>
            <w:pPr>
              <w:pStyle w:val="null3"/>
              <w:ind w:firstLine="480"/>
              <w:jc w:val="left"/>
            </w:pPr>
            <w:r>
              <w:rPr>
                <w:rFonts w:ascii="仿宋_GB2312" w:hAnsi="仿宋_GB2312" w:cs="仿宋_GB2312" w:eastAsia="仿宋_GB2312"/>
                <w:sz w:val="21"/>
                <w:color w:val="000000"/>
              </w:rPr>
              <w:t>4.1</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日内，支付合同总价的</w:t>
            </w:r>
            <w:r>
              <w:rPr>
                <w:rFonts w:ascii="仿宋_GB2312" w:hAnsi="仿宋_GB2312" w:cs="仿宋_GB2312" w:eastAsia="仿宋_GB2312"/>
                <w:sz w:val="21"/>
                <w:color w:val="000000"/>
              </w:rPr>
              <w:t>60%作为预付款。</w:t>
            </w:r>
          </w:p>
          <w:p>
            <w:pPr>
              <w:pStyle w:val="null3"/>
              <w:ind w:firstLine="480"/>
              <w:jc w:val="left"/>
            </w:pPr>
            <w:r>
              <w:rPr>
                <w:rFonts w:ascii="仿宋_GB2312" w:hAnsi="仿宋_GB2312" w:cs="仿宋_GB2312" w:eastAsia="仿宋_GB2312"/>
                <w:sz w:val="21"/>
                <w:color w:val="000000"/>
              </w:rPr>
              <w:t>4.2工程竣工验收合格后，成交供应商向采购人报送决算报告，经采购人结算审计后，以审计结算报告工程价款为准，10日内，支付剩余合同款。</w:t>
            </w:r>
          </w:p>
          <w:p>
            <w:pPr>
              <w:pStyle w:val="null3"/>
              <w:ind w:firstLine="480"/>
              <w:jc w:val="left"/>
            </w:pPr>
            <w:r>
              <w:rPr>
                <w:rFonts w:ascii="仿宋_GB2312" w:hAnsi="仿宋_GB2312" w:cs="仿宋_GB2312" w:eastAsia="仿宋_GB2312"/>
                <w:sz w:val="21"/>
                <w:color w:val="000000"/>
              </w:rPr>
              <w:t>5.保修要求：属于保修范围和内容的项目，供应商应在接到维修通知后， 1 天内派人维修。发生紧急抢修事故，供应商应在接到事故通知后 2 小时内到达事故现场并于 4 小时内完成应急维修。</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供应商负责配合采购人统筹协调项目工序衔接，保证施工的安全和质量，并如期完工。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正、副本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其他特殊资格</w:t>
            </w:r>
          </w:p>
        </w:tc>
        <w:tc>
          <w:tcPr>
            <w:tcW w:type="dxa" w:w="3322"/>
          </w:tcPr>
          <w:p>
            <w:pPr>
              <w:pStyle w:val="null3"/>
            </w:pPr>
            <w:r>
              <w:rPr>
                <w:rFonts w:ascii="仿宋_GB2312" w:hAnsi="仿宋_GB2312" w:cs="仿宋_GB2312" w:eastAsia="仿宋_GB2312"/>
              </w:rPr>
              <w:t>具备市政公用工程施工总承包三级以上（含三级）资质，具有有效的安全生产许可证；拟派项目经理须具有市政公用工程专业注册建造师二级以上（含二级）资格和安全生产考核合格B证，且无在建项目（提供无在建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已标价工程量清单 法定代表人授权委托书 分项报价表 中小企业声明函 商务应答表 技术服务合同条款及其他商务要求应答表 供应商应提交的相关资格证明材料 报价表 非联合体不分包响应声明 控股管理关系 强制优先采购产品承诺函 响应文件封面 项目管理机构组成表 残疾人福利性单位声明函 报价函 服务方案 标的清单 供应商类似项目业绩一览表 响应函 近三年无重大违法 书面声明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已标价工程量清单 法定代表人授权委托书 分项报价表 中小企业声明函 商务应答表 技术服务合同条款及其他商务要求应答表 供应商应提交的相关资格证明材料 报价表 非联合体不分包响应声明 控股管理关系 强制优先采购产品承诺函 响应文件封面 项目管理机构组成表 残疾人福利性单位声明函 报价函 服务方案 标的清单 供应商类似项目业绩一览表 响应函 近三年无重大违法 书面声明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法定代表人授权委托书 分项报价表 中小企业声明函 商务应答表 技术服务合同条款及其他商务要求应答表 供应商应提交的相关资格证明材料 报价表 非联合体不分包响应声明 控股管理关系 强制优先采购产品承诺函 响应文件封面 项目管理机构组成表 残疾人福利性单位声明函 报价函 服务方案 标的清单 供应商类似项目业绩一览表 响应函 近三年无重大违法 书面声明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保证金汇款声明函、保函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施工组织及项目管理设置合理、全面。对工程项目的实施具有有效地计划、组织、协调、控制，针对性强、可行性强，能完全确保实现项目的管理目标的得10分； 施工组织及项目管理设置合理、全面。对工程项目的实施具有一定的计划、组织、协调、控制效果，有一定的合理性和可行性的得6分； 施工组织及项目管理设置基本全面、合理，基本能确保实现项目管理目标的得3分； 施工组织或项目管理机构设置部分存在不合理，但总体基本能达到项目管理目标的得1分； 未提供或安排不合理，达不到管理目标的不得分。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施工方案全面、合理，施工方法先进，可行性强，完全满足工程施工要求的得15分； 施工方案全面、合理，施工方法较先进，有一定的可行性，能满足工程施工要求的得10分； 施工方案较完整、合理，施工方案有针对性，基本可行，满足工程施工要求的得5分； 施工方案存在部分不完整，施工方法针对本项目基本可行的得1分； 未提供或明显不合理的不得分。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针对本项目可能出现的问题及重大故障，（包括但不限于因施工造成的水、电、通信的中断抢修、恶劣天气、人为因素等情况）分析全面，应急措施和解决方案具体，可行性强的得10分； 针对本项目可能出现的问题及重大故障有较全面得分析，应急措施和解决方案有一定合理性和可行性的得6分； 针对本项目可能出现的问题及重大故障有基本全面得分析，应急措施和解决方案基本合理可行的得3分； 针对本项目可能出现的问题及重大故障有一定得分析，但分析不太全面，应急措施和解决方案部分合理可行的得1分； 未提供或存在明显不合理的不得分。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进度计划安排，施工进度表和施工网络图</w:t>
            </w:r>
          </w:p>
        </w:tc>
        <w:tc>
          <w:tcPr>
            <w:tcW w:type="dxa" w:w="2492"/>
          </w:tcPr>
          <w:p>
            <w:pPr>
              <w:pStyle w:val="null3"/>
            </w:pPr>
            <w:r>
              <w:rPr>
                <w:rFonts w:ascii="仿宋_GB2312" w:hAnsi="仿宋_GB2312" w:cs="仿宋_GB2312" w:eastAsia="仿宋_GB2312"/>
              </w:rPr>
              <w:t>进度安排合理、可行、科学、符合项目实施需求，施工进度表或网络图表达清晰、合理的得5分； 进度安排较合理、较可行、较符合项目实施需求，施工进度表或网络图表达较不明确、较不清晰的得3分； 进度安排合理和可行较差的，施工进度表或网络图表达不明确、不清晰、较混乱的得1分；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投入本项目机械设备及劳动力安排</w:t>
            </w:r>
          </w:p>
        </w:tc>
        <w:tc>
          <w:tcPr>
            <w:tcW w:type="dxa" w:w="2492"/>
          </w:tcPr>
          <w:p>
            <w:pPr>
              <w:pStyle w:val="null3"/>
            </w:pPr>
            <w:r>
              <w:rPr>
                <w:rFonts w:ascii="仿宋_GB2312" w:hAnsi="仿宋_GB2312" w:cs="仿宋_GB2312" w:eastAsia="仿宋_GB2312"/>
              </w:rPr>
              <w:t>机械配备投入合且数量充足、投入计划紧贴项目进度，劳动力安排合理，可操作性强，能够确保项目如期保质完成的得5分； 机械配备投入计划基本合理，基本与项目进度匹配，劳动力数量基本合理，计划表基本清晰、可行，能保证项目建设进度的得3分； 机械配备投入数量存在部分不合理，与项目建设进度匹配度较差，劳动力数量存在部分不合理，计划表不清晰、可行性较差的得1分；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有清晰合理的工期计划措施，实施进度安排合理，可行性强，具有详细明确的实施进度计划表，能够确保工程如期保质完成的得5分； 进度安排合理，有一定的可行性，实施进度计划基本明确的能够基本保证项目如期完成的得3分； 进度安排合理性、可行性均较差的得1分； 未提供或不能保证项目如期完成的不得分。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确保文明施工、环境保护的组织措施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措施全面、完整，能从多方面确保文明施工、考虑影响环境得因素，并提出相关解决和防治措施，实施度高、可落地性强，可确保达到环境保护的要求得5分； 措施基本全面、完整，基本有一定的可行性，能基本满足文明施工、环境保护要求的得3分 措施存在较大不合理性、内容简单的得1分；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措施完整全面，能够从多方面保证安全生产，且合理性、可行性强的得5分； 措施基本完整全面，能从多个方面确保安全生产，基本合理、可行的得3分； 措施不完整、全面，但有一定的可行性的得1分；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提供2022年1月1日以来同类项目业绩（以合同复印件加盖供应商公章为准，时间以签订时间为准），每提供1份得2分，本项满分10分。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详见附件：保证金汇款声明函、保函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