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CE293">
      <w:pPr>
        <w:jc w:val="center"/>
        <w:outlineLvl w:val="1"/>
        <w:rPr>
          <w:rFonts w:hint="eastAsia" w:ascii="宋体" w:hAnsi="宋体" w:eastAsia="宋体" w:cs="宋体"/>
          <w:highlight w:val="none"/>
          <w:lang w:val="en-US" w:eastAsia="zh-Hans"/>
        </w:rPr>
      </w:pPr>
      <w:r>
        <w:rPr>
          <w:rFonts w:hint="eastAsia" w:ascii="宋体" w:hAnsi="宋体" w:eastAsia="宋体" w:cs="宋体"/>
          <w:b/>
          <w:sz w:val="36"/>
          <w:highlight w:val="none"/>
          <w:lang w:val="en-US" w:eastAsia="zh-Hans"/>
        </w:rPr>
        <w:t>第八章 拟签订采购合同文本</w:t>
      </w:r>
    </w:p>
    <w:p w14:paraId="63ABEB54">
      <w:pPr>
        <w:spacing w:line="480" w:lineRule="auto"/>
        <w:ind w:firstLine="480" w:firstLineChars="200"/>
        <w:jc w:val="center"/>
        <w:rPr>
          <w:rFonts w:hint="eastAsia" w:ascii="宋体" w:hAnsi="宋体" w:cs="宋体"/>
          <w:color w:val="auto"/>
          <w:highlight w:val="none"/>
        </w:rPr>
      </w:pPr>
      <w:r>
        <w:rPr>
          <w:rFonts w:hint="eastAsia" w:ascii="宋体" w:hAnsi="宋体" w:cs="宋体"/>
          <w:color w:val="auto"/>
          <w:sz w:val="24"/>
          <w:szCs w:val="24"/>
          <w:highlight w:val="none"/>
        </w:rPr>
        <w:t>（本合同为合同样稿，最终稿由双方协商后确定）</w:t>
      </w:r>
    </w:p>
    <w:p w14:paraId="4FB3FAA9">
      <w:pPr>
        <w:rPr>
          <w:rFonts w:hint="eastAsia" w:ascii="宋体" w:hAnsi="宋体" w:eastAsia="宋体" w:cs="宋体"/>
          <w:b/>
          <w:snapToGrid w:val="0"/>
          <w:color w:val="auto"/>
          <w:sz w:val="28"/>
          <w:szCs w:val="28"/>
          <w:highlight w:val="none"/>
        </w:rPr>
      </w:pPr>
      <w:bookmarkStart w:id="0" w:name="_Hlt503233640"/>
      <w:bookmarkEnd w:id="0"/>
      <w:r>
        <w:rPr>
          <w:rFonts w:hint="eastAsia" w:ascii="宋体" w:hAnsi="宋体" w:eastAsia="宋体" w:cs="宋体"/>
          <w:b/>
          <w:color w:val="auto"/>
          <w:sz w:val="28"/>
          <w:szCs w:val="28"/>
          <w:highlight w:val="none"/>
        </w:rPr>
        <w:t>合同项目编号：</w:t>
      </w:r>
      <w:r>
        <w:rPr>
          <w:rFonts w:hint="eastAsia" w:ascii="宋体" w:hAnsi="宋体" w:eastAsia="宋体" w:cs="宋体"/>
          <w:b/>
          <w:snapToGrid w:val="0"/>
          <w:color w:val="auto"/>
          <w:sz w:val="28"/>
          <w:szCs w:val="28"/>
          <w:highlight w:val="none"/>
        </w:rPr>
        <w:t xml:space="preserve"> </w:t>
      </w:r>
    </w:p>
    <w:p w14:paraId="0AD7C7E5">
      <w:pPr>
        <w:spacing w:line="960" w:lineRule="auto"/>
        <w:jc w:val="center"/>
        <w:rPr>
          <w:rFonts w:hint="eastAsia" w:ascii="宋体" w:hAnsi="宋体" w:eastAsia="宋体" w:cs="宋体"/>
          <w:b/>
          <w:bCs/>
          <w:color w:val="auto"/>
          <w:sz w:val="52"/>
          <w:szCs w:val="52"/>
          <w:highlight w:val="none"/>
        </w:rPr>
      </w:pPr>
    </w:p>
    <w:p w14:paraId="643AE2DC">
      <w:pPr>
        <w:spacing w:line="960" w:lineRule="auto"/>
        <w:jc w:val="center"/>
        <w:rPr>
          <w:rFonts w:hint="eastAsia" w:ascii="宋体" w:hAnsi="宋体" w:eastAsia="宋体" w:cs="宋体"/>
          <w:b/>
          <w:bCs/>
          <w:color w:val="auto"/>
          <w:sz w:val="48"/>
          <w:szCs w:val="48"/>
          <w:highlight w:val="none"/>
          <w:lang w:eastAsia="zh-CN"/>
        </w:rPr>
      </w:pPr>
      <w:r>
        <w:rPr>
          <w:rFonts w:hint="eastAsia" w:ascii="宋体" w:hAnsi="宋体" w:cs="宋体"/>
          <w:b/>
          <w:bCs/>
          <w:color w:val="auto"/>
          <w:sz w:val="48"/>
          <w:szCs w:val="48"/>
          <w:highlight w:val="none"/>
          <w:lang w:eastAsia="zh-CN"/>
        </w:rPr>
        <w:t>餐饮服务管理项目</w:t>
      </w:r>
    </w:p>
    <w:p w14:paraId="51A63FF1">
      <w:pPr>
        <w:spacing w:line="960" w:lineRule="auto"/>
        <w:jc w:val="center"/>
        <w:rPr>
          <w:rFonts w:hint="eastAsia" w:ascii="宋体" w:hAnsi="宋体" w:eastAsia="宋体" w:cs="宋体"/>
          <w:b/>
          <w:bCs/>
          <w:color w:val="auto"/>
          <w:sz w:val="48"/>
          <w:szCs w:val="48"/>
          <w:highlight w:val="none"/>
          <w:lang w:val="en-US" w:eastAsia="zh-CN"/>
        </w:rPr>
      </w:pPr>
      <w:r>
        <w:rPr>
          <w:rFonts w:hint="eastAsia" w:ascii="宋体" w:hAnsi="宋体" w:eastAsia="宋体" w:cs="宋体"/>
          <w:b/>
          <w:bCs/>
          <w:color w:val="auto"/>
          <w:sz w:val="48"/>
          <w:szCs w:val="48"/>
          <w:highlight w:val="none"/>
          <w:lang w:val="en-US" w:eastAsia="zh-CN"/>
        </w:rPr>
        <w:t xml:space="preserve"> </w:t>
      </w:r>
    </w:p>
    <w:p w14:paraId="45D813FF">
      <w:pPr>
        <w:rPr>
          <w:rFonts w:hint="eastAsia" w:ascii="宋体" w:hAnsi="宋体" w:eastAsia="宋体" w:cs="宋体"/>
          <w:color w:val="auto"/>
          <w:sz w:val="20"/>
          <w:szCs w:val="18"/>
          <w:highlight w:val="none"/>
        </w:rPr>
      </w:pPr>
    </w:p>
    <w:p w14:paraId="1D99A73F">
      <w:pPr>
        <w:rPr>
          <w:rFonts w:hint="eastAsia" w:ascii="宋体" w:hAnsi="宋体" w:eastAsia="宋体" w:cs="宋体"/>
          <w:color w:val="auto"/>
          <w:sz w:val="20"/>
          <w:szCs w:val="18"/>
          <w:highlight w:val="none"/>
        </w:rPr>
      </w:pPr>
    </w:p>
    <w:p w14:paraId="732EC3DE">
      <w:pPr>
        <w:spacing w:line="9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服务合同</w:t>
      </w:r>
    </w:p>
    <w:p w14:paraId="39E8B644">
      <w:pPr>
        <w:spacing w:line="360" w:lineRule="auto"/>
        <w:rPr>
          <w:rFonts w:hint="eastAsia" w:ascii="宋体" w:hAnsi="宋体" w:eastAsia="宋体" w:cs="宋体"/>
          <w:color w:val="auto"/>
          <w:sz w:val="21"/>
          <w:szCs w:val="24"/>
          <w:highlight w:val="none"/>
        </w:rPr>
      </w:pPr>
    </w:p>
    <w:p w14:paraId="7BCA86CB">
      <w:pPr>
        <w:spacing w:line="360" w:lineRule="auto"/>
        <w:rPr>
          <w:rFonts w:hint="eastAsia" w:ascii="宋体" w:hAnsi="宋体" w:eastAsia="宋体" w:cs="宋体"/>
          <w:color w:val="auto"/>
          <w:sz w:val="21"/>
          <w:szCs w:val="24"/>
          <w:highlight w:val="none"/>
        </w:rPr>
      </w:pPr>
    </w:p>
    <w:p w14:paraId="77C6D2C2">
      <w:pPr>
        <w:spacing w:line="360" w:lineRule="auto"/>
        <w:rPr>
          <w:rFonts w:hint="eastAsia" w:ascii="宋体" w:hAnsi="宋体" w:eastAsia="宋体" w:cs="宋体"/>
          <w:color w:val="auto"/>
          <w:sz w:val="21"/>
          <w:szCs w:val="24"/>
          <w:highlight w:val="none"/>
        </w:rPr>
      </w:pPr>
    </w:p>
    <w:p w14:paraId="51DF9D58">
      <w:pPr>
        <w:spacing w:line="360" w:lineRule="auto"/>
        <w:rPr>
          <w:rFonts w:hint="eastAsia" w:ascii="宋体" w:hAnsi="宋体" w:eastAsia="宋体" w:cs="宋体"/>
          <w:color w:val="auto"/>
          <w:sz w:val="28"/>
          <w:szCs w:val="28"/>
          <w:highlight w:val="none"/>
        </w:rPr>
      </w:pPr>
    </w:p>
    <w:p w14:paraId="4CF55DDD">
      <w:pPr>
        <w:spacing w:line="360" w:lineRule="auto"/>
        <w:ind w:firstLine="1680" w:firstLineChars="600"/>
        <w:jc w:val="lef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甲方：</w:t>
      </w:r>
      <w:r>
        <w:rPr>
          <w:rFonts w:hint="eastAsia" w:ascii="宋体" w:hAnsi="宋体" w:eastAsia="宋体" w:cs="宋体"/>
          <w:color w:val="auto"/>
          <w:sz w:val="28"/>
          <w:szCs w:val="28"/>
          <w:highlight w:val="none"/>
          <w:u w:val="single"/>
        </w:rPr>
        <w:t xml:space="preserve">                          </w:t>
      </w:r>
    </w:p>
    <w:p w14:paraId="040FB778">
      <w:pPr>
        <w:spacing w:line="360" w:lineRule="auto"/>
        <w:ind w:firstLine="1680" w:firstLineChars="600"/>
        <w:jc w:val="lef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u w:val="single"/>
        </w:rPr>
        <w:t xml:space="preserve">                          </w:t>
      </w:r>
    </w:p>
    <w:p w14:paraId="0202481D">
      <w:pPr>
        <w:spacing w:line="360" w:lineRule="auto"/>
        <w:ind w:firstLine="1680" w:firstLineChars="6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签约时间：</w:t>
      </w:r>
      <w:r>
        <w:rPr>
          <w:rFonts w:hint="eastAsia" w:ascii="宋体" w:hAnsi="宋体" w:eastAsia="宋体" w:cs="宋体"/>
          <w:color w:val="auto"/>
          <w:sz w:val="28"/>
          <w:szCs w:val="28"/>
          <w:highlight w:val="none"/>
          <w:u w:val="single"/>
        </w:rPr>
        <w:t xml:space="preserve"> 2025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31C0AFF6">
      <w:pPr>
        <w:spacing w:line="360" w:lineRule="auto"/>
        <w:jc w:val="left"/>
        <w:rPr>
          <w:rFonts w:hint="eastAsia" w:ascii="仿宋" w:hAnsi="仿宋" w:eastAsia="仿宋" w:cs="仿宋"/>
          <w:color w:val="auto"/>
          <w:sz w:val="28"/>
          <w:szCs w:val="28"/>
          <w:highlight w:val="none"/>
        </w:rPr>
        <w:sectPr>
          <w:footerReference r:id="rId3" w:type="default"/>
          <w:pgSz w:w="11906" w:h="16838"/>
          <w:pgMar w:top="1417" w:right="1417" w:bottom="1417" w:left="1417" w:header="737" w:footer="992" w:gutter="0"/>
          <w:pgNumType w:fmt="decimal"/>
          <w:cols w:space="720" w:num="1"/>
          <w:docGrid w:type="lines" w:linePitch="312" w:charSpace="0"/>
        </w:sectPr>
      </w:pPr>
    </w:p>
    <w:p w14:paraId="17B1408F">
      <w:pPr>
        <w:widowControl/>
        <w:snapToGrid w:val="0"/>
        <w:spacing w:line="360" w:lineRule="auto"/>
        <w:ind w:firstLine="480" w:firstLineChars="200"/>
        <w:jc w:val="left"/>
        <w:rPr>
          <w:rFonts w:hint="eastAsia" w:ascii="宋体" w:hAnsi="宋体" w:eastAsia="宋体" w:cs="宋体"/>
          <w:bCs/>
          <w:color w:val="auto"/>
          <w:sz w:val="24"/>
          <w:szCs w:val="24"/>
          <w:highlight w:val="none"/>
          <w:lang w:bidi="ar"/>
        </w:rPr>
      </w:pPr>
      <w:r>
        <w:rPr>
          <w:rFonts w:hint="eastAsia" w:ascii="宋体" w:hAnsi="宋体" w:eastAsia="宋体" w:cs="宋体"/>
          <w:bCs/>
          <w:color w:val="auto"/>
          <w:sz w:val="24"/>
          <w:szCs w:val="24"/>
          <w:highlight w:val="none"/>
          <w:lang w:bidi="ar"/>
        </w:rPr>
        <w:t>甲方(</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bCs/>
          <w:color w:val="auto"/>
          <w:sz w:val="24"/>
          <w:szCs w:val="24"/>
          <w:highlight w:val="none"/>
          <w:lang w:bidi="ar"/>
        </w:rPr>
        <w:t>采购人</w:t>
      </w:r>
      <w:r>
        <w:rPr>
          <w:rFonts w:hint="eastAsia" w:ascii="宋体" w:hAnsi="宋体" w:eastAsia="宋体" w:cs="宋体"/>
          <w:bCs/>
          <w:color w:val="auto"/>
          <w:sz w:val="24"/>
          <w:szCs w:val="24"/>
          <w:highlight w:val="none"/>
          <w:lang w:bidi="ar"/>
        </w:rPr>
        <w:fldChar w:fldCharType="end"/>
      </w:r>
      <w:r>
        <w:rPr>
          <w:rFonts w:hint="eastAsia" w:ascii="宋体" w:hAnsi="宋体" w:eastAsia="宋体" w:cs="宋体"/>
          <w:bCs/>
          <w:color w:val="auto"/>
          <w:sz w:val="24"/>
          <w:szCs w:val="24"/>
          <w:highlight w:val="none"/>
          <w:lang w:bidi="ar"/>
        </w:rPr>
        <w:t>)：</w:t>
      </w:r>
      <w:r>
        <w:rPr>
          <w:rFonts w:hint="eastAsia" w:ascii="宋体" w:hAnsi="宋体" w:eastAsia="宋体" w:cs="宋体"/>
          <w:bCs/>
          <w:color w:val="auto"/>
          <w:sz w:val="24"/>
          <w:szCs w:val="24"/>
          <w:highlight w:val="none"/>
          <w:u w:val="single"/>
          <w:lang w:bidi="ar"/>
        </w:rPr>
        <w:t xml:space="preserve">                               </w:t>
      </w:r>
    </w:p>
    <w:p w14:paraId="730F26B9">
      <w:pPr>
        <w:widowControl/>
        <w:snapToGrid w:val="0"/>
        <w:spacing w:line="360" w:lineRule="auto"/>
        <w:ind w:firstLine="720" w:firstLineChars="300"/>
        <w:jc w:val="left"/>
        <w:rPr>
          <w:rFonts w:hint="eastAsia" w:ascii="宋体" w:hAnsi="宋体" w:eastAsia="宋体" w:cs="宋体"/>
          <w:bCs/>
          <w:color w:val="auto"/>
          <w:sz w:val="24"/>
          <w:szCs w:val="24"/>
          <w:highlight w:val="none"/>
          <w:lang w:bidi="ar"/>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bCs/>
          <w:color w:val="auto"/>
          <w:sz w:val="24"/>
          <w:szCs w:val="24"/>
          <w:highlight w:val="none"/>
          <w:lang w:bidi="ar"/>
        </w:rPr>
        <w:t>乙方</w:t>
      </w:r>
      <w:r>
        <w:rPr>
          <w:rFonts w:hint="eastAsia" w:ascii="宋体" w:hAnsi="宋体" w:eastAsia="宋体" w:cs="宋体"/>
          <w:bCs/>
          <w:color w:val="auto"/>
          <w:sz w:val="24"/>
          <w:szCs w:val="24"/>
          <w:highlight w:val="none"/>
          <w:lang w:bidi="ar"/>
        </w:rPr>
        <w:fldChar w:fldCharType="end"/>
      </w:r>
      <w:r>
        <w:rPr>
          <w:rFonts w:hint="eastAsia" w:ascii="宋体" w:hAnsi="宋体" w:eastAsia="宋体" w:cs="宋体"/>
          <w:bCs/>
          <w:color w:val="auto"/>
          <w:sz w:val="24"/>
          <w:szCs w:val="24"/>
          <w:highlight w:val="none"/>
          <w:lang w:bidi="ar"/>
        </w:rPr>
        <w:t>(中标人)：</w:t>
      </w:r>
      <w:r>
        <w:rPr>
          <w:rFonts w:hint="eastAsia" w:ascii="宋体" w:hAnsi="宋体" w:eastAsia="宋体" w:cs="宋体"/>
          <w:bCs/>
          <w:color w:val="auto"/>
          <w:sz w:val="24"/>
          <w:szCs w:val="24"/>
          <w:highlight w:val="none"/>
          <w:u w:val="single"/>
          <w:lang w:bidi="ar"/>
        </w:rPr>
        <w:t xml:space="preserve">                               </w:t>
      </w:r>
    </w:p>
    <w:p w14:paraId="204CD41E">
      <w:pPr>
        <w:widowControl/>
        <w:snapToGrid w:val="0"/>
        <w:spacing w:line="360" w:lineRule="auto"/>
        <w:ind w:right="-260" w:rightChars="-93"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根据《中华人民共和国民法典》及其他相关法律规定，为了明确甲乙双方的权利、义务，经过甲、乙双方充分协商，就甲方</w:t>
      </w:r>
      <w:r>
        <w:rPr>
          <w:rFonts w:hint="eastAsia" w:ascii="宋体" w:hAnsi="宋体" w:cs="宋体"/>
          <w:color w:val="auto"/>
          <w:sz w:val="24"/>
          <w:szCs w:val="24"/>
          <w:highlight w:val="none"/>
          <w:u w:val="single"/>
          <w:lang w:eastAsia="zh-CN"/>
        </w:rPr>
        <w:t>餐饮服务管理项目</w:t>
      </w:r>
      <w:r>
        <w:rPr>
          <w:rFonts w:hint="eastAsia" w:ascii="宋体" w:hAnsi="宋体" w:eastAsia="宋体" w:cs="宋体"/>
          <w:color w:val="auto"/>
          <w:sz w:val="24"/>
          <w:szCs w:val="24"/>
          <w:highlight w:val="none"/>
          <w:u w:val="single"/>
          <w:lang w:eastAsia="zh-CN"/>
        </w:rPr>
        <w:t>项目</w:t>
      </w:r>
      <w:r>
        <w:rPr>
          <w:rFonts w:hint="eastAsia" w:ascii="宋体" w:hAnsi="宋体" w:eastAsia="宋体" w:cs="宋体"/>
          <w:color w:val="auto"/>
          <w:sz w:val="24"/>
          <w:szCs w:val="24"/>
          <w:highlight w:val="none"/>
        </w:rPr>
        <w:t>事宜达成如下协议，以便共同信守：</w:t>
      </w:r>
    </w:p>
    <w:p w14:paraId="6204A367">
      <w:pPr>
        <w:widowControl/>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第一条  项目概况</w:t>
      </w:r>
    </w:p>
    <w:p w14:paraId="716246BD">
      <w:pPr>
        <w:snapToGrid w:val="0"/>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1、服务地点：</w:t>
      </w:r>
      <w:r>
        <w:rPr>
          <w:rFonts w:hint="eastAsia" w:ascii="宋体" w:hAnsi="宋体" w:eastAsia="宋体" w:cs="宋体"/>
          <w:bCs/>
          <w:color w:val="auto"/>
          <w:sz w:val="24"/>
          <w:szCs w:val="24"/>
          <w:highlight w:val="none"/>
          <w:u w:val="single"/>
        </w:rPr>
        <w:t>采购人指定地点</w:t>
      </w:r>
    </w:p>
    <w:p w14:paraId="301E92C2">
      <w:pPr>
        <w:snapToGrid w:val="0"/>
        <w:spacing w:line="360" w:lineRule="auto"/>
        <w:ind w:firstLine="480" w:firstLineChars="200"/>
        <w:rPr>
          <w:rFonts w:hint="eastAsia" w:ascii="宋体" w:hAnsi="宋体" w:eastAsia="宋体" w:cs="宋体"/>
          <w:bCs/>
          <w:color w:val="auto"/>
          <w:sz w:val="24"/>
          <w:szCs w:val="24"/>
          <w:highlight w:val="none"/>
          <w:lang w:val="en-US"/>
        </w:rPr>
      </w:pPr>
      <w:r>
        <w:rPr>
          <w:rFonts w:hint="eastAsia" w:ascii="宋体" w:hAnsi="宋体" w:eastAsia="宋体" w:cs="宋体"/>
          <w:bCs/>
          <w:color w:val="auto"/>
          <w:sz w:val="24"/>
          <w:szCs w:val="24"/>
          <w:highlight w:val="none"/>
        </w:rPr>
        <w:t>2、服务内容：</w:t>
      </w:r>
      <w:r>
        <w:rPr>
          <w:rFonts w:hint="eastAsia" w:ascii="宋体" w:hAnsi="宋体" w:eastAsia="宋体" w:cs="宋体"/>
          <w:color w:val="auto"/>
          <w:sz w:val="24"/>
          <w:szCs w:val="24"/>
          <w:highlight w:val="none"/>
          <w:u w:val="single"/>
          <w:lang w:val="en-US" w:eastAsia="zh-CN"/>
        </w:rPr>
        <w:t xml:space="preserve">               </w:t>
      </w:r>
    </w:p>
    <w:p w14:paraId="2E7E6D87">
      <w:pPr>
        <w:widowControl w:val="0"/>
        <w:snapToGrid w:val="0"/>
        <w:spacing w:line="360" w:lineRule="auto"/>
        <w:ind w:firstLine="480" w:firstLineChars="200"/>
        <w:jc w:val="both"/>
        <w:rPr>
          <w:rFonts w:hint="eastAsia" w:ascii="宋体" w:hAnsi="宋体" w:eastAsia="宋体" w:cs="宋体"/>
          <w:bCs/>
          <w:color w:val="auto"/>
          <w:kern w:val="2"/>
          <w:sz w:val="24"/>
          <w:szCs w:val="24"/>
          <w:highlight w:val="none"/>
          <w:u w:val="single"/>
          <w:lang w:val="en-US" w:eastAsia="zh-CN" w:bidi="ar-SA"/>
        </w:rPr>
      </w:pPr>
      <w:r>
        <w:rPr>
          <w:rFonts w:hint="eastAsia" w:ascii="宋体" w:hAnsi="宋体" w:eastAsia="宋体" w:cs="宋体"/>
          <w:bCs/>
          <w:color w:val="auto"/>
          <w:kern w:val="2"/>
          <w:sz w:val="24"/>
          <w:szCs w:val="24"/>
          <w:highlight w:val="none"/>
          <w:lang w:val="en-US" w:eastAsia="zh-CN" w:bidi="ar-SA"/>
        </w:rPr>
        <w:t>3、服务期限：</w:t>
      </w:r>
      <w:r>
        <w:rPr>
          <w:rFonts w:hint="eastAsia" w:ascii="宋体" w:hAnsi="宋体" w:eastAsia="宋体" w:cs="宋体"/>
          <w:bCs/>
          <w:color w:val="auto"/>
          <w:kern w:val="2"/>
          <w:sz w:val="24"/>
          <w:szCs w:val="24"/>
          <w:highlight w:val="none"/>
          <w:u w:val="single"/>
          <w:lang w:val="en-US" w:eastAsia="zh-CN" w:bidi="ar-SA"/>
        </w:rPr>
        <w:t xml:space="preserve"> </w:t>
      </w:r>
      <w:r>
        <w:rPr>
          <w:rFonts w:hint="eastAsia" w:ascii="宋体" w:hAnsi="宋体" w:cs="宋体"/>
          <w:bCs/>
          <w:color w:val="auto"/>
          <w:kern w:val="2"/>
          <w:sz w:val="24"/>
          <w:szCs w:val="24"/>
          <w:highlight w:val="none"/>
          <w:u w:val="single"/>
          <w:lang w:val="en-US" w:eastAsia="zh-CN" w:bidi="ar-SA"/>
        </w:rPr>
        <w:t>自2025年8月25日起至2026年8月24日止（具体期限为签订合同起一年）</w:t>
      </w:r>
    </w:p>
    <w:p w14:paraId="6C256BEB">
      <w:pPr>
        <w:widowControl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4、服务质量标准：</w:t>
      </w:r>
      <w:r>
        <w:rPr>
          <w:rFonts w:hint="eastAsia" w:ascii="宋体" w:hAnsi="宋体" w:eastAsia="宋体" w:cs="宋体"/>
          <w:color w:val="auto"/>
          <w:spacing w:val="4"/>
          <w:kern w:val="2"/>
          <w:sz w:val="24"/>
          <w:szCs w:val="24"/>
          <w:highlight w:val="none"/>
          <w:u w:val="single"/>
          <w:lang w:val="en-US" w:eastAsia="zh-CN" w:bidi="ar-SA"/>
        </w:rPr>
        <w:t>完全满足采购人的要求</w:t>
      </w:r>
      <w:r>
        <w:rPr>
          <w:rFonts w:hint="eastAsia" w:ascii="宋体" w:hAnsi="宋体" w:eastAsia="宋体" w:cs="宋体"/>
          <w:color w:val="auto"/>
          <w:kern w:val="2"/>
          <w:sz w:val="24"/>
          <w:szCs w:val="24"/>
          <w:highlight w:val="none"/>
          <w:lang w:val="en-US" w:eastAsia="zh-CN" w:bidi="ar-SA"/>
        </w:rPr>
        <w:t>。</w:t>
      </w:r>
    </w:p>
    <w:p w14:paraId="7E06AFBB">
      <w:pPr>
        <w:widowControl/>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第二条  款项结算：</w:t>
      </w:r>
    </w:p>
    <w:p w14:paraId="619B9C0C">
      <w:pPr>
        <w:widowControl/>
        <w:kinsoku w:val="0"/>
        <w:autoSpaceDE w:val="0"/>
        <w:autoSpaceDN w:val="0"/>
        <w:adjustRightInd w:val="0"/>
        <w:snapToGrid w:val="0"/>
        <w:spacing w:line="560" w:lineRule="exact"/>
        <w:ind w:firstLine="480" w:firstLineChars="200"/>
        <w:jc w:val="left"/>
        <w:textAlignment w:val="baseline"/>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snapToGrid w:val="0"/>
          <w:kern w:val="0"/>
          <w:sz w:val="24"/>
          <w:szCs w:val="24"/>
          <w:highlight w:val="none"/>
          <w:lang w:bidi="ar"/>
        </w:rPr>
        <w:t>（1）</w:t>
      </w:r>
      <w:r>
        <w:rPr>
          <w:rFonts w:hint="eastAsia" w:ascii="宋体" w:hAnsi="宋体" w:eastAsia="宋体" w:cs="宋体"/>
          <w:snapToGrid w:val="0"/>
          <w:kern w:val="0"/>
          <w:sz w:val="24"/>
          <w:szCs w:val="24"/>
          <w:highlight w:val="none"/>
          <w:lang w:val="en-US" w:eastAsia="zh-CN" w:bidi="ar"/>
        </w:rPr>
        <w:t>付款方式：</w:t>
      </w:r>
      <w:r>
        <w:rPr>
          <w:rFonts w:hint="eastAsia" w:ascii="宋体" w:hAnsi="宋体" w:cs="宋体"/>
          <w:snapToGrid w:val="0"/>
          <w:kern w:val="0"/>
          <w:sz w:val="24"/>
          <w:szCs w:val="24"/>
          <w:highlight w:val="none"/>
          <w:lang w:val="en-US" w:eastAsia="zh-CN" w:bidi="ar"/>
        </w:rPr>
        <w:t>甲方按月支付费用，以甲方量化考核为依据，最终结算于次月15日内以分项报价表人员工资及实际考勤按月据实结算。（不含食宿）</w:t>
      </w:r>
      <w:r>
        <w:rPr>
          <w:rFonts w:hint="eastAsia" w:ascii="宋体" w:hAnsi="宋体" w:cs="宋体"/>
          <w:snapToGrid w:val="0"/>
          <w:kern w:val="0"/>
          <w:sz w:val="24"/>
          <w:szCs w:val="24"/>
          <w:highlight w:val="yellow"/>
          <w:lang w:val="en-US" w:eastAsia="zh-CN" w:bidi="ar"/>
        </w:rPr>
        <w:br w:type="textWrapping"/>
      </w:r>
      <w:r>
        <w:rPr>
          <w:rFonts w:hint="eastAsia" w:ascii="宋体" w:hAnsi="宋体" w:eastAsia="宋体" w:cs="宋体"/>
          <w:b/>
          <w:bCs/>
          <w:color w:val="auto"/>
          <w:kern w:val="2"/>
          <w:sz w:val="24"/>
          <w:szCs w:val="24"/>
          <w:highlight w:val="none"/>
          <w:lang w:val="en-US" w:eastAsia="zh-CN" w:bidi="ar-SA"/>
        </w:rPr>
        <w:t>第三条  服务内容及卫生管理</w:t>
      </w:r>
    </w:p>
    <w:p w14:paraId="09968F48">
      <w:pPr>
        <w:widowControl/>
        <w:kinsoku w:val="0"/>
        <w:autoSpaceDE w:val="0"/>
        <w:autoSpaceDN w:val="0"/>
        <w:adjustRightInd w:val="0"/>
        <w:snapToGrid w:val="0"/>
        <w:spacing w:line="360" w:lineRule="auto"/>
        <w:ind w:firstLine="482"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b/>
          <w:bCs/>
          <w:snapToGrid w:val="0"/>
          <w:color w:val="auto"/>
          <w:kern w:val="0"/>
          <w:sz w:val="24"/>
          <w:szCs w:val="24"/>
          <w:highlight w:val="none"/>
          <w:lang w:bidi="ar"/>
        </w:rPr>
        <w:t xml:space="preserve">1、服务内容 </w:t>
      </w:r>
    </w:p>
    <w:p w14:paraId="3CBA0BBB">
      <w:pPr>
        <w:widowControl/>
        <w:kinsoku w:val="0"/>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主要保障省政府幼儿园及各分园在园1000名幼儿正常就餐需求，确保食品的品质和卫生安全，保证准时、保质、保量地提供膳食服务；保证微笑服务，满足就餐人员的各种合理要求；无条件接受就餐人员和园方对食品卫生、质量及服务等各方面的监督；接受就餐人员善意、合理的建议和意见，不断提高服务水平；对于合理的投诉，能够当场处理的做到当场处理的，用于投诉处理的时间不超过两个工作日。</w:t>
      </w:r>
    </w:p>
    <w:p w14:paraId="76976AA2">
      <w:pPr>
        <w:widowControl/>
        <w:kinsoku w:val="0"/>
        <w:autoSpaceDE w:val="0"/>
        <w:autoSpaceDN w:val="0"/>
        <w:adjustRightInd w:val="0"/>
        <w:snapToGrid w:val="0"/>
        <w:spacing w:line="360" w:lineRule="auto"/>
        <w:ind w:firstLine="472" w:firstLineChars="196"/>
        <w:textAlignment w:val="baseline"/>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服务标准</w:t>
      </w:r>
    </w:p>
    <w:p w14:paraId="7998F6AF">
      <w:pPr>
        <w:widowControl/>
        <w:adjustRightInd w:val="0"/>
        <w:snapToGrid w:val="0"/>
        <w:spacing w:line="360" w:lineRule="auto"/>
        <w:ind w:firstLine="480"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 xml:space="preserve">严格加工过程中的卫生标准，保证食品卫生符合我国《食品卫生法》、《食品安全法》的要求；每餐前后必须对餐桌、餐厅进行清洁，保持用餐环境整洁无污迹，无油渍。每天定期对餐厅进行消毒。保持餐厅各设施设备运行正常。食品储存符合国家级卫生标准。生、熟、冷、热食分开，环境卫生整洁。厨房内的清洁标准符合国家卫生要求。对有关油烟通道、排风通道、管道、灶面 、灶台等的清洁应列为日常清洁任务。每餐消毒后对餐具卫生进行抽查，每餐食品留样48小时。          </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
          <w:bCs/>
          <w:color w:val="auto"/>
          <w:kern w:val="2"/>
          <w:sz w:val="24"/>
          <w:szCs w:val="24"/>
          <w:highlight w:val="none"/>
          <w:lang w:val="en-US" w:eastAsia="zh-CN" w:bidi="ar-SA"/>
        </w:rPr>
        <w:t>第四条  检查与考核</w:t>
      </w:r>
    </w:p>
    <w:p w14:paraId="7A2B8102">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期内，甲方根据餐饮管理制度定期或不定期对乙方进行检查；同时，家委会成员定期可对餐厅加工操作环节、环境卫生等方面进行检查并记录，如果连续两个月有超出半数成员对乙方服务表现做出差评，甲方有权无条件解除合同。乙方人员恶意浪费或偷窃食材，经核查属实，乙方应承担相应损失，甲方有权进行考核处罚责令整改，情况严重者终止合同。</w:t>
      </w:r>
    </w:p>
    <w:p w14:paraId="2A84283B">
      <w:pPr>
        <w:widowControl/>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第五条  甲方的权利和义务</w:t>
      </w:r>
    </w:p>
    <w:p w14:paraId="106B7062">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1、甲方学生食堂水、电、气应接入并能正常使用；主副食加工间、粗加工间、冷库、用具、厨房、更衣间等房间、设施器具齐全并能正常使用。</w:t>
      </w:r>
    </w:p>
    <w:p w14:paraId="5CB598D7">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2、甲方应对乙方的日常供餐、服务水平及卫生情况进行监督，并且有权要求乙方及时整改不良之处。</w:t>
      </w:r>
    </w:p>
    <w:p w14:paraId="09C9D61A">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3、甲方有权利要求乙方执行上级领导及卫生执法部门对食堂管理的相关规定，组织监督小组对乙方在卫生、质量、服务等方面进行检查监督，并对不达标地方指导改进。</w:t>
      </w:r>
    </w:p>
    <w:p w14:paraId="513A142E">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4、学生食堂各区域按要求配置全能设施器具和现有的设备、器具的</w:t>
      </w:r>
      <w:r>
        <w:rPr>
          <w:rFonts w:hint="eastAsia" w:ascii="宋体" w:hAnsi="宋体" w:eastAsia="宋体" w:cs="宋体"/>
          <w:color w:val="auto"/>
          <w:sz w:val="24"/>
          <w:szCs w:val="24"/>
          <w:highlight w:val="none"/>
          <w:lang w:eastAsia="zh-CN"/>
        </w:rPr>
        <w:t>所有权</w:t>
      </w:r>
      <w:r>
        <w:rPr>
          <w:rFonts w:hint="eastAsia" w:ascii="宋体" w:hAnsi="宋体" w:eastAsia="宋体" w:cs="宋体"/>
          <w:color w:val="auto"/>
          <w:sz w:val="24"/>
          <w:szCs w:val="24"/>
          <w:highlight w:val="none"/>
        </w:rPr>
        <w:t>均属于甲方；乙方在工作中应当合理、谨慎</w:t>
      </w:r>
      <w:r>
        <w:rPr>
          <w:rFonts w:hint="eastAsia" w:ascii="宋体" w:hAnsi="宋体" w:eastAsia="宋体" w:cs="宋体"/>
          <w:color w:val="auto"/>
          <w:sz w:val="24"/>
          <w:szCs w:val="24"/>
          <w:highlight w:val="none"/>
          <w:lang w:eastAsia="zh-CN"/>
        </w:rPr>
        <w:t>地</w:t>
      </w:r>
      <w:r>
        <w:rPr>
          <w:rFonts w:hint="eastAsia" w:ascii="宋体" w:hAnsi="宋体" w:eastAsia="宋体" w:cs="宋体"/>
          <w:color w:val="auto"/>
          <w:sz w:val="24"/>
          <w:szCs w:val="24"/>
          <w:highlight w:val="none"/>
        </w:rPr>
        <w:t>使用相关的设备、设施，乙方因人为原因导致甲方设备毁损的，乙方应当积极予以维修并承担设施、设备毁损所造成的全部费用。因乙方管理不善将设备、器具丢失的，乙方应当照价予以赔偿。</w:t>
      </w:r>
    </w:p>
    <w:p w14:paraId="102DFC49">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5、学生食堂现有设备、设施清单由甲方负责向乙方提供，并于乙方进驻工作现场时由双方派人进行移交手续。</w:t>
      </w:r>
    </w:p>
    <w:p w14:paraId="356595DE">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6、学生食堂的各项设备、在正常使用中因机器本身正常耗损所产生故障，不能正常运转的，由甲方负责维修、更换。</w:t>
      </w:r>
    </w:p>
    <w:p w14:paraId="2A7338C8">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7、甲方对乙方的服务工作有监督管理权。</w:t>
      </w:r>
    </w:p>
    <w:p w14:paraId="65D3E564">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双方在履行本合同期间，因乙方的原因导致就餐延误30分钟及以上，如果在一个月内发生两次及以上的，甲方有权解除本合同，乙方自行承担因本合同解除所造成的一切后果和责任，给甲方造成损失的，乙方应当及时、足额</w:t>
      </w:r>
      <w:r>
        <w:rPr>
          <w:rFonts w:hint="eastAsia" w:ascii="宋体" w:hAnsi="宋体" w:eastAsia="宋体" w:cs="宋体"/>
          <w:color w:val="auto"/>
          <w:sz w:val="24"/>
          <w:szCs w:val="24"/>
          <w:highlight w:val="none"/>
          <w:lang w:eastAsia="zh-CN"/>
        </w:rPr>
        <w:t>地</w:t>
      </w:r>
      <w:r>
        <w:rPr>
          <w:rFonts w:hint="eastAsia" w:ascii="宋体" w:hAnsi="宋体" w:eastAsia="宋体" w:cs="宋体"/>
          <w:color w:val="auto"/>
          <w:sz w:val="24"/>
          <w:szCs w:val="24"/>
          <w:highlight w:val="none"/>
        </w:rPr>
        <w:t>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0974C42A">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解除本合同。</w:t>
      </w:r>
    </w:p>
    <w:p w14:paraId="1403EC6D">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10、甲方尊重乙方劳动和管理方式，除甲方领导和后勤管理人员外，其余人员一律不得随意出入乙方的后厨工作现场。</w:t>
      </w:r>
    </w:p>
    <w:p w14:paraId="18B5ECCE">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11、餐厅食材日常管理：</w:t>
      </w:r>
    </w:p>
    <w:p w14:paraId="55FAE365">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乙方应该严格执行验收制度，确保验收食材、物料质量符合食品安全要求，杜绝不符合食品安全要求的食材、物料进入餐厅。如果因为乙方的原因，出现食材、物料引发安全事故，乙方应当承担全部责任，并赔偿受害人因此造成的一切损失。</w:t>
      </w:r>
    </w:p>
    <w:p w14:paraId="73EA98C6">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11.2双方应当严格入库验收制度，入库验收工作由甲方食堂管理员和乙方相关人员负责，对入库原材料过秤、清点数量进行质量检测。</w:t>
      </w:r>
    </w:p>
    <w:p w14:paraId="613857E2">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12、甲方对乙方的食品加工过程、营养搭配、服务质量及安全管理、环境卫生等方面有检查和监督权，对指出的问题乙方要及时整改。</w:t>
      </w:r>
    </w:p>
    <w:p w14:paraId="3A5D8A7E">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13、甲方承担天然气管道检修、维护、改造及</w:t>
      </w:r>
      <w:r>
        <w:rPr>
          <w:rFonts w:hint="eastAsia" w:ascii="宋体" w:hAnsi="宋体" w:eastAsia="宋体" w:cs="宋体"/>
          <w:color w:val="auto"/>
          <w:sz w:val="24"/>
          <w:szCs w:val="24"/>
          <w:highlight w:val="none"/>
          <w:lang w:eastAsia="zh-CN"/>
        </w:rPr>
        <w:t>燃气</w:t>
      </w:r>
      <w:r>
        <w:rPr>
          <w:rFonts w:hint="eastAsia" w:ascii="宋体" w:hAnsi="宋体" w:eastAsia="宋体" w:cs="宋体"/>
          <w:color w:val="auto"/>
          <w:sz w:val="24"/>
          <w:szCs w:val="24"/>
          <w:highlight w:val="none"/>
        </w:rPr>
        <w:t>表维修更换、检测费用。</w:t>
      </w:r>
    </w:p>
    <w:p w14:paraId="356E3090">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14、为确保安全，甲方负责每半年对油烟管道进行一次清理，费用由甲方承担；乙方负责餐厅日常卫生维护工作。</w:t>
      </w:r>
    </w:p>
    <w:p w14:paraId="6A5D9246">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717A2ADA">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人员配备数量根据实际就餐学生人数、相关政策法规要求等实行动态管理，经双方协商后进行调整。服务费按照人员出勤天数、实际配备情况等据实结算。同时，乙方配合甲方建立人员档案，如有调整及时报备学校。</w:t>
      </w:r>
    </w:p>
    <w:p w14:paraId="4988B818">
      <w:pPr>
        <w:widowControl/>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第六条  乙方的权利和义务</w:t>
      </w:r>
    </w:p>
    <w:p w14:paraId="30F23E06">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1、本着办好学生食堂，不断提高就餐满意率的共同目标，乙方应当积极配合甲方，按照甲方提出的建议，及时对食堂技术人员的工作进行调整。</w:t>
      </w:r>
    </w:p>
    <w:p w14:paraId="468C1B89">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2、乙方承诺在日常工作中严格遵守《中华人民共和国食品安全法》及其他国家和地方制定的食品安全方面的法律法规，并按照本合同的约定进行日常工作。</w:t>
      </w:r>
    </w:p>
    <w:p w14:paraId="40163A9D">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3、乙方承诺在合同期间保证食品安全率100%，工作人员的人身安全率100%和机械设备安全使用率100%。</w:t>
      </w:r>
    </w:p>
    <w:p w14:paraId="7683697F">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合同履行期间，发生食品卫生问题（包括但不限于发生饭菜有异物、食材变质），经抽检或就餐人员投诉情况属实的，发现一次扣除合同金额5‰， 连续或累计出现两次及以上的，甲方有权单方解除本协议，并按本合同第合 同金额第八条第 1 款要求乙方承担违约责任。</w:t>
      </w:r>
    </w:p>
    <w:p w14:paraId="27E62BCD">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本合同履行期间，若发生食品安全事故，乙方承诺承担全部责任，并赔偿受害人因此造成的一切损失；乙方自行承担其他工作人员的人身安全责任，乙方工作人员发生的任何人身安全事故，均与甲方无关；机械设备由甲方负责安装防护装置，对于没有安全防护的设备，乙方有权拒绝使用，如因此甲方造成损失的，由甲方自行承担，除此外，乙方承担的因机械安全所造成的全部责任和全部费用。</w:t>
      </w:r>
    </w:p>
    <w:p w14:paraId="273F00E3">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本合同履行期间，因乙方原因所发生的食品安全、人身安全、机械安全事故，所产生的全部费用和相应的责任均由乙方承担。</w:t>
      </w:r>
    </w:p>
    <w:p w14:paraId="38482C95">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4、乙方的工作人员应当符合国家食品药品监督部门和其他相关部门的要求，乙方工作人员均应当持有效的《健康证》。</w:t>
      </w:r>
    </w:p>
    <w:p w14:paraId="309CD270">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5、乙方应按时、保质、保量地完成项目工作任务，确保甲方节假日加班和日常延时工作的需求，确保日常工作正常运行。</w:t>
      </w:r>
    </w:p>
    <w:p w14:paraId="59E3A6E1">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6、乙方应当向所属员工提供符合《中华人民共和国食品安全法》要求的、印有乙方企业标识的工作服和出入证，乙方员工在工作区域时，必须穿着统一工作服。</w:t>
      </w:r>
    </w:p>
    <w:p w14:paraId="63B18FF6">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7、乙方应当保证其员工身份的真实性以及政审合格。</w:t>
      </w:r>
    </w:p>
    <w:p w14:paraId="339DEAAE">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8、根据伙食费标准做好伙食调剂，控制伙食成本，杜绝浪费。乙方同时应妥善保管甲方仓库内食材，坚决杜绝人为损耗。否则，乙方应承担赔偿责任。</w:t>
      </w:r>
    </w:p>
    <w:p w14:paraId="165D77B4">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9、按《中华人民共和国食品安全法》相关规定，每餐次的食品成品必须留样。留样食品不得少于125克，并记录留样食品名称、留样量、留样时间、留样人员等，留样食品应使用清洁的专用容器和专用冷藏设施进行储存，并专柜冷藏保存48小时以上。</w:t>
      </w:r>
    </w:p>
    <w:p w14:paraId="3F9E1033">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10、乙方须与员工签订正式劳动合同，负责员工的使用、管理、教育、培训、奖惩和调配工作；负责员工意外事故和劳动纠纷的处理工作；按时支付员工工资、保险及其他福利。负责所辖工作人员的安全工作。除甲方责任外，乙方员工及第三人出现人身伤亡、财产损失事故，由乙方负责，所有费用由乙方承担。乙方应当按照我国劳动法律法规的有关规定向所属员工发放工资、福利、劳保；同时建立、健全劳动安全制度，严格执行国家劳动安全规程和标准；并对员工进行上岗前安全教育和技能等培训，使其符合上岗的要求，具备相应的职业技能和业务素质。</w:t>
      </w:r>
    </w:p>
    <w:p w14:paraId="16C1358B">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11、定期征求就餐人员意见，根据甲方意见有针对性整改。</w:t>
      </w:r>
    </w:p>
    <w:p w14:paraId="19E40C2F">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12、甲方配置的机械设备，乙方不得转让、转包、转租、变卖或擅自挪用其他用途。必须爱护甲方的设备和财产，由于违规操作造成的设施设备、炊具、餐具等的损坏，由乙方照价赔偿。</w:t>
      </w:r>
    </w:p>
    <w:p w14:paraId="091CE517">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13、乙方负责对餐厅水、电、燃气安全等设施设备进行检查巡视，发现问题及时向甲方汇报并第一时间处理。</w:t>
      </w:r>
    </w:p>
    <w:p w14:paraId="55871636">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14、遇到甲方有重大活动时，乙方必须按照甲方要求保障饮食供应，需提前或延后就餐时，由甲方负责提前通知乙方，乙方须配合并保证供应。</w:t>
      </w:r>
    </w:p>
    <w:p w14:paraId="46D4B5BB">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15、乙方需调整人员时，必须事先向甲方备案，应交健康证、在岗出入证、工作证等，并办理其他手续。</w:t>
      </w:r>
    </w:p>
    <w:p w14:paraId="34B3C133">
      <w:pPr>
        <w:widowControl/>
        <w:adjustRightInd w:val="0"/>
        <w:snapToGrid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16、乙方从事餐饮的所有人员必须办理卫生防疫部门发放的健康证，并承担办证费用。</w:t>
      </w:r>
    </w:p>
    <w:p w14:paraId="48175B4B">
      <w:pPr>
        <w:widowControl/>
        <w:adjustRightInd w:val="0"/>
        <w:snapToGrid w:val="0"/>
        <w:spacing w:line="360" w:lineRule="auto"/>
        <w:ind w:firstLine="480"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17、乙方必须向甲方开具符合甲方要求的正规发票，税费由乙方承担。</w:t>
      </w:r>
      <w:r>
        <w:rPr>
          <w:rFonts w:hint="eastAsia" w:ascii="宋体" w:hAnsi="宋体" w:eastAsia="宋体" w:cs="宋体"/>
          <w:b/>
          <w:bCs/>
          <w:color w:val="auto"/>
          <w:kern w:val="2"/>
          <w:sz w:val="24"/>
          <w:szCs w:val="24"/>
          <w:highlight w:val="none"/>
          <w:lang w:val="en-US" w:eastAsia="zh-CN" w:bidi="ar-SA"/>
        </w:rPr>
        <w:t>第七条  违约责任及解决合同纠纷的方式</w:t>
      </w:r>
    </w:p>
    <w:p w14:paraId="1D96878E">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1、双方任何一方违反本合同任一条款即构成违约，任何一方有权终止合同。</w:t>
      </w:r>
    </w:p>
    <w:p w14:paraId="4EA7CD3D">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2、在本合同履行期间如产生争议，双方应当首先进行友好协商，若协商不成，可向甲方所在地人民法院提起诉讼起诉。</w:t>
      </w:r>
    </w:p>
    <w:p w14:paraId="295EBA04">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3、除因不可抗拒的事件外（如地震、水灾、旱灾、战争、政府禁令、罢工等），任何一方不得以任何理由不经协商而中断合同的有效执行。</w:t>
      </w:r>
    </w:p>
    <w:p w14:paraId="341A5F80">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为建立友好合作关系，确保双方权益和商业秘密不受侵犯，双方均负有保密责任和义务，未经任何一方允许，不得将对方商业信息、技术信息、经营信息及本合同约定的相关内容转载或公开给第三方，若任何一方违反本条款，需承担违约金10万元，同时承担相应的法律责任。</w:t>
      </w:r>
    </w:p>
    <w:p w14:paraId="11557C12">
      <w:pPr>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5、无论因任何原因，双方不再合作，甲方不得以任何理由、任何形式雇佣乙方现有管理干部或员工，如违反规定，需承担赔偿20万元违约金并承担相关法律责任。</w:t>
      </w:r>
    </w:p>
    <w:p w14:paraId="5B928835">
      <w:pPr>
        <w:widowControl w:val="0"/>
        <w:spacing w:after="120" w:afterLines="0" w:afterAutospacing="0" w:line="360" w:lineRule="auto"/>
        <w:ind w:left="0" w:leftChars="0"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乙方不能按照管理制度完成管理目标，甲方有权要求乙方限期整改，经甲方书面函告逾期未整改的，每逾1日甲方将扣除乙方2000元的违约金，并在当月餐饮管理服务费用中扣除；且因此造成甲方经济损失，由乙方承担；情形严重时，甲方有权终止合同。</w:t>
      </w:r>
    </w:p>
    <w:p w14:paraId="41A682AC">
      <w:pPr>
        <w:widowControl w:val="0"/>
        <w:spacing w:after="120" w:afterLines="0" w:afterAutospacing="0" w:line="360" w:lineRule="auto"/>
        <w:ind w:left="0" w:leftChars="0"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乙方应制定质量保证体系，切实做好项目餐饮管理服务工作，餐饮人员必须各尽其职，保证符合各项工作质量要求，如安排不当、人员不能到位严重影响甲方正常工作的，且经过甲方书面函告仍未改正的，按2000元/次给予经济处罚，并在当月餐饮管理服务费用中扣除。</w:t>
      </w:r>
    </w:p>
    <w:p w14:paraId="1706E71A">
      <w:pPr>
        <w:widowControl w:val="0"/>
        <w:spacing w:after="120" w:afterLines="0" w:afterAutospacing="0" w:line="360" w:lineRule="auto"/>
        <w:ind w:left="0" w:leftChars="0"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甲方对乙方提供的服务工作进行质量检查、考核。对工作表现差的员工提出更换（包括项目内各级管理员和员工），乙方须予及时调换人员。项目经理必须服从采购单位提出的合理要求。</w:t>
      </w:r>
    </w:p>
    <w:p w14:paraId="13A70DAD">
      <w:pPr>
        <w:widowControl/>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第八条 其他要求</w:t>
      </w:r>
    </w:p>
    <w:p w14:paraId="239557EC">
      <w:pPr>
        <w:widowControl/>
        <w:kinsoku w:val="0"/>
        <w:autoSpaceDE w:val="0"/>
        <w:autoSpaceDN w:val="0"/>
        <w:adjustRightInd w:val="0"/>
        <w:snapToGri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 xml:space="preserve">1、每天从业人员工作时间能确保学校开餐时间正常开餐。 </w:t>
      </w:r>
    </w:p>
    <w:p w14:paraId="116BD49D">
      <w:pPr>
        <w:widowControl/>
        <w:kinsoku w:val="0"/>
        <w:autoSpaceDE w:val="0"/>
        <w:autoSpaceDN w:val="0"/>
        <w:adjustRightInd w:val="0"/>
        <w:snapToGri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 xml:space="preserve">2、以上配置所有人员必须具备下列要求： </w:t>
      </w:r>
    </w:p>
    <w:p w14:paraId="13BDE221">
      <w:pPr>
        <w:widowControl/>
        <w:kinsoku w:val="0"/>
        <w:autoSpaceDE w:val="0"/>
        <w:autoSpaceDN w:val="0"/>
        <w:adjustRightInd w:val="0"/>
        <w:snapToGri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 xml:space="preserve">（1）所有人员必须按卫生部门规定进行健康体检，取得卫生防疫部门出具的在有效期内的健康证； </w:t>
      </w:r>
    </w:p>
    <w:p w14:paraId="6D567707">
      <w:pPr>
        <w:widowControl/>
        <w:kinsoku w:val="0"/>
        <w:autoSpaceDE w:val="0"/>
        <w:autoSpaceDN w:val="0"/>
        <w:adjustRightInd w:val="0"/>
        <w:snapToGri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 xml:space="preserve">（2）必须遵守有关管理的纪律要求，严格执行保密协议的有关规定； </w:t>
      </w:r>
    </w:p>
    <w:p w14:paraId="53AB1167">
      <w:pPr>
        <w:widowControl/>
        <w:kinsoku w:val="0"/>
        <w:autoSpaceDE w:val="0"/>
        <w:autoSpaceDN w:val="0"/>
        <w:adjustRightInd w:val="0"/>
        <w:snapToGri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（3）服务期限内提供餐饮服务人员身份证明等资料，餐饮服务人员未经</w:t>
      </w:r>
      <w:r>
        <w:rPr>
          <w:rFonts w:hint="eastAsia" w:ascii="宋体" w:hAnsi="宋体" w:eastAsia="宋体" w:cs="宋体"/>
          <w:snapToGrid w:val="0"/>
          <w:color w:val="auto"/>
          <w:kern w:val="0"/>
          <w:sz w:val="24"/>
          <w:szCs w:val="24"/>
          <w:highlight w:val="none"/>
          <w:lang w:eastAsia="zh-CN" w:bidi="ar"/>
        </w:rPr>
        <w:t>甲方</w:t>
      </w:r>
      <w:r>
        <w:rPr>
          <w:rFonts w:hint="eastAsia" w:ascii="宋体" w:hAnsi="宋体" w:eastAsia="宋体" w:cs="宋体"/>
          <w:snapToGrid w:val="0"/>
          <w:color w:val="auto"/>
          <w:kern w:val="0"/>
          <w:sz w:val="24"/>
          <w:szCs w:val="24"/>
          <w:highlight w:val="none"/>
          <w:lang w:bidi="ar"/>
        </w:rPr>
        <w:t xml:space="preserve">同意不得随意变化，相对固定。 </w:t>
      </w:r>
    </w:p>
    <w:p w14:paraId="1D0C47CA">
      <w:pPr>
        <w:widowControl/>
        <w:kinsoku w:val="0"/>
        <w:autoSpaceDE w:val="0"/>
        <w:autoSpaceDN w:val="0"/>
        <w:adjustRightInd w:val="0"/>
        <w:snapToGri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 xml:space="preserve">(4)拟投入的餐饮服务人员须符合劳动法规定的用工年龄。任何与人员有关的意外，伤害，劳务纠纷，都需投标人承担。  </w:t>
      </w:r>
    </w:p>
    <w:p w14:paraId="5FEB429D">
      <w:pPr>
        <w:widowControl/>
        <w:adjustRightInd w:val="0"/>
        <w:snapToGrid w:val="0"/>
        <w:spacing w:line="360" w:lineRule="auto"/>
        <w:ind w:firstLine="480" w:firstLineChars="200"/>
        <w:jc w:val="both"/>
        <w:rPr>
          <w:rFonts w:hint="eastAsia" w:ascii="宋体" w:hAnsi="宋体" w:eastAsia="宋体" w:cs="宋体"/>
          <w:snapToGrid w:val="0"/>
          <w:color w:val="auto"/>
          <w:kern w:val="0"/>
          <w:sz w:val="24"/>
          <w:szCs w:val="24"/>
          <w:highlight w:val="none"/>
          <w:lang w:val="en-US" w:eastAsia="zh-CN" w:bidi="ar"/>
        </w:rPr>
      </w:pPr>
      <w:r>
        <w:rPr>
          <w:rFonts w:hint="eastAsia" w:ascii="宋体" w:hAnsi="宋体" w:eastAsia="宋体" w:cs="宋体"/>
          <w:snapToGrid w:val="0"/>
          <w:color w:val="auto"/>
          <w:kern w:val="0"/>
          <w:sz w:val="24"/>
          <w:szCs w:val="24"/>
          <w:highlight w:val="none"/>
          <w:lang w:val="en-US" w:eastAsia="zh-CN" w:bidi="ar"/>
        </w:rPr>
        <w:t>（5）工作期间，工作人员必须统一着装，并佩戴卫生防护用品。</w:t>
      </w:r>
    </w:p>
    <w:p w14:paraId="195838CA">
      <w:pPr>
        <w:widowControl/>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第九条  合同变更与终止</w:t>
      </w:r>
    </w:p>
    <w:p w14:paraId="03A93440">
      <w:pPr>
        <w:widowControl w:val="0"/>
        <w:tabs>
          <w:tab w:val="left" w:pos="5625"/>
        </w:tabs>
        <w:snapToGrid w:val="0"/>
        <w:spacing w:line="360" w:lineRule="auto"/>
        <w:ind w:left="0" w:leftChars="0"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1、合同期间任何一方不得随意终止合同。</w:t>
      </w:r>
    </w:p>
    <w:p w14:paraId="2F37044C">
      <w:pPr>
        <w:widowControl w:val="0"/>
        <w:tabs>
          <w:tab w:val="left" w:pos="5625"/>
        </w:tabs>
        <w:snapToGrid w:val="0"/>
        <w:spacing w:line="360" w:lineRule="auto"/>
        <w:ind w:left="0" w:leftChars="0"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2、本合同规定的履行期限届满，合同自动终止。</w:t>
      </w:r>
    </w:p>
    <w:p w14:paraId="7083E9D1">
      <w:pPr>
        <w:widowControl w:val="0"/>
        <w:tabs>
          <w:tab w:val="left" w:pos="5625"/>
        </w:tabs>
        <w:snapToGrid w:val="0"/>
        <w:spacing w:line="360" w:lineRule="auto"/>
        <w:ind w:left="0" w:leftChars="0"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3、乙方应自觉遵守甲方工作纪律、规章制度，服从甲方管理。因乙方原因给甲方造成严重后果，甲方可以单方面解除合同。</w:t>
      </w:r>
    </w:p>
    <w:p w14:paraId="0C207477">
      <w:pPr>
        <w:widowControl/>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第十条  </w:t>
      </w:r>
      <w:r>
        <w:rPr>
          <w:rFonts w:hint="eastAsia" w:ascii="宋体" w:hAnsi="宋体" w:eastAsia="宋体" w:cs="宋体"/>
          <w:color w:val="auto"/>
          <w:kern w:val="2"/>
          <w:sz w:val="24"/>
          <w:szCs w:val="24"/>
          <w:highlight w:val="none"/>
          <w:lang w:val="en-US" w:eastAsia="zh-CN" w:bidi="ar-SA"/>
        </w:rPr>
        <w:fldChar w:fldCharType="begin"/>
      </w:r>
      <w:r>
        <w:rPr>
          <w:rFonts w:hint="eastAsia" w:ascii="宋体" w:hAnsi="宋体" w:eastAsia="宋体" w:cs="宋体"/>
          <w:color w:val="auto"/>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kern w:val="2"/>
          <w:sz w:val="24"/>
          <w:szCs w:val="24"/>
          <w:highlight w:val="none"/>
          <w:lang w:val="en-US" w:eastAsia="zh-CN" w:bidi="ar-SA"/>
        </w:rPr>
        <w:fldChar w:fldCharType="separate"/>
      </w:r>
      <w:r>
        <w:rPr>
          <w:rFonts w:hint="eastAsia" w:ascii="宋体" w:hAnsi="宋体" w:eastAsia="宋体" w:cs="宋体"/>
          <w:b/>
          <w:bCs/>
          <w:color w:val="auto"/>
          <w:kern w:val="2"/>
          <w:sz w:val="24"/>
          <w:szCs w:val="24"/>
          <w:highlight w:val="none"/>
          <w:lang w:val="en-US" w:eastAsia="zh-CN" w:bidi="ar-SA"/>
        </w:rPr>
        <w:t>不可抗力</w:t>
      </w:r>
      <w:r>
        <w:rPr>
          <w:rFonts w:hint="eastAsia" w:ascii="宋体" w:hAnsi="宋体" w:eastAsia="宋体" w:cs="宋体"/>
          <w:b/>
          <w:bCs/>
          <w:color w:val="auto"/>
          <w:kern w:val="2"/>
          <w:sz w:val="24"/>
          <w:szCs w:val="24"/>
          <w:highlight w:val="none"/>
          <w:lang w:val="en-US" w:eastAsia="zh-CN" w:bidi="ar-SA"/>
        </w:rPr>
        <w:fldChar w:fldCharType="end"/>
      </w:r>
    </w:p>
    <w:p w14:paraId="2CF1695F">
      <w:pPr>
        <w:widowControl/>
        <w:snapToGrid w:val="0"/>
        <w:spacing w:line="360" w:lineRule="auto"/>
        <w:ind w:right="-263"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甲乙双方任何一方由于</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不可抗力</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原因不能履行合同时，应及时向对</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方通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违约责任</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p>
    <w:p w14:paraId="521701C4">
      <w:pPr>
        <w:widowControl/>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第十一条  争议解决</w:t>
      </w:r>
    </w:p>
    <w:p w14:paraId="59FCB50D">
      <w:pPr>
        <w:widowControl/>
        <w:snapToGrid w:val="0"/>
        <w:spacing w:line="360" w:lineRule="auto"/>
        <w:ind w:right="-263"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双方本着友好合作的态度,对合同履行过程中发生的</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"http://set2.mail.qq.com/cgi-bin/mail_spam?action=check_link&amp;spam=0&amp;url=http%3A%2F%2Fbaike%2Ebaidu%2Ecom%2Fview%2F322875%2Ehtm"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纠纷</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应及时协商解决,协商不成，向甲方所在地人民法院诉讼解决。</w:t>
      </w:r>
    </w:p>
    <w:p w14:paraId="172D96ED">
      <w:pPr>
        <w:widowControl/>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第十二条  监督和管理</w:t>
      </w:r>
    </w:p>
    <w:p w14:paraId="35557407">
      <w:pPr>
        <w:widowControl/>
        <w:snapToGrid w:val="0"/>
        <w:spacing w:line="360" w:lineRule="auto"/>
        <w:ind w:right="-263"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甲乙双方均应自觉配合有关监督管理部门对合同履行情况的监督检查，如实反映情况，提供有关资料；否则，将对有关单位、当事人按照有关规定予以处罚。</w:t>
      </w:r>
    </w:p>
    <w:p w14:paraId="225B2673">
      <w:pPr>
        <w:widowControl/>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第十三条  附则</w:t>
      </w:r>
    </w:p>
    <w:p w14:paraId="3EA621A0">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1、本次采购项目的</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通知书及澄清说明文件均为本合同的组成部分，甲、乙双方必须全面遵守，如有违反，应承担违约责任。</w:t>
      </w:r>
    </w:p>
    <w:p w14:paraId="23963A28">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2、本合同一式陆份,甲乙双方各执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p>
    <w:p w14:paraId="676DAF00">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3、本合同自签订之日起生效。</w:t>
      </w:r>
    </w:p>
    <w:p w14:paraId="65689826">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4、附件：/</w:t>
      </w:r>
    </w:p>
    <w:p w14:paraId="53B82579">
      <w:pPr>
        <w:adjustRightInd w:val="0"/>
        <w:snapToGrid w:val="0"/>
        <w:spacing w:line="460" w:lineRule="exact"/>
        <w:ind w:firstLine="480" w:firstLineChars="200"/>
        <w:rPr>
          <w:rFonts w:hint="eastAsia" w:ascii="宋体" w:hAnsi="宋体" w:eastAsia="宋体" w:cs="宋体"/>
          <w:color w:val="auto"/>
          <w:sz w:val="24"/>
          <w:szCs w:val="24"/>
          <w:highlight w:val="none"/>
        </w:rPr>
      </w:pPr>
    </w:p>
    <w:tbl>
      <w:tblPr>
        <w:tblStyle w:val="5"/>
        <w:tblW w:w="0" w:type="auto"/>
        <w:jc w:val="center"/>
        <w:tblLayout w:type="fixed"/>
        <w:tblCellMar>
          <w:top w:w="0" w:type="dxa"/>
          <w:left w:w="108" w:type="dxa"/>
          <w:bottom w:w="0" w:type="dxa"/>
          <w:right w:w="108" w:type="dxa"/>
        </w:tblCellMar>
      </w:tblPr>
      <w:tblGrid>
        <w:gridCol w:w="4643"/>
        <w:gridCol w:w="4643"/>
      </w:tblGrid>
      <w:tr w14:paraId="14E076AE">
        <w:tblPrEx>
          <w:tblCellMar>
            <w:top w:w="0" w:type="dxa"/>
            <w:left w:w="108" w:type="dxa"/>
            <w:bottom w:w="0" w:type="dxa"/>
            <w:right w:w="108" w:type="dxa"/>
          </w:tblCellMar>
        </w:tblPrEx>
        <w:trPr>
          <w:jc w:val="center"/>
        </w:trPr>
        <w:tc>
          <w:tcPr>
            <w:tcW w:w="4643" w:type="dxa"/>
            <w:noWrap w:val="0"/>
            <w:vAlign w:val="top"/>
          </w:tcPr>
          <w:p w14:paraId="6E722C54">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甲方名称（盖章）:</w:t>
            </w:r>
          </w:p>
          <w:p w14:paraId="2122D535">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p>
          <w:p w14:paraId="33706BF3">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法定代表人或委托代理人（签字）：</w:t>
            </w:r>
          </w:p>
          <w:p w14:paraId="50740D24">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p w14:paraId="7F28CFB2">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p w14:paraId="3D82A637">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账号</w:t>
            </w:r>
            <w:r>
              <w:rPr>
                <w:rFonts w:hint="eastAsia" w:ascii="宋体" w:hAnsi="宋体" w:eastAsia="宋体" w:cs="宋体"/>
                <w:color w:val="auto"/>
                <w:kern w:val="0"/>
                <w:sz w:val="24"/>
                <w:szCs w:val="24"/>
                <w:highlight w:val="none"/>
              </w:rPr>
              <w:t>：</w:t>
            </w:r>
          </w:p>
        </w:tc>
        <w:tc>
          <w:tcPr>
            <w:tcW w:w="4643" w:type="dxa"/>
            <w:noWrap w:val="0"/>
            <w:vAlign w:val="top"/>
          </w:tcPr>
          <w:p w14:paraId="2FFC5809">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乙方名称（盖章）:</w:t>
            </w:r>
          </w:p>
          <w:p w14:paraId="5978091E">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p>
          <w:p w14:paraId="04399D52">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法定代表人或委托代理人（签字）：</w:t>
            </w:r>
          </w:p>
          <w:p w14:paraId="3DBEBEE7">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p w14:paraId="5461DDBD">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p w14:paraId="741864AB">
            <w:pPr>
              <w:adjustRightInd w:val="0"/>
              <w:snapToGrid w:val="0"/>
              <w:spacing w:line="360" w:lineRule="auto"/>
              <w:ind w:firstLine="64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账号</w:t>
            </w:r>
            <w:r>
              <w:rPr>
                <w:rFonts w:hint="eastAsia" w:ascii="宋体" w:hAnsi="宋体" w:eastAsia="宋体" w:cs="宋体"/>
                <w:color w:val="auto"/>
                <w:kern w:val="0"/>
                <w:sz w:val="24"/>
                <w:szCs w:val="24"/>
                <w:highlight w:val="none"/>
              </w:rPr>
              <w:t>：</w:t>
            </w:r>
          </w:p>
        </w:tc>
      </w:tr>
    </w:tbl>
    <w:p w14:paraId="2963DE93">
      <w:pPr>
        <w:rPr>
          <w:rFonts w:hint="eastAsia" w:ascii="宋体" w:hAnsi="宋体" w:eastAsia="宋体" w:cs="宋体"/>
          <w:lang w:val="en-US" w:eastAsia="zh-Hans"/>
        </w:rPr>
      </w:pPr>
      <w:r>
        <w:rPr>
          <w:rFonts w:hint="eastAsia" w:ascii="宋体" w:hAnsi="宋体" w:eastAsia="宋体" w:cs="宋体"/>
          <w:b/>
          <w:bCs/>
          <w:color w:val="auto"/>
          <w:sz w:val="24"/>
          <w:szCs w:val="24"/>
          <w:highlight w:val="none"/>
          <w:lang w:val="en-US" w:eastAsia="zh-Hans"/>
        </w:rPr>
        <w:t>注：甲乙双方正式签订合同时根据协商完善相关内容</w:t>
      </w:r>
      <w:r>
        <w:rPr>
          <w:rFonts w:hint="eastAsia" w:ascii="宋体" w:hAnsi="宋体" w:eastAsia="宋体" w:cs="宋体"/>
          <w:lang w:val="en-US" w:eastAsia="zh-Hans"/>
        </w:rPr>
        <w:br w:type="textWrapping"/>
      </w:r>
    </w:p>
    <w:p w14:paraId="19324571">
      <w:pPr>
        <w:rPr>
          <w:rFonts w:hint="eastAsia" w:ascii="宋体" w:hAnsi="宋体" w:cs="宋体"/>
          <w:b/>
          <w:color w:val="auto"/>
          <w:sz w:val="24"/>
          <w:szCs w:val="24"/>
          <w:highlight w:val="none"/>
        </w:rPr>
      </w:pPr>
    </w:p>
    <w:p w14:paraId="232183BD">
      <w:bookmarkStart w:id="1" w:name="_GoBack"/>
      <w:bookmarkEnd w:id="1"/>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B7AB1">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18E01F8">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t xml:space="preserve">第 </w:t>
                          </w: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r>
                            <w:rPr>
                              <w:rFonts w:ascii="Calibri" w:hAnsi="Calibri" w:eastAsia="宋体" w:cs="Times New Roman"/>
                              <w:kern w:val="2"/>
                              <w:sz w:val="18"/>
                              <w:szCs w:val="24"/>
                              <w:lang w:val="en-US" w:eastAsia="zh-CN" w:bidi="ar-SA"/>
                            </w:rPr>
                            <w:t xml:space="preserve"> 页 共 </w:t>
                          </w: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NUMPAGES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117</w:t>
                          </w:r>
                          <w:r>
                            <w:rPr>
                              <w:rFonts w:ascii="Calibri" w:hAnsi="Calibri" w:eastAsia="宋体" w:cs="Times New Roman"/>
                              <w:kern w:val="2"/>
                              <w:sz w:val="18"/>
                              <w:szCs w:val="24"/>
                              <w:lang w:val="en-US" w:eastAsia="zh-CN" w:bidi="ar-SA"/>
                            </w:rPr>
                            <w:fldChar w:fldCharType="end"/>
                          </w:r>
                          <w:r>
                            <w:rPr>
                              <w:rFonts w:ascii="Calibri" w:hAnsi="Calibri" w:eastAsia="宋体" w:cs="Times New Roman"/>
                              <w:kern w:val="2"/>
                              <w:sz w:val="18"/>
                              <w:szCs w:val="24"/>
                              <w:lang w:val="en-US" w:eastAsia="zh-CN" w:bidi="ar-S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path/>
              <v:fill on="f" focussize="0,0"/>
              <v:stroke on="f" weight="0.5pt"/>
              <v:imagedata o:title=""/>
              <o:lock v:ext="edit" aspectratio="f"/>
              <v:textbox inset="0mm,0mm,0mm,0mm" style="mso-fit-shape-to-text:t;">
                <w:txbxContent>
                  <w:p w14:paraId="318E01F8">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t xml:space="preserve">第 </w:t>
                    </w: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r>
                      <w:rPr>
                        <w:rFonts w:ascii="Calibri" w:hAnsi="Calibri" w:eastAsia="宋体" w:cs="Times New Roman"/>
                        <w:kern w:val="2"/>
                        <w:sz w:val="18"/>
                        <w:szCs w:val="24"/>
                        <w:lang w:val="en-US" w:eastAsia="zh-CN" w:bidi="ar-SA"/>
                      </w:rPr>
                      <w:t xml:space="preserve"> 页 共 </w:t>
                    </w: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NUMPAGES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117</w:t>
                    </w:r>
                    <w:r>
                      <w:rPr>
                        <w:rFonts w:ascii="Calibri" w:hAnsi="Calibri" w:eastAsia="宋体" w:cs="Times New Roman"/>
                        <w:kern w:val="2"/>
                        <w:sz w:val="18"/>
                        <w:szCs w:val="24"/>
                        <w:lang w:val="en-US" w:eastAsia="zh-CN" w:bidi="ar-SA"/>
                      </w:rPr>
                      <w:fldChar w:fldCharType="end"/>
                    </w:r>
                    <w:r>
                      <w:rPr>
                        <w:rFonts w:ascii="Calibri" w:hAnsi="Calibri" w:eastAsia="宋体" w:cs="Times New Roman"/>
                        <w:kern w:val="2"/>
                        <w:sz w:val="18"/>
                        <w:szCs w:val="24"/>
                        <w:lang w:val="en-US" w:eastAsia="zh-CN" w:bidi="ar-S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70ED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5474BA3">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path/>
              <v:fill on="f" focussize="0,0"/>
              <v:stroke on="f" weight="0.5pt"/>
              <v:imagedata o:title=""/>
              <o:lock v:ext="edit" aspectratio="f"/>
              <v:textbox inset="0mm,0mm,0mm,0mm" style="mso-fit-shape-to-text:t;">
                <w:txbxContent>
                  <w:p w14:paraId="55474BA3">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cs="宋体"/>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557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宋体" w:hAnsi="宋体" w:eastAsia="宋体" w:cs="宋体"/>
      <w:sz w:val="20"/>
      <w:szCs w:val="20"/>
      <w:lang w:val="en-US" w:eastAsia="en-US" w:bidi="ar-SA"/>
    </w:rPr>
  </w:style>
  <w:style w:type="paragraph" w:styleId="3">
    <w:name w:val="index 5"/>
    <w:basedOn w:val="1"/>
    <w:next w:val="1"/>
    <w:qFormat/>
    <w:uiPriority w:val="0"/>
    <w:pPr>
      <w:ind w:left="800" w:leftChars="800"/>
    </w:pPr>
    <w:rPr>
      <w:rFonts w:ascii="Calibri" w:hAnsi="Calibri" w:eastAsia="宋体" w:cs="Times New Roman"/>
      <w:szCs w:val="22"/>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2025-07-30T09:28:04Z</dcterms:created>
  <dc:creator>Administrator</dc:creator>
  <cp:lastModifiedBy>宋璟雯</cp:lastModifiedBy>
  <dcterms:modified xsi:type="dcterms:W3CDTF">2025-07-30T09:28:16Z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1671FFFF216E4D9EA932D07FEA13F171_12</vt:lpwstr>
  </property>
</Properties>
</file>