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版本号：SZY20251390093-1(SCZD2025-CS-1967-001)20250801001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南校区1#食堂地下空间改造项目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SZY20251390093-1(SCZD2025-CS-1967-001)</w:t>
      </w:r>
      <w:r>
        <w:br/>
      </w:r>
      <w:r>
        <w:br/>
      </w:r>
      <w:r>
        <w:br/>
      </w:r>
    </w:p>
    <w:p>
      <w:pPr>
        <w:pStyle w:val="null3"/>
        <w:jc w:val="center"/>
        <w:outlineLvl w:val="2"/>
      </w:pPr>
      <w:r>
        <w:rPr>
          <w:rFonts w:ascii="仿宋_GB2312" w:hAnsi="仿宋_GB2312" w:cs="仿宋_GB2312" w:eastAsia="仿宋_GB2312"/>
          <w:sz w:val="28"/>
          <w:b/>
        </w:rPr>
        <w:t>陕西中医药大学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陕西中医药大学</w:t>
      </w:r>
      <w:r>
        <w:rPr>
          <w:rFonts w:ascii="仿宋_GB2312" w:hAnsi="仿宋_GB2312" w:cs="仿宋_GB2312" w:eastAsia="仿宋_GB2312"/>
        </w:rPr>
        <w:t>委托，拟对</w:t>
      </w:r>
      <w:r>
        <w:rPr>
          <w:rFonts w:ascii="仿宋_GB2312" w:hAnsi="仿宋_GB2312" w:cs="仿宋_GB2312" w:eastAsia="仿宋_GB2312"/>
        </w:rPr>
        <w:t>南校区1#食堂地下空间改造项目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SZY20251390093-1(SCZD2025-CS-1967-001)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南校区1#食堂地下空间改造项目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陕西中医药大学南校区1#食堂地下空间改造项目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2、法定代表人/单位负责人身份证明书、授权委托书及授权代表在本单位缴纳养老保险证明：法定代表人/单位负责人身份证明书、授权委托书及授权代表在本单位缴纳养老保险证明：（1）法定代表人或单位负责人参加磋商的，应提供法定代表人或单位负责人身份证明； （2）授权代表参加磋商的，应提供法定代表人或单位负责人身份证明、授权委托书及授权代表在本单位缴纳养老保险证明。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3、供应商须具备建筑工程施工总承包资质三级及以上（含三级），具备有效的安全生产许可证：供应商须具备建筑工程施工总承包资质三级及以上（含三级），具备有效的安全生产许可证。</w:t>
      </w:r>
    </w:p>
    <w:p>
      <w:pPr>
        <w:pStyle w:val="null3"/>
      </w:pPr>
      <w:r>
        <w:rPr>
          <w:rFonts w:ascii="仿宋_GB2312" w:hAnsi="仿宋_GB2312" w:cs="仿宋_GB2312" w:eastAsia="仿宋_GB2312"/>
        </w:rPr>
        <w:t>4、拟派项目经理须具备建筑工程二级及以上注册建造师资格且在本单位注册，具有有效的安全生产考核合格证（建安B证），且无在建工程承诺书：拟派项目经理须具备建筑工程二级及以上注册建造师资格且在本单位注册，具有有效的安全生产考核合格证（建安B证），且无在建工程承诺书。</w:t>
      </w:r>
    </w:p>
    <w:p>
      <w:pPr>
        <w:pStyle w:val="null3"/>
      </w:pPr>
      <w:r>
        <w:rPr>
          <w:rFonts w:ascii="仿宋_GB2312" w:hAnsi="仿宋_GB2312" w:cs="仿宋_GB2312" w:eastAsia="仿宋_GB2312"/>
        </w:rPr>
        <w:t>5、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pPr>
      <w:r>
        <w:rPr>
          <w:rFonts w:ascii="仿宋_GB2312" w:hAnsi="仿宋_GB2312" w:cs="仿宋_GB2312" w:eastAsia="仿宋_GB2312"/>
        </w:rPr>
        <w:t>6、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7、已向采购代理机构获取采购文件：需向采购代理机构获取采购文件，未向采购代理机构获取采购文件的供应商均无资格参加磋商。</w:t>
      </w:r>
    </w:p>
    <w:p>
      <w:pPr>
        <w:pStyle w:val="null3"/>
      </w:pPr>
      <w:r>
        <w:rPr>
          <w:rFonts w:ascii="仿宋_GB2312" w:hAnsi="仿宋_GB2312" w:cs="仿宋_GB2312" w:eastAsia="仿宋_GB2312"/>
        </w:rPr>
        <w:t>8、法律、行政法规规定的其他条件：不存在违反法律法规的情况。</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陕西中医药大学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陕西省西咸新区沣西新城西咸大道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029-38185085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西安市高新区锦业路绿地都市之门C座9层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周乐、雷鹏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15009283469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采购包1：391,038.75元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说明：按中标金额的3%收取，合同签订前提交。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代理服务费收费标准：本项目收费4000元。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陕西中医药大学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陕西中医药大学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陕西中医药大学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391,038.75</w:t>
      </w:r>
    </w:p>
    <w:p>
      <w:pPr>
        <w:pStyle w:val="null3"/>
      </w:pPr>
      <w:r>
        <w:rPr>
          <w:rFonts w:ascii="仿宋_GB2312" w:hAnsi="仿宋_GB2312" w:cs="仿宋_GB2312" w:eastAsia="仿宋_GB2312"/>
        </w:rPr>
        <w:t>采购包最高限价（元）: 391,038.75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南校区1#食堂地下空间改造项目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391,038.75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标的名称：南校区1#食堂地下空间改造项目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一、工程概况</w:t>
                  </w:r>
                </w:p>
                <w:p>
                  <w:pPr>
                    <w:pStyle w:val="null3"/>
                    <w:jc w:val="both"/>
                  </w:pPr>
                  <w:r>
                    <w:rPr>
                      <w:rFonts w:ascii="仿宋_GB2312" w:hAnsi="仿宋_GB2312" w:cs="仿宋_GB2312" w:eastAsia="仿宋_GB2312"/>
                      <w:sz w:val="19"/>
                    </w:rPr>
                    <w:t>该项目南校区</w:t>
                  </w:r>
                  <w:r>
                    <w:rPr>
                      <w:rFonts w:ascii="仿宋_GB2312" w:hAnsi="仿宋_GB2312" w:cs="仿宋_GB2312" w:eastAsia="仿宋_GB2312"/>
                      <w:sz w:val="19"/>
                    </w:rPr>
                    <w:t>1#</w:t>
                  </w:r>
                  <w:r>
                    <w:rPr>
                      <w:rFonts w:ascii="仿宋_GB2312" w:hAnsi="仿宋_GB2312" w:cs="仿宋_GB2312" w:eastAsia="仿宋_GB2312"/>
                      <w:sz w:val="19"/>
                    </w:rPr>
                    <w:t>食堂地下室室内装饰改造、电气工程、应急照明、火灾报警、自喷工程、排烟系统、补风系统、等内容，详见工程量清单。</w:t>
                  </w:r>
                </w:p>
                <w:p>
                  <w:pPr>
                    <w:pStyle w:val="null3"/>
                    <w:jc w:val="both"/>
                  </w:pPr>
                  <w:r>
                    <w:rPr>
                      <w:rFonts w:ascii="仿宋_GB2312" w:hAnsi="仿宋_GB2312" w:cs="仿宋_GB2312" w:eastAsia="仿宋_GB2312"/>
                      <w:sz w:val="19"/>
                    </w:rPr>
                    <w:t>二、</w:t>
                  </w:r>
                  <w:r>
                    <w:rPr>
                      <w:rFonts w:ascii="仿宋_GB2312" w:hAnsi="仿宋_GB2312" w:cs="仿宋_GB2312" w:eastAsia="仿宋_GB2312"/>
                      <w:sz w:val="19"/>
                    </w:rPr>
                    <w:t>施工及验收标准相关参数</w:t>
                  </w:r>
                </w:p>
                <w:p>
                  <w:pPr>
                    <w:pStyle w:val="null3"/>
                    <w:jc w:val="both"/>
                  </w:pPr>
                  <w:r>
                    <w:rPr>
                      <w:rFonts w:ascii="仿宋_GB2312" w:hAnsi="仿宋_GB2312" w:cs="仿宋_GB2312" w:eastAsia="仿宋_GB2312"/>
                      <w:sz w:val="19"/>
                    </w:rPr>
                    <w:t>建筑装饰装修工程质量验收标准：</w:t>
                  </w:r>
                  <w:r>
                    <w:rPr>
                      <w:rFonts w:ascii="仿宋_GB2312" w:hAnsi="仿宋_GB2312" w:cs="仿宋_GB2312" w:eastAsia="仿宋_GB2312"/>
                      <w:sz w:val="19"/>
                    </w:rPr>
                    <w:t>GB 50210-2018</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建筑防火通用规范：</w:t>
                  </w:r>
                  <w:r>
                    <w:rPr>
                      <w:rFonts w:ascii="仿宋_GB2312" w:hAnsi="仿宋_GB2312" w:cs="仿宋_GB2312" w:eastAsia="仿宋_GB2312"/>
                      <w:sz w:val="19"/>
                    </w:rPr>
                    <w:t>GB55037-2022</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消防设施通用规范：</w:t>
                  </w:r>
                  <w:r>
                    <w:rPr>
                      <w:rFonts w:ascii="仿宋_GB2312" w:hAnsi="仿宋_GB2312" w:cs="仿宋_GB2312" w:eastAsia="仿宋_GB2312"/>
                      <w:sz w:val="19"/>
                    </w:rPr>
                    <w:t>GB 55036</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火灾自动报警系统施工及验收标准：</w:t>
                  </w:r>
                  <w:r>
                    <w:rPr>
                      <w:rFonts w:ascii="仿宋_GB2312" w:hAnsi="仿宋_GB2312" w:cs="仿宋_GB2312" w:eastAsia="仿宋_GB2312"/>
                      <w:sz w:val="19"/>
                    </w:rPr>
                    <w:t>GB 50166</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自动喷水灭火系统施工及验收规范：</w:t>
                  </w:r>
                  <w:r>
                    <w:rPr>
                      <w:rFonts w:ascii="仿宋_GB2312" w:hAnsi="仿宋_GB2312" w:cs="仿宋_GB2312" w:eastAsia="仿宋_GB2312"/>
                      <w:sz w:val="19"/>
                    </w:rPr>
                    <w:t>GB 50261</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三、</w:t>
                  </w:r>
                  <w:r>
                    <w:rPr>
                      <w:rFonts w:ascii="仿宋_GB2312" w:hAnsi="仿宋_GB2312" w:cs="仿宋_GB2312" w:eastAsia="仿宋_GB2312"/>
                      <w:sz w:val="19"/>
                    </w:rPr>
                    <w:t>项目实施相关参数</w:t>
                  </w:r>
                </w:p>
                <w:p>
                  <w:pPr>
                    <w:pStyle w:val="null3"/>
                    <w:jc w:val="both"/>
                  </w:pPr>
                  <w:r>
                    <w:rPr>
                      <w:rFonts w:ascii="仿宋_GB2312" w:hAnsi="仿宋_GB2312" w:cs="仿宋_GB2312" w:eastAsia="仿宋_GB2312"/>
                      <w:sz w:val="19"/>
                    </w:rPr>
                    <w:t>（一）工程质量要求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工程质量需符合国家相关标准，一次性验收通过率</w:t>
                  </w:r>
                  <w:r>
                    <w:rPr>
                      <w:rFonts w:ascii="仿宋_GB2312" w:hAnsi="仿宋_GB2312" w:cs="仿宋_GB2312" w:eastAsia="仿宋_GB2312"/>
                      <w:sz w:val="19"/>
                    </w:rPr>
                    <w:t>100%</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必须是经国家认证的消防产品（通过</w:t>
                  </w:r>
                  <w:r>
                    <w:rPr>
                      <w:rFonts w:ascii="仿宋_GB2312" w:hAnsi="仿宋_GB2312" w:cs="仿宋_GB2312" w:eastAsia="仿宋_GB2312"/>
                      <w:sz w:val="19"/>
                    </w:rPr>
                    <w:t>CCCF</w:t>
                  </w:r>
                  <w:r>
                    <w:rPr>
                      <w:rFonts w:ascii="仿宋_GB2312" w:hAnsi="仿宋_GB2312" w:cs="仿宋_GB2312" w:eastAsia="仿宋_GB2312"/>
                      <w:sz w:val="19"/>
                    </w:rPr>
                    <w:t>认证），提供完整的出厂合格证、型式检验报告、认证证书；</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在消防改造中，新增消防设施、系统、备件须与原有部分相兼容，确保整体消防系统稳定运行。</w:t>
                  </w:r>
                </w:p>
                <w:p>
                  <w:pPr>
                    <w:pStyle w:val="null3"/>
                    <w:jc w:val="both"/>
                  </w:pPr>
                  <w:r>
                    <w:rPr>
                      <w:rFonts w:ascii="仿宋_GB2312" w:hAnsi="仿宋_GB2312" w:cs="仿宋_GB2312" w:eastAsia="仿宋_GB2312"/>
                      <w:sz w:val="19"/>
                    </w:rPr>
                    <w:t>四、</w:t>
                  </w:r>
                  <w:r>
                    <w:rPr>
                      <w:rFonts w:ascii="仿宋_GB2312" w:hAnsi="仿宋_GB2312" w:cs="仿宋_GB2312" w:eastAsia="仿宋_GB2312"/>
                      <w:sz w:val="19"/>
                    </w:rPr>
                    <w:t>工期</w:t>
                  </w:r>
                </w:p>
                <w:p>
                  <w:pPr>
                    <w:pStyle w:val="null3"/>
                    <w:jc w:val="both"/>
                  </w:pPr>
                  <w:r>
                    <w:rPr>
                      <w:rFonts w:ascii="仿宋_GB2312" w:hAnsi="仿宋_GB2312" w:cs="仿宋_GB2312" w:eastAsia="仿宋_GB2312"/>
                      <w:sz w:val="19"/>
                    </w:rPr>
                    <w:t>总工期：不超过</w:t>
                  </w:r>
                  <w:r>
                    <w:rPr>
                      <w:rFonts w:ascii="仿宋_GB2312" w:hAnsi="仿宋_GB2312" w:cs="仿宋_GB2312" w:eastAsia="仿宋_GB2312"/>
                      <w:sz w:val="19"/>
                    </w:rPr>
                    <w:t>20</w:t>
                  </w:r>
                  <w:r>
                    <w:rPr>
                      <w:rFonts w:ascii="仿宋_GB2312" w:hAnsi="仿宋_GB2312" w:cs="仿宋_GB2312" w:eastAsia="仿宋_GB2312"/>
                      <w:sz w:val="19"/>
                    </w:rPr>
                    <w:t>天。</w:t>
                  </w:r>
                </w:p>
                <w:p>
                  <w:pPr>
                    <w:pStyle w:val="null3"/>
                    <w:jc w:val="both"/>
                  </w:pPr>
                  <w:r>
                    <w:rPr>
                      <w:rFonts w:ascii="仿宋_GB2312" w:hAnsi="仿宋_GB2312" w:cs="仿宋_GB2312" w:eastAsia="仿宋_GB2312"/>
                      <w:sz w:val="19"/>
                    </w:rPr>
                    <w:t>五、</w:t>
                  </w:r>
                  <w:r>
                    <w:rPr>
                      <w:rFonts w:ascii="仿宋_GB2312" w:hAnsi="仿宋_GB2312" w:cs="仿宋_GB2312" w:eastAsia="仿宋_GB2312"/>
                      <w:sz w:val="19"/>
                    </w:rPr>
                    <w:t>质保期：</w:t>
                  </w:r>
                  <w:r>
                    <w:rPr>
                      <w:rFonts w:ascii="仿宋_GB2312" w:hAnsi="仿宋_GB2312" w:cs="仿宋_GB2312" w:eastAsia="仿宋_GB2312"/>
                      <w:sz w:val="19"/>
                    </w:rPr>
                    <w:t>5</w:t>
                  </w:r>
                  <w:r>
                    <w:rPr>
                      <w:rFonts w:ascii="仿宋_GB2312" w:hAnsi="仿宋_GB2312" w:cs="仿宋_GB2312" w:eastAsia="仿宋_GB2312"/>
                      <w:sz w:val="19"/>
                    </w:rPr>
                    <w:t>年。</w:t>
                  </w:r>
                </w:p>
                <w:p>
                  <w:pPr>
                    <w:pStyle w:val="null3"/>
                    <w:jc w:val="both"/>
                  </w:pPr>
                  <w:r>
                    <w:rPr>
                      <w:rFonts w:ascii="仿宋_GB2312" w:hAnsi="仿宋_GB2312" w:cs="仿宋_GB2312" w:eastAsia="仿宋_GB2312"/>
                      <w:sz w:val="19"/>
                    </w:rPr>
                    <w:t>六、</w:t>
                  </w:r>
                  <w:r>
                    <w:rPr>
                      <w:rFonts w:ascii="仿宋_GB2312" w:hAnsi="仿宋_GB2312" w:cs="仿宋_GB2312" w:eastAsia="仿宋_GB2312"/>
                      <w:sz w:val="19"/>
                    </w:rPr>
                    <w:t>付款方式：工程竣工并经甲方验收合格，甲方审计结束后，依据审计结果，由乙方开具并向甲方提供全额发票，并提供审计总价</w:t>
                  </w:r>
                  <w:r>
                    <w:rPr>
                      <w:rFonts w:ascii="仿宋_GB2312" w:hAnsi="仿宋_GB2312" w:cs="仿宋_GB2312" w:eastAsia="仿宋_GB2312"/>
                      <w:sz w:val="19"/>
                    </w:rPr>
                    <w:t>3%</w:t>
                  </w:r>
                  <w:r>
                    <w:rPr>
                      <w:rFonts w:ascii="仿宋_GB2312" w:hAnsi="仿宋_GB2312" w:cs="仿宋_GB2312" w:eastAsia="仿宋_GB2312"/>
                      <w:sz w:val="19"/>
                    </w:rPr>
                    <w:t>的质量保函后，甲方转账支付，支付审计总价的</w:t>
                  </w:r>
                  <w:r>
                    <w:rPr>
                      <w:rFonts w:ascii="仿宋_GB2312" w:hAnsi="仿宋_GB2312" w:cs="仿宋_GB2312" w:eastAsia="仿宋_GB2312"/>
                      <w:sz w:val="19"/>
                    </w:rPr>
                    <w:t>100%</w:t>
                  </w:r>
                  <w:r>
                    <w:rPr>
                      <w:rFonts w:ascii="仿宋_GB2312" w:hAnsi="仿宋_GB2312" w:cs="仿宋_GB2312" w:eastAsia="仿宋_GB2312"/>
                      <w:sz w:val="19"/>
                    </w:rPr>
                    <w:t>。质保期到后退还质量保函。</w:t>
                  </w:r>
                </w:p>
                <w:p>
                  <w:pPr>
                    <w:pStyle w:val="null3"/>
                    <w:jc w:val="both"/>
                  </w:pPr>
                  <w:r>
                    <w:rPr>
                      <w:rFonts w:ascii="仿宋_GB2312" w:hAnsi="仿宋_GB2312" w:cs="仿宋_GB2312" w:eastAsia="仿宋_GB2312"/>
                      <w:sz w:val="19"/>
                    </w:rPr>
                    <w:t>七、</w:t>
                  </w:r>
                  <w:r>
                    <w:rPr>
                      <w:rFonts w:ascii="仿宋_GB2312" w:hAnsi="仿宋_GB2312" w:cs="仿宋_GB2312" w:eastAsia="仿宋_GB2312"/>
                      <w:sz w:val="19"/>
                    </w:rPr>
                    <w:t>履约保证金</w:t>
                  </w:r>
                </w:p>
                <w:p>
                  <w:pPr>
                    <w:pStyle w:val="null3"/>
                    <w:jc w:val="both"/>
                  </w:pPr>
                  <w:r>
                    <w:rPr>
                      <w:rFonts w:ascii="仿宋_GB2312" w:hAnsi="仿宋_GB2312" w:cs="仿宋_GB2312" w:eastAsia="仿宋_GB2312"/>
                      <w:sz w:val="19"/>
                    </w:rPr>
                    <w:t>按</w:t>
                  </w:r>
                  <w:r>
                    <w:rPr>
                      <w:rFonts w:ascii="仿宋_GB2312" w:hAnsi="仿宋_GB2312" w:cs="仿宋_GB2312" w:eastAsia="仿宋_GB2312"/>
                      <w:sz w:val="19"/>
                    </w:rPr>
                    <w:t>中标金额</w:t>
                  </w:r>
                  <w:r>
                    <w:rPr>
                      <w:rFonts w:ascii="仿宋_GB2312" w:hAnsi="仿宋_GB2312" w:cs="仿宋_GB2312" w:eastAsia="仿宋_GB2312"/>
                      <w:sz w:val="19"/>
                    </w:rPr>
                    <w:t>的</w:t>
                  </w:r>
                  <w:r>
                    <w:rPr>
                      <w:rFonts w:ascii="仿宋_GB2312" w:hAnsi="仿宋_GB2312" w:cs="仿宋_GB2312" w:eastAsia="仿宋_GB2312"/>
                      <w:sz w:val="19"/>
                    </w:rPr>
                    <w:t>3%</w:t>
                  </w:r>
                  <w:r>
                    <w:rPr>
                      <w:rFonts w:ascii="仿宋_GB2312" w:hAnsi="仿宋_GB2312" w:cs="仿宋_GB2312" w:eastAsia="仿宋_GB2312"/>
                      <w:sz w:val="19"/>
                    </w:rPr>
                    <w:t>收取，合同签订前提交。</w:t>
                  </w:r>
                </w:p>
                <w:p>
                  <w:pPr>
                    <w:pStyle w:val="null3"/>
                    <w:jc w:val="both"/>
                  </w:pPr>
                  <w:r>
                    <w:rPr>
                      <w:rFonts w:ascii="仿宋_GB2312" w:hAnsi="仿宋_GB2312" w:cs="仿宋_GB2312" w:eastAsia="仿宋_GB2312"/>
                      <w:sz w:val="19"/>
                    </w:rPr>
                    <w:t>八、</w:t>
                  </w:r>
                  <w:r>
                    <w:rPr>
                      <w:rFonts w:ascii="仿宋_GB2312" w:hAnsi="仿宋_GB2312" w:cs="仿宋_GB2312" w:eastAsia="仿宋_GB2312"/>
                      <w:sz w:val="19"/>
                    </w:rPr>
                    <w:t>质量保证</w:t>
                  </w:r>
                </w:p>
                <w:p>
                  <w:pPr>
                    <w:pStyle w:val="null3"/>
                    <w:jc w:val="both"/>
                  </w:pPr>
                  <w:r>
                    <w:rPr>
                      <w:rFonts w:ascii="仿宋_GB2312" w:hAnsi="仿宋_GB2312" w:cs="仿宋_GB2312" w:eastAsia="仿宋_GB2312"/>
                      <w:sz w:val="19"/>
                    </w:rPr>
                    <w:t>响应时间：质保期内出现质量问题，供应商需在</w:t>
                  </w:r>
                  <w:r>
                    <w:rPr>
                      <w:rFonts w:ascii="仿宋_GB2312" w:hAnsi="仿宋_GB2312" w:cs="仿宋_GB2312" w:eastAsia="仿宋_GB2312"/>
                      <w:sz w:val="19"/>
                    </w:rPr>
                    <w:t>4</w:t>
                  </w:r>
                  <w:r>
                    <w:rPr>
                      <w:rFonts w:ascii="仿宋_GB2312" w:hAnsi="仿宋_GB2312" w:cs="仿宋_GB2312" w:eastAsia="仿宋_GB2312"/>
                      <w:sz w:val="19"/>
                    </w:rPr>
                    <w:t>小时内响应，</w:t>
                  </w:r>
                  <w:r>
                    <w:rPr>
                      <w:rFonts w:ascii="仿宋_GB2312" w:hAnsi="仿宋_GB2312" w:cs="仿宋_GB2312" w:eastAsia="仿宋_GB2312"/>
                      <w:sz w:val="19"/>
                    </w:rPr>
                    <w:t>24</w:t>
                  </w:r>
                  <w:r>
                    <w:rPr>
                      <w:rFonts w:ascii="仿宋_GB2312" w:hAnsi="仿宋_GB2312" w:cs="仿宋_GB2312" w:eastAsia="仿宋_GB2312"/>
                      <w:sz w:val="19"/>
                    </w:rPr>
                    <w:t>小时内到场处理。</w:t>
                  </w:r>
                </w:p>
                <w:p>
                  <w:pPr>
                    <w:pStyle w:val="null3"/>
                    <w:jc w:val="both"/>
                  </w:pPr>
                  <w:r>
                    <w:rPr>
                      <w:rFonts w:ascii="仿宋_GB2312" w:hAnsi="仿宋_GB2312" w:cs="仿宋_GB2312" w:eastAsia="仿宋_GB2312"/>
                      <w:sz w:val="19"/>
                    </w:rPr>
                    <w:t>处理时限：若超过</w:t>
                  </w:r>
                  <w:r>
                    <w:rPr>
                      <w:rFonts w:ascii="仿宋_GB2312" w:hAnsi="仿宋_GB2312" w:cs="仿宋_GB2312" w:eastAsia="仿宋_GB2312"/>
                      <w:sz w:val="19"/>
                    </w:rPr>
                    <w:t>48</w:t>
                  </w:r>
                  <w:r>
                    <w:rPr>
                      <w:rFonts w:ascii="仿宋_GB2312" w:hAnsi="仿宋_GB2312" w:cs="仿宋_GB2312" w:eastAsia="仿宋_GB2312"/>
                      <w:sz w:val="19"/>
                    </w:rPr>
                    <w:t>小时未解决，校方有权委托第三方维修，费用从质保金中扣除。</w:t>
                  </w:r>
                </w:p>
                <w:p>
                  <w:pPr>
                    <w:pStyle w:val="null3"/>
                    <w:jc w:val="both"/>
                  </w:pPr>
                  <w:r>
                    <w:rPr>
                      <w:rFonts w:ascii="仿宋_GB2312" w:hAnsi="仿宋_GB2312" w:cs="仿宋_GB2312" w:eastAsia="仿宋_GB2312"/>
                      <w:sz w:val="19"/>
                    </w:rPr>
                    <w:t>九、违约责任相关参数</w:t>
                  </w:r>
                </w:p>
                <w:p>
                  <w:pPr>
                    <w:pStyle w:val="null3"/>
                    <w:jc w:val="both"/>
                  </w:pPr>
                  <w:r>
                    <w:rPr>
                      <w:rFonts w:ascii="仿宋_GB2312" w:hAnsi="仿宋_GB2312" w:cs="仿宋_GB2312" w:eastAsia="仿宋_GB2312"/>
                      <w:sz w:val="19"/>
                    </w:rPr>
                    <w:t>逾期扣款：逾期每日按合同金额</w:t>
                  </w:r>
                  <w:r>
                    <w:rPr>
                      <w:rFonts w:ascii="仿宋_GB2312" w:hAnsi="仿宋_GB2312" w:cs="仿宋_GB2312" w:eastAsia="仿宋_GB2312"/>
                      <w:sz w:val="19"/>
                    </w:rPr>
                    <w:t>0.05%</w:t>
                  </w:r>
                  <w:r>
                    <w:rPr>
                      <w:rFonts w:ascii="仿宋_GB2312" w:hAnsi="仿宋_GB2312" w:cs="仿宋_GB2312" w:eastAsia="仿宋_GB2312"/>
                      <w:sz w:val="19"/>
                    </w:rPr>
                    <w:t>扣款，累计不超过合同金额的</w:t>
                  </w:r>
                  <w:r>
                    <w:rPr>
                      <w:rFonts w:ascii="仿宋_GB2312" w:hAnsi="仿宋_GB2312" w:cs="仿宋_GB2312" w:eastAsia="仿宋_GB2312"/>
                      <w:sz w:val="19"/>
                    </w:rPr>
                    <w:t>5%</w:t>
                  </w:r>
                  <w:r>
                    <w:rPr>
                      <w:rFonts w:ascii="仿宋_GB2312" w:hAnsi="仿宋_GB2312" w:cs="仿宋_GB2312" w:eastAsia="仿宋_GB2312"/>
                      <w:sz w:val="19"/>
                    </w:rPr>
                    <w:t>。</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 业执照”复印件； （6）供应商是自然人的，应提供其有效的自然人身份证明复印件。 2.依法缴纳税收的相关材料 （1）供应商应提供递交响应文件截止时间前近六个月中任何一个月缴税凭证，时间以税款所属时期为准（银行出具的缴税凭证或税务机关出具的证明的复印件，并加盖本单位公章）。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（1）供应商应提供递交响应文件截止时间前近六个月中至少一个月的缴纳社会保险的凭据（专用收据或社会保险缴纳清单），并加盖本单位公章。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（1）提供2023或2024年度经审计的财务报告，应满足以下要求：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法定代表人/单位负责人身份证明书、授权委托书及授权代表在本单位缴纳养老保险证明：（1）法定代表人或单位负责人参加磋商的，应提供法定代表人或单位负责人身份证明； （2）授权代表参加磋商的，应提供法定代表人或单位负责人身份证明、授权委托书及授权代表在本单位缴纳养老保险证明。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供应商须具备建筑工程施工总承包资质三级及以上（含三级），具备有效的安全生产许可证</w:t>
            </w:r>
          </w:p>
        </w:tc>
        <w:tc>
          <w:tcPr>
            <w:tcW w:type="dxa" w:w="3322"/>
          </w:tcPr>
          <w:p>
            <w:pPr>
              <w:pStyle w:val="null3"/>
            </w:pPr>
            <w:r>
              <w:rPr>
                <w:rFonts w:ascii="仿宋_GB2312" w:hAnsi="仿宋_GB2312" w:cs="仿宋_GB2312" w:eastAsia="仿宋_GB2312"/>
              </w:rPr>
              <w:t>供应商须具备建筑工程施工总承包资质三级及以上（含三级），具备有效的安全生产许可证。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拟派项目经理须具备建筑工程二级及以上注册建造师资格且在本单位注册，具有有效的安全生产考核合格证（建安B证），且无在建工程承诺书</w:t>
            </w:r>
          </w:p>
        </w:tc>
        <w:tc>
          <w:tcPr>
            <w:tcW w:type="dxa" w:w="3322"/>
          </w:tcPr>
          <w:p>
            <w:pPr>
              <w:pStyle w:val="null3"/>
            </w:pPr>
            <w:r>
              <w:rPr>
                <w:rFonts w:ascii="仿宋_GB2312" w:hAnsi="仿宋_GB2312" w:cs="仿宋_GB2312" w:eastAsia="仿宋_GB2312"/>
              </w:rPr>
              <w:t>拟派项目经理须具备建筑工程二级及以上注册建造师资格且在本单位注册，具有有效的安全生产考核合格证（建安B证），且无在建工程承诺书。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已向采购代理机构获取采购文件</w:t>
            </w:r>
          </w:p>
        </w:tc>
        <w:tc>
          <w:tcPr>
            <w:tcW w:type="dxa" w:w="3322"/>
          </w:tcPr>
          <w:p>
            <w:pPr>
              <w:pStyle w:val="null3"/>
            </w:pPr>
            <w:r>
              <w:rPr>
                <w:rFonts w:ascii="仿宋_GB2312" w:hAnsi="仿宋_GB2312" w:cs="仿宋_GB2312" w:eastAsia="仿宋_GB2312"/>
              </w:rPr>
              <w:t>需向采购代理机构获取采购文件，未向采购代理机构获取采购文件的供应商均无资格参加磋商。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响应文件按采购文件要求签署、盖章，已标价工程量清单加盖注册造价师专用章。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资格证明文件.docx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供应商首次磋商报价没有超出采购预算或最高限价或单项最高限价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资格证明文件.docx 监狱企业的证明文件 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资格证明文件.docx 监狱企业的证明文件 响应方案.docx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详细评审30.00分</w:t>
            </w:r>
          </w:p>
          <w:p>
            <w:pPr>
              <w:pStyle w:val="null3"/>
            </w:pPr>
            <w:r>
              <w:rPr>
                <w:rFonts w:ascii="仿宋_GB2312" w:hAnsi="仿宋_GB2312" w:cs="仿宋_GB2312" w:eastAsia="仿宋_GB2312"/>
              </w:rPr>
              <w:t>报价得分70.00分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1.施工方案总体说明</w:t>
            </w:r>
          </w:p>
        </w:tc>
        <w:tc>
          <w:tcPr>
            <w:tcW w:type="dxa" w:w="2492"/>
          </w:tcPr>
          <w:p>
            <w:pPr>
              <w:pStyle w:val="null3"/>
            </w:pPr>
            <w:r>
              <w:rPr>
                <w:rFonts w:ascii="仿宋_GB2312" w:hAnsi="仿宋_GB2312" w:cs="仿宋_GB2312" w:eastAsia="仿宋_GB2312"/>
              </w:rPr>
              <w:t>由磋商小组进行赋分，施工方案总体说明全面合理得4分，基本合理得3分，不够合理得1分，无不得分。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2.确保工程质量的技术组织措施</w:t>
            </w:r>
          </w:p>
        </w:tc>
        <w:tc>
          <w:tcPr>
            <w:tcW w:type="dxa" w:w="2492"/>
          </w:tcPr>
          <w:p>
            <w:pPr>
              <w:pStyle w:val="null3"/>
            </w:pPr>
            <w:r>
              <w:rPr>
                <w:rFonts w:ascii="仿宋_GB2312" w:hAnsi="仿宋_GB2312" w:cs="仿宋_GB2312" w:eastAsia="仿宋_GB2312"/>
              </w:rPr>
              <w:t>由磋商小组进行赋分，工程质量的技术组织措施全面合理得 4 分，基本合理得3分，不够合理得1分，无不得分。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3.确保安全生产的技术组织措施</w:t>
            </w:r>
          </w:p>
        </w:tc>
        <w:tc>
          <w:tcPr>
            <w:tcW w:type="dxa" w:w="2492"/>
          </w:tcPr>
          <w:p>
            <w:pPr>
              <w:pStyle w:val="null3"/>
            </w:pPr>
            <w:r>
              <w:rPr>
                <w:rFonts w:ascii="仿宋_GB2312" w:hAnsi="仿宋_GB2312" w:cs="仿宋_GB2312" w:eastAsia="仿宋_GB2312"/>
              </w:rPr>
              <w:t>由磋商小组进行赋分，安全生产的技术组织措施全面合理得 4 分，基本合理得3分，不够合理得1分，无不得分。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4.确保文明施工的技术组织措施及环境保护措施</w:t>
            </w:r>
          </w:p>
        </w:tc>
        <w:tc>
          <w:tcPr>
            <w:tcW w:type="dxa" w:w="2492"/>
          </w:tcPr>
          <w:p>
            <w:pPr>
              <w:pStyle w:val="null3"/>
            </w:pPr>
            <w:r>
              <w:rPr>
                <w:rFonts w:ascii="仿宋_GB2312" w:hAnsi="仿宋_GB2312" w:cs="仿宋_GB2312" w:eastAsia="仿宋_GB2312"/>
              </w:rPr>
              <w:t>由磋商小组进行赋分，文明施工的技术组织措施及环境保护措全面合理得4分，基本合理得3分，不够合理得1分，无不得分。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5.项目经理部组成人员</w:t>
            </w:r>
          </w:p>
        </w:tc>
        <w:tc>
          <w:tcPr>
            <w:tcW w:type="dxa" w:w="2492"/>
          </w:tcPr>
          <w:p>
            <w:pPr>
              <w:pStyle w:val="null3"/>
            </w:pPr>
            <w:r>
              <w:rPr>
                <w:rFonts w:ascii="仿宋_GB2312" w:hAnsi="仿宋_GB2312" w:cs="仿宋_GB2312" w:eastAsia="仿宋_GB2312"/>
              </w:rPr>
              <w:t>由磋商小组进行赋分，项目经理部组成人员全面合理得4分，基本合理得3分，不够合理得1分，无不得分。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提供2022年1月1日至响应截止时间（以合同签订时间为准）类似项目业绩，每提供一个业绩得2分，满分10分。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满足采购文件要求且有效响应文件的最后报价的最低报价为评审基准价，其价格分为满分。其他供应商的价格分统一按照下列公式计算：投标报价得分=（评标基准价/最后报价）×70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