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D3006D">
      <w:pPr>
        <w:pStyle w:val="4"/>
        <w:ind w:firstLine="560" w:firstLineChars="200"/>
        <w:jc w:val="center"/>
        <w:rPr>
          <w:rFonts w:ascii="仿宋" w:hAnsi="仿宋" w:eastAsia="仿宋" w:cs="MingLiU_HKSCS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实质性商务部分偏离表</w:t>
      </w:r>
    </w:p>
    <w:p w14:paraId="7FF32F90">
      <w:pPr>
        <w:pStyle w:val="4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项目名称：</w:t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项目编号：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516"/>
        <w:gridCol w:w="2685"/>
        <w:gridCol w:w="1446"/>
        <w:gridCol w:w="965"/>
      </w:tblGrid>
      <w:tr w14:paraId="0358A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7F888DED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1476" w:type="pct"/>
            <w:noWrap w:val="0"/>
            <w:vAlign w:val="center"/>
          </w:tcPr>
          <w:p w14:paraId="1AEDF53D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磋商文件的</w:t>
            </w:r>
          </w:p>
          <w:p w14:paraId="13238C43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 w14:paraId="64413545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响应文件的</w:t>
            </w:r>
          </w:p>
          <w:p w14:paraId="221395DD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商务部分</w:t>
            </w:r>
          </w:p>
        </w:tc>
        <w:tc>
          <w:tcPr>
            <w:tcW w:w="848" w:type="pct"/>
            <w:noWrap w:val="0"/>
            <w:vAlign w:val="center"/>
          </w:tcPr>
          <w:p w14:paraId="3B6AE098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偏离</w:t>
            </w:r>
          </w:p>
        </w:tc>
        <w:tc>
          <w:tcPr>
            <w:tcW w:w="566" w:type="pct"/>
            <w:noWrap w:val="0"/>
            <w:vAlign w:val="center"/>
          </w:tcPr>
          <w:p w14:paraId="1174A361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说明</w:t>
            </w:r>
          </w:p>
        </w:tc>
      </w:tr>
      <w:tr w14:paraId="3B797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0DED4678">
            <w:pPr>
              <w:pStyle w:val="4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  <w:r>
              <w:rPr>
                <w:rFonts w:hint="eastAsia" w:ascii="仿宋" w:hAnsi="仿宋" w:eastAsia="仿宋" w:cs="Courier New"/>
                <w:sz w:val="24"/>
                <w:szCs w:val="24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 w14:paraId="2F6BD9DB">
            <w:pPr>
              <w:pStyle w:val="4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2C180062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390C9DB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66" w:type="pct"/>
            <w:noWrap w:val="0"/>
            <w:vAlign w:val="center"/>
          </w:tcPr>
          <w:p w14:paraId="7B35128C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CF7A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01C6AD9E">
            <w:pPr>
              <w:pStyle w:val="4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  <w:r>
              <w:rPr>
                <w:rFonts w:hint="eastAsia" w:ascii="仿宋" w:hAnsi="仿宋" w:eastAsia="仿宋" w:cs="Courier New"/>
                <w:sz w:val="24"/>
                <w:szCs w:val="24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 w14:paraId="684C4CD9">
            <w:pPr>
              <w:pStyle w:val="4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02654903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31545D9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66" w:type="pct"/>
            <w:noWrap w:val="0"/>
            <w:vAlign w:val="center"/>
          </w:tcPr>
          <w:p w14:paraId="5367CD80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38E0F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50AE8299">
            <w:pPr>
              <w:pStyle w:val="4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  <w:r>
              <w:rPr>
                <w:rFonts w:hint="eastAsia" w:ascii="仿宋" w:hAnsi="仿宋" w:eastAsia="仿宋" w:cs="Courier New"/>
                <w:sz w:val="24"/>
                <w:szCs w:val="24"/>
              </w:rPr>
              <w:t>3</w:t>
            </w:r>
          </w:p>
        </w:tc>
        <w:tc>
          <w:tcPr>
            <w:tcW w:w="1476" w:type="pct"/>
            <w:noWrap w:val="0"/>
            <w:vAlign w:val="center"/>
          </w:tcPr>
          <w:p w14:paraId="6639F81B">
            <w:pPr>
              <w:pStyle w:val="4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372E22F1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8B0C6A9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D5CB5A5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011D4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3E416984">
            <w:pPr>
              <w:pStyle w:val="4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  <w:r>
              <w:rPr>
                <w:rFonts w:ascii="仿宋" w:hAnsi="仿宋" w:eastAsia="仿宋" w:cs="Courier New"/>
                <w:sz w:val="24"/>
                <w:szCs w:val="24"/>
              </w:rPr>
              <w:t>…</w:t>
            </w:r>
          </w:p>
        </w:tc>
        <w:tc>
          <w:tcPr>
            <w:tcW w:w="1476" w:type="pct"/>
            <w:noWrap w:val="0"/>
            <w:vAlign w:val="center"/>
          </w:tcPr>
          <w:p w14:paraId="2DB4A82A">
            <w:pPr>
              <w:pStyle w:val="4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7045477A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D58CFFC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66" w:type="pct"/>
            <w:noWrap w:val="0"/>
            <w:vAlign w:val="center"/>
          </w:tcPr>
          <w:p w14:paraId="6BFA84DE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81C8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565C96CF">
            <w:pPr>
              <w:pStyle w:val="4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  <w:r>
              <w:rPr>
                <w:rFonts w:hint="eastAsia" w:ascii="仿宋" w:hAnsi="仿宋" w:eastAsia="仿宋" w:cs="Courier New"/>
                <w:sz w:val="24"/>
                <w:szCs w:val="24"/>
              </w:rPr>
              <w:t>N</w:t>
            </w:r>
          </w:p>
        </w:tc>
        <w:tc>
          <w:tcPr>
            <w:tcW w:w="1476" w:type="pct"/>
            <w:noWrap w:val="0"/>
            <w:vAlign w:val="center"/>
          </w:tcPr>
          <w:p w14:paraId="4AAD6993">
            <w:pPr>
              <w:pStyle w:val="4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5A2D6B79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99F42AE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66" w:type="pct"/>
            <w:noWrap w:val="0"/>
            <w:vAlign w:val="center"/>
          </w:tcPr>
          <w:p w14:paraId="23E9265A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63F91FAE"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</w:t>
      </w:r>
    </w:p>
    <w:p w14:paraId="797C821E"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1、填写磋商文件第三章 磋商项目技术、服务、商务及其他要求中“服务期限、服务地点、支付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方式、支付约定”的内容。</w:t>
      </w:r>
    </w:p>
    <w:p w14:paraId="05F4B48F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44"/>
        </w:rPr>
      </w:pPr>
      <w:r>
        <w:rPr>
          <w:rFonts w:hint="eastAsia" w:ascii="仿宋" w:hAnsi="仿宋" w:eastAsia="仿宋"/>
          <w:sz w:val="28"/>
          <w:szCs w:val="28"/>
        </w:rPr>
        <w:t>2、在偏离项，必须注明“正偏离”、“负偏离”或“完全响应”，并予以说明。</w:t>
      </w:r>
    </w:p>
    <w:p w14:paraId="309B6C1C">
      <w:pPr>
        <w:pStyle w:val="4"/>
        <w:spacing w:line="336" w:lineRule="auto"/>
        <w:rPr>
          <w:rFonts w:hint="eastAsia" w:ascii="仿宋" w:hAnsi="仿宋" w:eastAsia="仿宋" w:cs="仿宋"/>
          <w:sz w:val="28"/>
          <w:szCs w:val="44"/>
        </w:rPr>
      </w:pPr>
    </w:p>
    <w:p w14:paraId="0480B9EB">
      <w:pPr>
        <w:pStyle w:val="4"/>
        <w:spacing w:line="336" w:lineRule="auto"/>
        <w:rPr>
          <w:rFonts w:hint="eastAsia" w:ascii="仿宋" w:hAnsi="仿宋" w:eastAsia="仿宋" w:cs="仿宋"/>
          <w:sz w:val="28"/>
          <w:szCs w:val="44"/>
        </w:rPr>
      </w:pPr>
    </w:p>
    <w:p w14:paraId="234C2D28">
      <w:pPr>
        <w:pStyle w:val="4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________________________</w:t>
      </w:r>
    </w:p>
    <w:p w14:paraId="2BC5B929">
      <w:pPr>
        <w:pStyle w:val="4"/>
        <w:ind w:right="160"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 w14:paraId="148B182D">
      <w:pPr>
        <w:pStyle w:val="4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说明：授权用投标专用章的，与公章具有相同法律效力。</w:t>
      </w:r>
    </w:p>
    <w:p w14:paraId="17ADEE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1B5D27"/>
    <w:rsid w:val="0F8F27AD"/>
    <w:rsid w:val="127E1741"/>
    <w:rsid w:val="1770383D"/>
    <w:rsid w:val="25C2689C"/>
    <w:rsid w:val="453018B3"/>
    <w:rsid w:val="54DA7145"/>
    <w:rsid w:val="64EE573D"/>
    <w:rsid w:val="6ADE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Plain Text"/>
    <w:basedOn w:val="1"/>
    <w:link w:val="7"/>
    <w:qFormat/>
    <w:uiPriority w:val="0"/>
    <w:rPr>
      <w:rFonts w:ascii="仿宋" w:hAnsi="仿宋"/>
      <w:szCs w:val="21"/>
    </w:rPr>
  </w:style>
  <w:style w:type="character" w:customStyle="1" w:styleId="7">
    <w:name w:val="纯文本 字符1"/>
    <w:link w:val="4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298</Words>
  <Characters>332</Characters>
  <Lines>0</Lines>
  <Paragraphs>0</Paragraphs>
  <TotalTime>0</TotalTime>
  <ScaleCrop>false</ScaleCrop>
  <LinksUpToDate>false</LinksUpToDate>
  <CharactersWithSpaces>342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2025-07-15T09:48:58Z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eyJoZGlkIjoiNjM1NmJiZjE0YjM3YTZkMDA5YjM3YTBjNzQ3MDYwMTgiLCJ1c2VySWQiOiI1MjUwOTc0MjQifQ==</vt:lpwstr>
  </property>
</Properties>
</file>