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版本号：KY2025-1-71620250815002</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2025年数字资源采购项目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KY2025-1-716</w:t>
      </w:r>
      <w:r>
        <w:br/>
      </w:r>
      <w:r>
        <w:br/>
      </w:r>
      <w:r>
        <w:br/>
      </w:r>
    </w:p>
    <w:p>
      <w:pPr>
        <w:pStyle w:val="null3"/>
        <w:jc w:val="center"/>
        <w:outlineLvl w:val="5"/>
      </w:pPr>
      <w:r>
        <w:rPr>
          <w:rFonts w:ascii="仿宋_GB2312" w:hAnsi="仿宋_GB2312" w:cs="仿宋_GB2312" w:eastAsia="仿宋_GB2312"/>
          <w:sz w:val="15"/>
          <w:b/>
        </w:rPr>
        <w:t>安康学院</w:t>
      </w:r>
    </w:p>
    <w:p>
      <w:pPr>
        <w:pStyle w:val="null3"/>
        <w:jc w:val="center"/>
        <w:outlineLvl w:val="5"/>
      </w:pPr>
      <w:r>
        <w:rPr>
          <w:rFonts w:ascii="仿宋_GB2312" w:hAnsi="仿宋_GB2312" w:cs="仿宋_GB2312" w:eastAsia="仿宋_GB2312"/>
          <w:sz w:val="15"/>
          <w:b/>
        </w:rPr>
        <w:t>陕西开源招标有限公司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2025年08月18日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安康学院</w:t>
      </w:r>
      <w:r>
        <w:rPr>
          <w:rFonts w:ascii="仿宋_GB2312" w:hAnsi="仿宋_GB2312" w:cs="仿宋_GB2312" w:eastAsia="仿宋_GB2312"/>
        </w:rPr>
        <w:t>委托，拟对</w:t>
      </w:r>
      <w:r>
        <w:rPr>
          <w:rFonts w:ascii="仿宋_GB2312" w:hAnsi="仿宋_GB2312" w:cs="仿宋_GB2312" w:eastAsia="仿宋_GB2312"/>
        </w:rPr>
        <w:t>2025年数字资源采购项目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KY2025-1-716</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2025年数字资源采购项目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安康学院2025年数字资源采购项目，共分为8个采购包。 采购包1：中国知网数据库，1项；预算金额：310000元；项目概况：提供文献资源检索、浏览、下载以及其他增值服务；简要技术要求：具体详见单一来源采购文件第三章；用途：自用。 采购包2：超星学习通、读秀知识库、汇雅电子图书、超星名师讲坛，1项；预算金额：237500元；项目概况：提供文献资源检索、浏览、下载及其他增值服务；简要技术要求：具体详见单一来源采购文件第三章；用途：自用。 采购包3：中国学位论文全文数据库、中国学术会议文献数据库，1项；预算金额：50000元；项目概况：提供文献资源检索、浏览、下载及其他增值服务；简要技术要求：具体详见单一来源采购文件第三章；用途：自用。 采购包4：人大复印报刊资料全文数据库，1项；预算金额：51000元；项目概况：提供文献资源检索、浏览、下载及其他增值服务；简要技术要求：具体详见单一来源采购文件第三章；用途：自用。 采购包5：SpecialSciDBS数据库，1项；预算金额：41000元；项目概况：提供文献资源检索、浏览、下载及其他增值服务；简要技术要求：具体详见单一来源采购文件第三章；用途：自用。 采购包6：博学易知学习平台，1项；预算金额：30000元；项目概况：提供文献资源检索、浏览及其他服务；简要技术要求：具体详见单一来源采购文件第三章；用途：自用。 采购包7：Spischolar学术资源在线，1项；预算金额：46000元；项目概况：提供文献资源检索、浏览、下载及其他服务；简要技术要求：具体详见单一来源采购文件第三章；用途：自用。 采购包8：worldlib sci精品学术论文平台，1项；预算金额：64500元；项目概况：提供文献资源检索、浏览、下载及其他增值服务；简要技术要求：具体详见单一来源采购文件第三章；用途：自用。</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2、财务状况报告：提供2024年度完整的财务审计报告，或开标时间前六个月内银行出具的资信证明。其他组织和自然人提供银行出具的资信证明。（以上两种形式的资料提供任何一种即可）</w:t>
      </w:r>
    </w:p>
    <w:p>
      <w:pPr>
        <w:pStyle w:val="null3"/>
      </w:pPr>
      <w:r>
        <w:rPr>
          <w:rFonts w:ascii="仿宋_GB2312" w:hAnsi="仿宋_GB2312" w:cs="仿宋_GB2312" w:eastAsia="仿宋_GB2312"/>
        </w:rPr>
        <w:t>3、税收缴纳证明：提供2024年7月至今已缴存的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4、社会保障资金缴纳证明：提供2024年7月至今已缴存的至少一个月的社会保障资金缴存单据或社保机构开具的社会保险参保缴费情况证明，依法不需要缴纳社会保障资金的单位应提供相关证明材料。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7、法定代表人授权书：法定代表人授权书及被授权人身份证明。（法定代表人直接谈判只须提交其身份证明）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2、财务状况报告：提供2024年度完整的财务审计报告，或开标时间前六个月内银行出具的资信证明。其他组织和自然人提供银行出具的资信证明。（以上两种形式的资料提供任何一种即可）</w:t>
      </w:r>
    </w:p>
    <w:p>
      <w:pPr>
        <w:pStyle w:val="null3"/>
      </w:pPr>
      <w:r>
        <w:rPr>
          <w:rFonts w:ascii="仿宋_GB2312" w:hAnsi="仿宋_GB2312" w:cs="仿宋_GB2312" w:eastAsia="仿宋_GB2312"/>
        </w:rPr>
        <w:t>3、税收缴纳证明：提供2024年7月至今已缴存的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4、社会保障资金缴纳证明：提供2024年7月至今已缴存的至少一个月的社会保障资金缴存单据或社保机构开具的社会保险参保缴费情况证明，依法不需要缴纳社会保障资金的单位应提供相关证明材料。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7、法定代表人授权书：法定代表人授权书及被授权人身份证明。（法定代表人直接谈判只须提交其身份证明）</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2、财务状况报告：提供2024年度完整的财务审计报告，或开标时间前六个月内银行出具的资信证明。其他组织和自然人提供银行出具的资信证明。（以上两种形式的资料提供任何一种即可）</w:t>
      </w:r>
    </w:p>
    <w:p>
      <w:pPr>
        <w:pStyle w:val="null3"/>
      </w:pPr>
      <w:r>
        <w:rPr>
          <w:rFonts w:ascii="仿宋_GB2312" w:hAnsi="仿宋_GB2312" w:cs="仿宋_GB2312" w:eastAsia="仿宋_GB2312"/>
        </w:rPr>
        <w:t>3、税收缴纳证明：提供2024年7月至今已缴存的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4、社会保障资金缴纳证明：提供2024年7月至今已缴存的至少一个月的社会保障资金缴存单据或社保机构开具的社会保险参保缴费情况证明，依法不需要缴纳社会保障资金的单位应提供相关证明材料。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7、法定代表人授权书：法定代表人授权书及被授权人身份证明。（法定代表人直接谈判只须提交其身份证明）</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2、财务状况报告：提供2024年度完整的财务审计报告，或开标时间前六个月内银行出具的资信证明。其他组织和自然人提供银行出具的资信证明。（以上两种形式的资料提供任何一种即可）</w:t>
      </w:r>
    </w:p>
    <w:p>
      <w:pPr>
        <w:pStyle w:val="null3"/>
      </w:pPr>
      <w:r>
        <w:rPr>
          <w:rFonts w:ascii="仿宋_GB2312" w:hAnsi="仿宋_GB2312" w:cs="仿宋_GB2312" w:eastAsia="仿宋_GB2312"/>
        </w:rPr>
        <w:t>3、税收缴纳证明：提供2024年7月至今已缴存的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4、社会保障资金缴纳证明：提供2024年7月至今已缴存的至少一个月的社会保障资金缴存单据或社保机构开具的社会保险参保缴费情况证明，依法不需要缴纳社会保障资金的单位应提供相关证明材料。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7、法定代表人授权书：法定代表人授权书及被授权人身份证明。（法定代表人直接谈判只须提交其身份证明）</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2、财务状况报告：提供2024年度完整的财务审计报告，或开标时间前六个月内银行出具的资信证明。其他组织和自然人提供银行出具的资信证明。（以上两种形式的资料提供任何一种即可）</w:t>
      </w:r>
    </w:p>
    <w:p>
      <w:pPr>
        <w:pStyle w:val="null3"/>
      </w:pPr>
      <w:r>
        <w:rPr>
          <w:rFonts w:ascii="仿宋_GB2312" w:hAnsi="仿宋_GB2312" w:cs="仿宋_GB2312" w:eastAsia="仿宋_GB2312"/>
        </w:rPr>
        <w:t>3、税收缴纳证明：提供2024年7月至今已缴存的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4、社会保障资金缴纳证明：提供2024年7月至今已缴存的至少一个月的社会保障资金缴存单据或社保机构开具的社会保险参保缴费情况证明，依法不需要缴纳社会保障资金的单位应提供相关证明材料。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7、法定代表人授权书：法定代表人授权书及被授权人身份证明。（法定代表人直接谈判只须提交其身份证明）</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2、财务状况报告：提供2024年度完整的财务审计报告，或开标时间前六个月内银行出具的资信证明。其他组织和自然人提供银行出具的资信证明。（以上两种形式的资料提供任何一种即可）</w:t>
      </w:r>
    </w:p>
    <w:p>
      <w:pPr>
        <w:pStyle w:val="null3"/>
      </w:pPr>
      <w:r>
        <w:rPr>
          <w:rFonts w:ascii="仿宋_GB2312" w:hAnsi="仿宋_GB2312" w:cs="仿宋_GB2312" w:eastAsia="仿宋_GB2312"/>
        </w:rPr>
        <w:t>3、税收缴纳证明：提供2024年7月至今已缴存的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4、社会保障资金缴纳证明：提供2024年7月至今已缴存的至少一个月的社会保障资金缴存单据或社保机构开具的社会保险参保缴费情况证明，依法不需要缴纳社会保障资金的单位应提供相关证明材料。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7、法定代表人授权书：法定代表人授权书及被授权人身份证明。（法定代表人直接谈判只须提交其身份证明）</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2、财务状况报告：提供2024年度完整的财务审计报告，或开标时间前六个月内银行出具的资信证明。其他组织和自然人提供银行出具的资信证明。（以上两种形式的资料提供任何一种即可）</w:t>
      </w:r>
    </w:p>
    <w:p>
      <w:pPr>
        <w:pStyle w:val="null3"/>
      </w:pPr>
      <w:r>
        <w:rPr>
          <w:rFonts w:ascii="仿宋_GB2312" w:hAnsi="仿宋_GB2312" w:cs="仿宋_GB2312" w:eastAsia="仿宋_GB2312"/>
        </w:rPr>
        <w:t>3、税收缴纳证明：提供2024年7月至今已缴存的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4、社会保障资金缴纳证明：提供2024年7月至今已缴存的至少一个月的社会保障资金缴存单据或社保机构开具的社会保险参保缴费情况证明，依法不需要缴纳社会保障资金的单位应提供相关证明材料。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7、法定代表人授权书：法定代表人授权书及被授权人身份证明。（法定代表人直接谈判只须提交其身份证明）</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2、财务状况报告：提供2024年度完整的财务审计报告，或开标时间前六个月内银行出具的资信证明。其他组织和自然人提供银行出具的资信证明。（以上两种形式的资料提供任何一种即可）</w:t>
      </w:r>
    </w:p>
    <w:p>
      <w:pPr>
        <w:pStyle w:val="null3"/>
      </w:pPr>
      <w:r>
        <w:rPr>
          <w:rFonts w:ascii="仿宋_GB2312" w:hAnsi="仿宋_GB2312" w:cs="仿宋_GB2312" w:eastAsia="仿宋_GB2312"/>
        </w:rPr>
        <w:t>3、税收缴纳证明：提供2024年7月至今已缴存的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4、社会保障资金缴纳证明：提供2024年7月至今已缴存的至少一个月的社会保障资金缴存单据或社保机构开具的社会保险参保缴费情况证明，依法不需要缴纳社会保障资金的单位应提供相关证明材料。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7、法定代表人授权书：法定代表人授权书及被授权人身份证明。（法定代表人直接谈判只须提交其身份证明）</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安康学院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陕西省安康市育才路92号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725000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包老师 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0915-3267910 0915-3288097</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温虎、韩婷、刘金柯、卢韶华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029-81206622-820</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采购包1：310,000.00元</w:t>
            </w:r>
          </w:p>
          <w:p>
            <w:pPr>
              <w:pStyle w:val="null3"/>
            </w:pPr>
            <w:r>
              <w:rPr>
                <w:rFonts w:ascii="仿宋_GB2312" w:hAnsi="仿宋_GB2312" w:cs="仿宋_GB2312" w:eastAsia="仿宋_GB2312"/>
              </w:rPr>
              <w:t>采购包2：237,500.00元</w:t>
            </w:r>
          </w:p>
          <w:p>
            <w:pPr>
              <w:pStyle w:val="null3"/>
            </w:pPr>
            <w:r>
              <w:rPr>
                <w:rFonts w:ascii="仿宋_GB2312" w:hAnsi="仿宋_GB2312" w:cs="仿宋_GB2312" w:eastAsia="仿宋_GB2312"/>
              </w:rPr>
              <w:t>采购包3：50,000.00元</w:t>
            </w:r>
          </w:p>
          <w:p>
            <w:pPr>
              <w:pStyle w:val="null3"/>
            </w:pPr>
            <w:r>
              <w:rPr>
                <w:rFonts w:ascii="仿宋_GB2312" w:hAnsi="仿宋_GB2312" w:cs="仿宋_GB2312" w:eastAsia="仿宋_GB2312"/>
              </w:rPr>
              <w:t>采购包4：51,000.00元</w:t>
            </w:r>
          </w:p>
          <w:p>
            <w:pPr>
              <w:pStyle w:val="null3"/>
            </w:pPr>
            <w:r>
              <w:rPr>
                <w:rFonts w:ascii="仿宋_GB2312" w:hAnsi="仿宋_GB2312" w:cs="仿宋_GB2312" w:eastAsia="仿宋_GB2312"/>
              </w:rPr>
              <w:t>采购包5：41,000.00元</w:t>
            </w:r>
          </w:p>
          <w:p>
            <w:pPr>
              <w:pStyle w:val="null3"/>
            </w:pPr>
            <w:r>
              <w:rPr>
                <w:rFonts w:ascii="仿宋_GB2312" w:hAnsi="仿宋_GB2312" w:cs="仿宋_GB2312" w:eastAsia="仿宋_GB2312"/>
              </w:rPr>
              <w:t>采购包6：30,000.00元</w:t>
            </w:r>
          </w:p>
          <w:p>
            <w:pPr>
              <w:pStyle w:val="null3"/>
            </w:pPr>
            <w:r>
              <w:rPr>
                <w:rFonts w:ascii="仿宋_GB2312" w:hAnsi="仿宋_GB2312" w:cs="仿宋_GB2312" w:eastAsia="仿宋_GB2312"/>
              </w:rPr>
              <w:t>采购包7：46,000.00元</w:t>
            </w:r>
          </w:p>
          <w:p>
            <w:pPr>
              <w:pStyle w:val="null3"/>
            </w:pPr>
            <w:r>
              <w:rPr>
                <w:rFonts w:ascii="仿宋_GB2312" w:hAnsi="仿宋_GB2312" w:cs="仿宋_GB2312" w:eastAsia="仿宋_GB2312"/>
              </w:rPr>
              <w:t>采购包8：64,500.00元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采购包1：310,000.00元</w:t>
            </w:r>
          </w:p>
          <w:p>
            <w:pPr>
              <w:pStyle w:val="null3"/>
            </w:pPr>
            <w:r>
              <w:rPr>
                <w:rFonts w:ascii="仿宋_GB2312" w:hAnsi="仿宋_GB2312" w:cs="仿宋_GB2312" w:eastAsia="仿宋_GB2312"/>
              </w:rPr>
              <w:t>采购包2：237,500.00元</w:t>
            </w:r>
          </w:p>
          <w:p>
            <w:pPr>
              <w:pStyle w:val="null3"/>
            </w:pPr>
            <w:r>
              <w:rPr>
                <w:rFonts w:ascii="仿宋_GB2312" w:hAnsi="仿宋_GB2312" w:cs="仿宋_GB2312" w:eastAsia="仿宋_GB2312"/>
              </w:rPr>
              <w:t>采购包3：50,000.00元</w:t>
            </w:r>
          </w:p>
          <w:p>
            <w:pPr>
              <w:pStyle w:val="null3"/>
            </w:pPr>
            <w:r>
              <w:rPr>
                <w:rFonts w:ascii="仿宋_GB2312" w:hAnsi="仿宋_GB2312" w:cs="仿宋_GB2312" w:eastAsia="仿宋_GB2312"/>
              </w:rPr>
              <w:t>采购包4：51,000.00元</w:t>
            </w:r>
          </w:p>
          <w:p>
            <w:pPr>
              <w:pStyle w:val="null3"/>
            </w:pPr>
            <w:r>
              <w:rPr>
                <w:rFonts w:ascii="仿宋_GB2312" w:hAnsi="仿宋_GB2312" w:cs="仿宋_GB2312" w:eastAsia="仿宋_GB2312"/>
              </w:rPr>
              <w:t>采购包5：41,000.00元</w:t>
            </w:r>
          </w:p>
          <w:p>
            <w:pPr>
              <w:pStyle w:val="null3"/>
            </w:pPr>
            <w:r>
              <w:rPr>
                <w:rFonts w:ascii="仿宋_GB2312" w:hAnsi="仿宋_GB2312" w:cs="仿宋_GB2312" w:eastAsia="仿宋_GB2312"/>
              </w:rPr>
              <w:t>采购包6：30,000.00元</w:t>
            </w:r>
          </w:p>
          <w:p>
            <w:pPr>
              <w:pStyle w:val="null3"/>
            </w:pPr>
            <w:r>
              <w:rPr>
                <w:rFonts w:ascii="仿宋_GB2312" w:hAnsi="仿宋_GB2312" w:cs="仿宋_GB2312" w:eastAsia="仿宋_GB2312"/>
              </w:rPr>
              <w:t>采购包7：46,000.00元</w:t>
            </w:r>
          </w:p>
          <w:p>
            <w:pPr>
              <w:pStyle w:val="null3"/>
            </w:pPr>
            <w:r>
              <w:rPr>
                <w:rFonts w:ascii="仿宋_GB2312" w:hAnsi="仿宋_GB2312" w:cs="仿宋_GB2312" w:eastAsia="仿宋_GB2312"/>
              </w:rPr>
              <w:t>采购包8：64,500.00元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p>
          <w:p>
            <w:pPr>
              <w:pStyle w:val="null3"/>
            </w:pPr>
            <w:r>
              <w:rPr>
                <w:rFonts w:ascii="仿宋_GB2312" w:hAnsi="仿宋_GB2312" w:cs="仿宋_GB2312" w:eastAsia="仿宋_GB2312"/>
              </w:rPr>
              <w:t>采购包7：不接受</w:t>
            </w:r>
          </w:p>
          <w:p>
            <w:pPr>
              <w:pStyle w:val="null3"/>
            </w:pPr>
            <w:r>
              <w:rPr>
                <w:rFonts w:ascii="仿宋_GB2312" w:hAnsi="仿宋_GB2312" w:cs="仿宋_GB2312" w:eastAsia="仿宋_GB2312"/>
              </w:rPr>
              <w:t>采购包8：不接受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p>
            <w:pPr>
              <w:pStyle w:val="null3"/>
            </w:pPr>
            <w:r>
              <w:rPr>
                <w:rFonts w:ascii="仿宋_GB2312" w:hAnsi="仿宋_GB2312" w:cs="仿宋_GB2312" w:eastAsia="仿宋_GB2312"/>
              </w:rPr>
              <w:t>采购包6：不缴纳</w:t>
            </w:r>
          </w:p>
          <w:p>
            <w:pPr>
              <w:pStyle w:val="null3"/>
            </w:pPr>
            <w:r>
              <w:rPr>
                <w:rFonts w:ascii="仿宋_GB2312" w:hAnsi="仿宋_GB2312" w:cs="仿宋_GB2312" w:eastAsia="仿宋_GB2312"/>
              </w:rPr>
              <w:t>采购包7：不缴纳</w:t>
            </w:r>
          </w:p>
          <w:p>
            <w:pPr>
              <w:pStyle w:val="null3"/>
            </w:pPr>
            <w:r>
              <w:rPr>
                <w:rFonts w:ascii="仿宋_GB2312" w:hAnsi="仿宋_GB2312" w:cs="仿宋_GB2312" w:eastAsia="仿宋_GB2312"/>
              </w:rPr>
              <w:t>采购包8：不缴纳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由成交供应商支付，交费金额参照《招标代理服务收费管理暂行办法》（计价格[2002]1980号）、《国家发展改革委员会办公厅关于招标代理服务收费有关问题的通知》（发改办价[2003]857号）规定标准及乙方相关承诺收取。本项目成交服务费按服务计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p>
            <w:pPr>
              <w:pStyle w:val="null3"/>
            </w:pPr>
            <w:r>
              <w:rPr>
                <w:rFonts w:ascii="仿宋_GB2312" w:hAnsi="仿宋_GB2312" w:cs="仿宋_GB2312" w:eastAsia="仿宋_GB2312"/>
              </w:rPr>
              <w:t>采购包7：组织现场踏勘：否</w:t>
            </w:r>
          </w:p>
          <w:p>
            <w:pPr>
              <w:pStyle w:val="null3"/>
            </w:pPr>
            <w:r>
              <w:rPr>
                <w:rFonts w:ascii="仿宋_GB2312" w:hAnsi="仿宋_GB2312" w:cs="仿宋_GB2312" w:eastAsia="仿宋_GB2312"/>
              </w:rPr>
              <w:t>采购包8：组织现场踏勘：否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安康学院</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安康学院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pPr>
      <w:r>
        <w:rPr>
          <w:rFonts w:ascii="仿宋_GB2312" w:hAnsi="仿宋_GB2312" w:cs="仿宋_GB2312" w:eastAsia="仿宋_GB2312"/>
        </w:rPr>
        <w:t>采购包7：不允许合同分包。</w:t>
      </w:r>
    </w:p>
    <w:p>
      <w:pPr>
        <w:pStyle w:val="null3"/>
      </w:pPr>
      <w:r>
        <w:rPr>
          <w:rFonts w:ascii="仿宋_GB2312" w:hAnsi="仿宋_GB2312" w:cs="仿宋_GB2312" w:eastAsia="仿宋_GB2312"/>
        </w:rPr>
        <w:t>采购包8：不允许合同分包。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按谈判文件、响应文件及合同要求。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按谈判文件、响应文件及合同要求。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按谈判文件、响应文件及合同要求。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按谈判文件、响应文件及合同要求。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按谈判文件、响应文件及合同要求。</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按谈判文件、响应文件及合同要求。</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按谈判文件、响应文件及合同要求。</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按谈判文件、响应文件及合同要求。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sz w:val="24"/>
        </w:rPr>
        <w:t>安康学院</w:t>
      </w:r>
      <w:r>
        <w:rPr>
          <w:rFonts w:ascii="仿宋_GB2312" w:hAnsi="仿宋_GB2312" w:cs="仿宋_GB2312" w:eastAsia="仿宋_GB2312"/>
          <w:sz w:val="24"/>
        </w:rPr>
        <w:t>2025年数字资源采购项目</w:t>
      </w:r>
      <w:r>
        <w:rPr>
          <w:rFonts w:ascii="仿宋_GB2312" w:hAnsi="仿宋_GB2312" w:cs="仿宋_GB2312" w:eastAsia="仿宋_GB2312"/>
          <w:sz w:val="24"/>
        </w:rPr>
        <w:t>，</w:t>
      </w:r>
      <w:r>
        <w:rPr>
          <w:rFonts w:ascii="仿宋_GB2312" w:hAnsi="仿宋_GB2312" w:cs="仿宋_GB2312" w:eastAsia="仿宋_GB2312"/>
          <w:sz w:val="24"/>
        </w:rPr>
        <w:t>1批，</w:t>
      </w:r>
      <w:r>
        <w:rPr>
          <w:rFonts w:ascii="仿宋_GB2312" w:hAnsi="仿宋_GB2312" w:cs="仿宋_GB2312" w:eastAsia="仿宋_GB2312"/>
          <w:sz w:val="24"/>
        </w:rPr>
        <w:t>具体内容详见采购需求。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310,000.00</w:t>
      </w:r>
    </w:p>
    <w:p>
      <w:pPr>
        <w:pStyle w:val="null3"/>
      </w:pPr>
      <w:r>
        <w:rPr>
          <w:rFonts w:ascii="仿宋_GB2312" w:hAnsi="仿宋_GB2312" w:cs="仿宋_GB2312" w:eastAsia="仿宋_GB2312"/>
        </w:rPr>
        <w:t>采购包最高限价（元）: 310,000.00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中国知网数据库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237,500.00</w:t>
      </w:r>
    </w:p>
    <w:p>
      <w:pPr>
        <w:pStyle w:val="null3"/>
      </w:pPr>
      <w:r>
        <w:rPr>
          <w:rFonts w:ascii="仿宋_GB2312" w:hAnsi="仿宋_GB2312" w:cs="仿宋_GB2312" w:eastAsia="仿宋_GB2312"/>
        </w:rPr>
        <w:t>采购包最高限价（元）: 237,500.00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读秀知识库、学习通、汇雅电子图书、超星名师讲坛</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237,500.00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50,000.00</w:t>
      </w:r>
    </w:p>
    <w:p>
      <w:pPr>
        <w:pStyle w:val="null3"/>
      </w:pPr>
      <w:r>
        <w:rPr>
          <w:rFonts w:ascii="仿宋_GB2312" w:hAnsi="仿宋_GB2312" w:cs="仿宋_GB2312" w:eastAsia="仿宋_GB2312"/>
        </w:rPr>
        <w:t>采购包最高限价（元）: 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中国学位论文、学术会议论文数据库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51,000.00</w:t>
      </w:r>
    </w:p>
    <w:p>
      <w:pPr>
        <w:pStyle w:val="null3"/>
      </w:pPr>
      <w:r>
        <w:rPr>
          <w:rFonts w:ascii="仿宋_GB2312" w:hAnsi="仿宋_GB2312" w:cs="仿宋_GB2312" w:eastAsia="仿宋_GB2312"/>
        </w:rPr>
        <w:t>采购包最高限价（元）: 51,000.00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人大复印资料全文数据库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51,000.00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41,000.00</w:t>
      </w:r>
    </w:p>
    <w:p>
      <w:pPr>
        <w:pStyle w:val="null3"/>
      </w:pPr>
      <w:r>
        <w:rPr>
          <w:rFonts w:ascii="仿宋_GB2312" w:hAnsi="仿宋_GB2312" w:cs="仿宋_GB2312" w:eastAsia="仿宋_GB2312"/>
        </w:rPr>
        <w:t>采购包最高限价（元）: 41,000.00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SpecialSciDBS数据库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41,000.00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30,000.00</w:t>
      </w:r>
    </w:p>
    <w:p>
      <w:pPr>
        <w:pStyle w:val="null3"/>
      </w:pPr>
      <w:r>
        <w:rPr>
          <w:rFonts w:ascii="仿宋_GB2312" w:hAnsi="仿宋_GB2312" w:cs="仿宋_GB2312" w:eastAsia="仿宋_GB2312"/>
        </w:rPr>
        <w:t>采购包最高限价（元）: 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博学易知学习平台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采购包预算金额（元）: 46,000.00</w:t>
      </w:r>
    </w:p>
    <w:p>
      <w:pPr>
        <w:pStyle w:val="null3"/>
      </w:pPr>
      <w:r>
        <w:rPr>
          <w:rFonts w:ascii="仿宋_GB2312" w:hAnsi="仿宋_GB2312" w:cs="仿宋_GB2312" w:eastAsia="仿宋_GB2312"/>
        </w:rPr>
        <w:t>采购包最高限价（元）: 46,000.00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Spischolar学术资源在线</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46,000.00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采购包预算金额（元）: 64,500.00</w:t>
      </w:r>
    </w:p>
    <w:p>
      <w:pPr>
        <w:pStyle w:val="null3"/>
      </w:pPr>
      <w:r>
        <w:rPr>
          <w:rFonts w:ascii="仿宋_GB2312" w:hAnsi="仿宋_GB2312" w:cs="仿宋_GB2312" w:eastAsia="仿宋_GB2312"/>
        </w:rPr>
        <w:t>采购包最高限价（元）: 64,500.00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Worldlib sci精品学术论文平台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64,500.00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标的名称：中国知网数据库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1）产品名称</w:t>
            </w:r>
            <w:r>
              <w:rPr>
                <w:rFonts w:ascii="仿宋_GB2312" w:hAnsi="仿宋_GB2312" w:cs="仿宋_GB2312" w:eastAsia="仿宋_GB2312"/>
                <w:sz w:val="24"/>
                <w:color w:val="000000"/>
              </w:rPr>
              <w:t>：</w:t>
            </w:r>
            <w:r>
              <w:rPr>
                <w:rFonts w:ascii="仿宋_GB2312" w:hAnsi="仿宋_GB2312" w:cs="仿宋_GB2312" w:eastAsia="仿宋_GB2312"/>
                <w:sz w:val="24"/>
                <w:color w:val="000000"/>
              </w:rPr>
              <w:t>中国知网数据库</w:t>
            </w:r>
          </w:p>
          <w:p>
            <w:pPr>
              <w:pStyle w:val="null3"/>
              <w:jc w:val="left"/>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2）具体采购内容</w:t>
            </w:r>
          </w:p>
          <w:tbl>
            <w:tblPr>
              <w:tblInd w:type="dxa" w:w="135"/>
              <w:tblBorders>
                <w:top w:val="none" w:color="000000" w:sz="4"/>
                <w:left w:val="none" w:color="000000" w:sz="4"/>
                <w:bottom w:val="none" w:color="000000" w:sz="4"/>
                <w:right w:val="none" w:color="000000" w:sz="4"/>
                <w:insideH w:val="none"/>
                <w:insideV w:val="none"/>
              </w:tblBorders>
            </w:tblPr>
            <w:tblGrid>
              <w:gridCol w:w="234"/>
              <w:gridCol w:w="904"/>
              <w:gridCol w:w="276"/>
              <w:gridCol w:w="463"/>
              <w:gridCol w:w="276"/>
              <w:gridCol w:w="388"/>
            </w:tblGrid>
            <w:tr>
              <w:tc>
                <w:tcPr>
                  <w:tcW w:type="dxa" w:w="2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类别</w:t>
                  </w:r>
                </w:p>
              </w:tc>
              <w:tc>
                <w:tcPr>
                  <w:tcW w:type="dxa" w:w="9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项目</w:t>
                  </w:r>
                </w:p>
              </w:tc>
              <w:tc>
                <w:tcPr>
                  <w:tcW w:type="dxa" w:w="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内容</w:t>
                  </w:r>
                </w:p>
              </w:tc>
              <w:tc>
                <w:tcPr>
                  <w:tcW w:type="dxa" w:w="4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产品年度</w:t>
                  </w:r>
                </w:p>
              </w:tc>
              <w:tc>
                <w:tcPr>
                  <w:tcW w:type="dxa" w:w="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服务模式</w:t>
                  </w:r>
                </w:p>
              </w:tc>
              <w:tc>
                <w:tcPr>
                  <w:tcW w:type="dxa" w:w="3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服务期限</w:t>
                  </w:r>
                </w:p>
              </w:tc>
            </w:tr>
            <w:tr>
              <w:tc>
                <w:tcPr>
                  <w:tcW w:type="dxa" w:w="2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采购内容</w:t>
                  </w:r>
                </w:p>
              </w:tc>
              <w:tc>
                <w:tcPr>
                  <w:tcW w:type="dxa" w:w="9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中国学术期刊（网络版）</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全库</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2026年度</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租用</w:t>
                  </w:r>
                </w:p>
              </w:tc>
              <w:tc>
                <w:tcPr>
                  <w:tcW w:type="dxa" w:w="3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1年</w:t>
                  </w:r>
                </w:p>
              </w:tc>
            </w:tr>
            <w:tr>
              <w:tc>
                <w:tcPr>
                  <w:tcW w:type="dxa" w:w="234"/>
                  <w:vMerge/>
                  <w:tcBorders>
                    <w:top w:val="none" w:color="000000" w:sz="4"/>
                    <w:left w:val="single" w:color="000000" w:sz="4"/>
                    <w:bottom w:val="single" w:color="000000" w:sz="4"/>
                    <w:right w:val="single" w:color="000000" w:sz="4"/>
                  </w:tcBorders>
                </w:tcPr>
                <w:p/>
              </w:tc>
              <w:tc>
                <w:tcPr>
                  <w:tcW w:type="dxa" w:w="9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中国精品文艺作品期刊文献库</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全库</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2026年度</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租用</w:t>
                  </w:r>
                </w:p>
              </w:tc>
              <w:tc>
                <w:tcPr>
                  <w:tcW w:type="dxa" w:w="388"/>
                  <w:vMerge/>
                  <w:tcBorders>
                    <w:top w:val="none" w:color="000000" w:sz="4"/>
                    <w:left w:val="single" w:color="000000" w:sz="4"/>
                    <w:bottom w:val="single" w:color="000000" w:sz="4"/>
                    <w:right w:val="single" w:color="000000" w:sz="4"/>
                  </w:tcBorders>
                </w:tcPr>
                <w:p/>
              </w:tc>
            </w:tr>
            <w:tr>
              <w:tc>
                <w:tcPr>
                  <w:tcW w:type="dxa" w:w="234"/>
                  <w:vMerge/>
                  <w:tcBorders>
                    <w:top w:val="none" w:color="000000" w:sz="4"/>
                    <w:left w:val="single" w:color="000000" w:sz="4"/>
                    <w:bottom w:val="single" w:color="000000" w:sz="4"/>
                    <w:right w:val="single" w:color="000000" w:sz="4"/>
                  </w:tcBorders>
                </w:tcPr>
                <w:p/>
              </w:tc>
              <w:tc>
                <w:tcPr>
                  <w:tcW w:type="dxa" w:w="9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中国精品文化作品期刊文献库</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全库</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2026年度</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租用</w:t>
                  </w:r>
                </w:p>
              </w:tc>
              <w:tc>
                <w:tcPr>
                  <w:tcW w:type="dxa" w:w="388"/>
                  <w:vMerge/>
                  <w:tcBorders>
                    <w:top w:val="none" w:color="000000" w:sz="4"/>
                    <w:left w:val="single" w:color="000000" w:sz="4"/>
                    <w:bottom w:val="single" w:color="000000" w:sz="4"/>
                    <w:right w:val="single" w:color="000000" w:sz="4"/>
                  </w:tcBorders>
                </w:tcPr>
                <w:p/>
              </w:tc>
            </w:tr>
            <w:tr>
              <w:tc>
                <w:tcPr>
                  <w:tcW w:type="dxa" w:w="234"/>
                  <w:vMerge/>
                  <w:tcBorders>
                    <w:top w:val="none" w:color="000000" w:sz="4"/>
                    <w:left w:val="single" w:color="000000" w:sz="4"/>
                    <w:bottom w:val="single" w:color="000000" w:sz="4"/>
                    <w:right w:val="single" w:color="000000" w:sz="4"/>
                  </w:tcBorders>
                </w:tcPr>
                <w:p/>
              </w:tc>
              <w:tc>
                <w:tcPr>
                  <w:tcW w:type="dxa" w:w="9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中国精品科普期刊文献库</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全库</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2026年度</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租用</w:t>
                  </w:r>
                </w:p>
              </w:tc>
              <w:tc>
                <w:tcPr>
                  <w:tcW w:type="dxa" w:w="388"/>
                  <w:vMerge/>
                  <w:tcBorders>
                    <w:top w:val="none" w:color="000000" w:sz="4"/>
                    <w:left w:val="single" w:color="000000" w:sz="4"/>
                    <w:bottom w:val="single" w:color="000000" w:sz="4"/>
                    <w:right w:val="single" w:color="000000" w:sz="4"/>
                  </w:tcBorders>
                </w:tcPr>
                <w:p/>
              </w:tc>
            </w:tr>
          </w:tbl>
          <w:p>
            <w:pPr>
              <w:pStyle w:val="null3"/>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3</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产品</w:t>
            </w:r>
            <w:r>
              <w:rPr>
                <w:rFonts w:ascii="仿宋_GB2312" w:hAnsi="仿宋_GB2312" w:cs="仿宋_GB2312" w:eastAsia="仿宋_GB2312"/>
                <w:sz w:val="24"/>
                <w:b/>
                <w:color w:val="000000"/>
              </w:rPr>
              <w:t>技术</w:t>
            </w:r>
            <w:r>
              <w:rPr>
                <w:rFonts w:ascii="仿宋_GB2312" w:hAnsi="仿宋_GB2312" w:cs="仿宋_GB2312" w:eastAsia="仿宋_GB2312"/>
                <w:sz w:val="24"/>
                <w:b/>
                <w:color w:val="000000"/>
              </w:rPr>
              <w:t>要求</w:t>
            </w:r>
          </w:p>
          <w:p>
            <w:pPr>
              <w:pStyle w:val="null3"/>
              <w:jc w:val="both"/>
            </w:pPr>
            <w:r>
              <w:rPr>
                <w:rFonts w:ascii="仿宋_GB2312" w:hAnsi="仿宋_GB2312" w:cs="仿宋_GB2312" w:eastAsia="仿宋_GB2312"/>
                <w:sz w:val="24"/>
                <w:color w:val="000000"/>
              </w:rPr>
              <w:t>1、所列的全文数据库内容能够在统一的平台上进行检索，相互之间可以实现知网节链接，并且可以和以往年度订购的CNKI系列数据库资源内容统一使用。</w:t>
            </w:r>
          </w:p>
          <w:p>
            <w:pPr>
              <w:pStyle w:val="null3"/>
              <w:jc w:val="both"/>
            </w:pPr>
            <w:r>
              <w:rPr>
                <w:rFonts w:ascii="仿宋_GB2312" w:hAnsi="仿宋_GB2312" w:cs="仿宋_GB2312" w:eastAsia="仿宋_GB2312"/>
                <w:sz w:val="24"/>
                <w:color w:val="000000"/>
              </w:rPr>
              <w:t>2、更新：网上日更新。网络出版时滞不超过纸质出版2个月。</w:t>
            </w:r>
          </w:p>
          <w:p>
            <w:pPr>
              <w:pStyle w:val="null3"/>
              <w:jc w:val="both"/>
            </w:pPr>
            <w:r>
              <w:rPr>
                <w:rFonts w:ascii="仿宋_GB2312" w:hAnsi="仿宋_GB2312" w:cs="仿宋_GB2312" w:eastAsia="仿宋_GB2312"/>
                <w:sz w:val="24"/>
                <w:color w:val="000000"/>
              </w:rPr>
              <w:t>3、数据库能提供完善的用户访问统计和控制功能,并由用户自己随时在后台进行。</w:t>
            </w:r>
          </w:p>
          <w:p>
            <w:pPr>
              <w:pStyle w:val="null3"/>
              <w:jc w:val="both"/>
            </w:pPr>
            <w:r>
              <w:rPr>
                <w:rFonts w:ascii="仿宋_GB2312" w:hAnsi="仿宋_GB2312" w:cs="仿宋_GB2312" w:eastAsia="仿宋_GB2312"/>
                <w:sz w:val="24"/>
                <w:color w:val="000000"/>
              </w:rPr>
              <w:t>4、数据库能提供完善的访问量（日志）统计功能，能按访问总数，检索、浏览、下载分别进行统计，能够按学科专辑专题进行分类统计，能够按时间进行统计。</w:t>
            </w:r>
          </w:p>
          <w:p>
            <w:pPr>
              <w:pStyle w:val="null3"/>
              <w:jc w:val="both"/>
            </w:pPr>
            <w:r>
              <w:rPr>
                <w:rFonts w:ascii="仿宋_GB2312" w:hAnsi="仿宋_GB2312" w:cs="仿宋_GB2312" w:eastAsia="仿宋_GB2312"/>
                <w:sz w:val="24"/>
                <w:color w:val="000000"/>
              </w:rPr>
              <w:t>5、要求系统平台具有完善的可升级与扩展功能，升级方式方便（如可通过网络自动检测升级）。</w:t>
            </w:r>
          </w:p>
          <w:p>
            <w:pPr>
              <w:pStyle w:val="null3"/>
              <w:jc w:val="both"/>
            </w:pPr>
            <w:r>
              <w:rPr>
                <w:rFonts w:ascii="仿宋_GB2312" w:hAnsi="仿宋_GB2312" w:cs="仿宋_GB2312" w:eastAsia="仿宋_GB2312"/>
                <w:sz w:val="24"/>
                <w:color w:val="000000"/>
              </w:rPr>
              <w:t>6、要求能够提供移动端APP，并能免费在移动端使用已订购的学术期刊内容。</w:t>
            </w:r>
          </w:p>
          <w:p>
            <w:pPr>
              <w:pStyle w:val="null3"/>
              <w:jc w:val="both"/>
            </w:pPr>
            <w:r>
              <w:rPr>
                <w:rFonts w:ascii="仿宋_GB2312" w:hAnsi="仿宋_GB2312" w:cs="仿宋_GB2312" w:eastAsia="仿宋_GB2312"/>
                <w:sz w:val="24"/>
                <w:color w:val="000000"/>
              </w:rPr>
              <w:t>7、系统能提供完备的检索功能，且对检索结果可以按照需要进行聚类和排序。</w:t>
            </w:r>
          </w:p>
          <w:p>
            <w:pPr>
              <w:pStyle w:val="null3"/>
              <w:jc w:val="both"/>
            </w:pPr>
            <w:r>
              <w:rPr>
                <w:rFonts w:ascii="仿宋_GB2312" w:hAnsi="仿宋_GB2312" w:cs="仿宋_GB2312" w:eastAsia="仿宋_GB2312"/>
                <w:sz w:val="24"/>
                <w:color w:val="000000"/>
              </w:rPr>
              <w:t>8、能够综合运用多种文献内容关联方法建立文献间关联体系，提供单篇文献详细信息和扩展信息，形成完善的知识网络，提供链接检索。链接检索应当包括以下功能：文献详细信息、参考文献链接、引证文献链接、共引文献链接、二级参考文献链接、二级引证文献链接、相似文献链接、读者推荐文献链接、相关文献作者链接、相关文献机构链接。</w:t>
            </w:r>
          </w:p>
          <w:p>
            <w:pPr>
              <w:pStyle w:val="null3"/>
              <w:jc w:val="both"/>
            </w:pPr>
            <w:r>
              <w:rPr>
                <w:rFonts w:ascii="仿宋_GB2312" w:hAnsi="仿宋_GB2312" w:cs="仿宋_GB2312" w:eastAsia="仿宋_GB2312"/>
                <w:sz w:val="24"/>
                <w:color w:val="000000"/>
              </w:rPr>
              <w:t>9、提供多级目录导航，能够快速定位到页。</w:t>
            </w:r>
          </w:p>
          <w:p>
            <w:pPr>
              <w:pStyle w:val="null3"/>
              <w:jc w:val="both"/>
            </w:pPr>
            <w:r>
              <w:rPr>
                <w:rFonts w:ascii="仿宋_GB2312" w:hAnsi="仿宋_GB2312" w:cs="仿宋_GB2312" w:eastAsia="仿宋_GB2312"/>
                <w:sz w:val="24"/>
                <w:color w:val="000000"/>
              </w:rPr>
              <w:t>10、全文信息完全的数字化，免费提供具有自主知识产权的阅读软件，能够实现期刊论文原始版面结构与样式不失真的显示与打印。</w:t>
            </w:r>
          </w:p>
          <w:p>
            <w:pPr>
              <w:pStyle w:val="null3"/>
              <w:jc w:val="both"/>
            </w:pPr>
            <w:r>
              <w:rPr>
                <w:rFonts w:ascii="仿宋_GB2312" w:hAnsi="仿宋_GB2312" w:cs="仿宋_GB2312" w:eastAsia="仿宋_GB2312"/>
                <w:sz w:val="24"/>
                <w:color w:val="000000"/>
              </w:rPr>
              <w:t>11、数据格式：自定义CAJ加密格式同时支持PDF格式。对于图像格式能实现OCR识别转文本。</w:t>
            </w:r>
          </w:p>
          <w:p>
            <w:pPr>
              <w:pStyle w:val="null3"/>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4</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资质及版权要求</w:t>
            </w:r>
          </w:p>
          <w:p>
            <w:pPr>
              <w:pStyle w:val="null3"/>
              <w:jc w:val="both"/>
            </w:pPr>
            <w:r>
              <w:rPr>
                <w:rFonts w:ascii="仿宋_GB2312" w:hAnsi="仿宋_GB2312" w:cs="仿宋_GB2312" w:eastAsia="仿宋_GB2312"/>
                <w:sz w:val="24"/>
                <w:color w:val="000000"/>
              </w:rPr>
              <w:t>1、供应商提供的所有资源必须为正版且彻底解决版权，数据来源合理合法，所有内容均为自有产品或者有销售该产品的合法授权。所提供数据不得是通过破解，盗窃他人数据等非法手段而来。保证院方今后电子资源的使用不受侵权问题的干扰。</w:t>
            </w:r>
          </w:p>
          <w:p>
            <w:pPr>
              <w:pStyle w:val="null3"/>
              <w:jc w:val="both"/>
            </w:pPr>
            <w:r>
              <w:rPr>
                <w:rFonts w:ascii="仿宋_GB2312" w:hAnsi="仿宋_GB2312" w:cs="仿宋_GB2312" w:eastAsia="仿宋_GB2312"/>
                <w:sz w:val="24"/>
                <w:color w:val="000000"/>
              </w:rPr>
              <w:t>2、供应商应提供的期刊资源须具备正式出版物标准刊号。</w:t>
            </w:r>
          </w:p>
          <w:p>
            <w:pPr>
              <w:pStyle w:val="null3"/>
              <w:jc w:val="both"/>
            </w:pPr>
            <w:r>
              <w:rPr>
                <w:rFonts w:ascii="仿宋_GB2312" w:hAnsi="仿宋_GB2312" w:cs="仿宋_GB2312" w:eastAsia="仿宋_GB2312"/>
                <w:sz w:val="24"/>
                <w:color w:val="000000"/>
              </w:rPr>
              <w:t>3、供应商能够保证学院对所购买的所有内容可以进行下载、打印、复制等操作。</w:t>
            </w:r>
          </w:p>
          <w:p>
            <w:pPr>
              <w:pStyle w:val="null3"/>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5</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服务要求</w:t>
            </w:r>
          </w:p>
          <w:p>
            <w:pPr>
              <w:pStyle w:val="null3"/>
              <w:jc w:val="both"/>
            </w:pPr>
            <w:r>
              <w:rPr>
                <w:rFonts w:ascii="仿宋_GB2312" w:hAnsi="仿宋_GB2312" w:cs="仿宋_GB2312" w:eastAsia="仿宋_GB2312"/>
                <w:sz w:val="24"/>
                <w:color w:val="000000"/>
              </w:rPr>
              <w:t>1、供应商在陕西当地有售后服务机构或办事处，服务期限内能够提供免费的售后服务，包含但不限于数据安装、应用培训等售后服务。</w:t>
            </w:r>
          </w:p>
          <w:p>
            <w:pPr>
              <w:pStyle w:val="null3"/>
              <w:jc w:val="both"/>
            </w:pPr>
            <w:r>
              <w:rPr>
                <w:rFonts w:ascii="仿宋_GB2312" w:hAnsi="仿宋_GB2312" w:cs="仿宋_GB2312" w:eastAsia="仿宋_GB2312"/>
                <w:sz w:val="24"/>
                <w:color w:val="000000"/>
              </w:rPr>
              <w:t>2、对于学院原因造成的产品使用故障，能够提供通过电话支持、网络服务等方式，协助用户排查解决，特殊情况下可派技术人员上门协助解决。对于产品本身原因造成的使用故障由公司负责免费排除。</w:t>
            </w:r>
          </w:p>
          <w:p>
            <w:pPr>
              <w:pStyle w:val="null3"/>
              <w:jc w:val="both"/>
            </w:pPr>
            <w:r>
              <w:rPr>
                <w:rFonts w:ascii="仿宋_GB2312" w:hAnsi="仿宋_GB2312" w:cs="仿宋_GB2312" w:eastAsia="仿宋_GB2312"/>
                <w:sz w:val="24"/>
                <w:color w:val="000000"/>
              </w:rPr>
              <w:t>3、使用出现故障时，工作时间内，网络服务、电话服务的响应时间小于2小时，需要上门解决时，能够在24小时内到达现场进行协调解决。</w:t>
            </w:r>
          </w:p>
          <w:p>
            <w:pPr>
              <w:pStyle w:val="null3"/>
              <w:jc w:val="both"/>
            </w:pPr>
            <w:r>
              <w:rPr>
                <w:rFonts w:ascii="仿宋_GB2312" w:hAnsi="仿宋_GB2312" w:cs="仿宋_GB2312" w:eastAsia="仿宋_GB2312"/>
                <w:sz w:val="24"/>
                <w:color w:val="000000"/>
              </w:rPr>
              <w:t>4、镜像数据丢失后，供应商能够免费提供数据丢失后的恢复服务</w:t>
            </w:r>
          </w:p>
          <w:p>
            <w:pPr>
              <w:pStyle w:val="null3"/>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6</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数据加工质量要求</w:t>
            </w:r>
            <w:r>
              <w:rPr>
                <w:rFonts w:ascii="仿宋_GB2312" w:hAnsi="仿宋_GB2312" w:cs="仿宋_GB2312" w:eastAsia="仿宋_GB2312"/>
                <w:sz w:val="24"/>
                <w:b/>
                <w:color w:val="000000"/>
              </w:rPr>
              <w:t>(参数)</w:t>
            </w:r>
          </w:p>
          <w:tbl>
            <w:tblPr>
              <w:tblBorders>
                <w:top w:val="none" w:color="000000" w:sz="4"/>
                <w:left w:val="none" w:color="000000" w:sz="4"/>
                <w:bottom w:val="none" w:color="000000" w:sz="4"/>
                <w:right w:val="none" w:color="000000" w:sz="4"/>
                <w:insideH w:val="none"/>
                <w:insideV w:val="none"/>
              </w:tblBorders>
            </w:tblPr>
            <w:tblGrid>
              <w:gridCol w:w="190"/>
              <w:gridCol w:w="241"/>
              <w:gridCol w:w="544"/>
              <w:gridCol w:w="1032"/>
              <w:gridCol w:w="534"/>
            </w:tblGrid>
            <w:tr>
              <w:tc>
                <w:tcPr>
                  <w:tcW w:type="dxa" w:w="2007"/>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项目</w:t>
                  </w:r>
                </w:p>
              </w:tc>
              <w:tc>
                <w:tcPr>
                  <w:tcW w:type="dxa" w:w="5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指标</w:t>
                  </w:r>
                </w:p>
              </w:tc>
            </w:tr>
            <w:tr>
              <w:tc>
                <w:tcPr>
                  <w:tcW w:type="dxa" w:w="1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资源加工</w:t>
                  </w:r>
                </w:p>
              </w:tc>
              <w:tc>
                <w:tcPr>
                  <w:tcW w:type="dxa" w:w="2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著录</w:t>
                  </w:r>
                </w:p>
              </w:tc>
              <w:tc>
                <w:tcPr>
                  <w:tcW w:type="dxa" w:w="157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串域、漏标、多标等错误</w:t>
                  </w:r>
                </w:p>
              </w:tc>
              <w:tc>
                <w:tcPr>
                  <w:tcW w:type="dxa" w:w="5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小于</w:t>
                  </w:r>
                  <w:r>
                    <w:rPr>
                      <w:rFonts w:ascii="仿宋_GB2312" w:hAnsi="仿宋_GB2312" w:cs="仿宋_GB2312" w:eastAsia="仿宋_GB2312"/>
                      <w:sz w:val="24"/>
                      <w:color w:val="000000"/>
                    </w:rPr>
                    <w:t>0.5‰</w:t>
                  </w:r>
                </w:p>
              </w:tc>
            </w:tr>
            <w:tr>
              <w:tc>
                <w:tcPr>
                  <w:tcW w:type="dxa" w:w="190"/>
                  <w:vMerge/>
                  <w:tcBorders>
                    <w:top w:val="none" w:color="000000" w:sz="4"/>
                    <w:left w:val="single" w:color="000000" w:sz="4"/>
                    <w:bottom w:val="single" w:color="000000" w:sz="4"/>
                    <w:right w:val="single" w:color="000000" w:sz="4"/>
                  </w:tcBorders>
                </w:tcPr>
                <w:p/>
              </w:tc>
              <w:tc>
                <w:tcPr>
                  <w:tcW w:type="dxa" w:w="241"/>
                  <w:vMerge/>
                  <w:tcBorders>
                    <w:top w:val="none" w:color="000000" w:sz="4"/>
                    <w:left w:val="single" w:color="000000" w:sz="4"/>
                    <w:bottom w:val="single" w:color="000000" w:sz="4"/>
                    <w:right w:val="single" w:color="000000" w:sz="4"/>
                  </w:tcBorders>
                </w:tcPr>
                <w:p/>
              </w:tc>
              <w:tc>
                <w:tcPr>
                  <w:tcW w:type="dxa" w:w="157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中文题名著录文字错误率</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小于</w:t>
                  </w:r>
                  <w:r>
                    <w:rPr>
                      <w:rFonts w:ascii="仿宋_GB2312" w:hAnsi="仿宋_GB2312" w:cs="仿宋_GB2312" w:eastAsia="仿宋_GB2312"/>
                      <w:sz w:val="24"/>
                      <w:color w:val="000000"/>
                    </w:rPr>
                    <w:t>0.5‰</w:t>
                  </w:r>
                </w:p>
              </w:tc>
            </w:tr>
            <w:tr>
              <w:tc>
                <w:tcPr>
                  <w:tcW w:type="dxa" w:w="190"/>
                  <w:vMerge/>
                  <w:tcBorders>
                    <w:top w:val="none" w:color="000000" w:sz="4"/>
                    <w:left w:val="single" w:color="000000" w:sz="4"/>
                    <w:bottom w:val="single" w:color="000000" w:sz="4"/>
                    <w:right w:val="single" w:color="000000" w:sz="4"/>
                  </w:tcBorders>
                </w:tcPr>
                <w:p/>
              </w:tc>
              <w:tc>
                <w:tcPr>
                  <w:tcW w:type="dxa" w:w="241"/>
                  <w:vMerge/>
                  <w:tcBorders>
                    <w:top w:val="none" w:color="000000" w:sz="4"/>
                    <w:left w:val="single" w:color="000000" w:sz="4"/>
                    <w:bottom w:val="single" w:color="000000" w:sz="4"/>
                    <w:right w:val="single" w:color="000000" w:sz="4"/>
                  </w:tcBorders>
                </w:tcPr>
                <w:p/>
              </w:tc>
              <w:tc>
                <w:tcPr>
                  <w:tcW w:type="dxa" w:w="157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其他语种题名著录文字错误率</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小于</w:t>
                  </w:r>
                  <w:r>
                    <w:rPr>
                      <w:rFonts w:ascii="仿宋_GB2312" w:hAnsi="仿宋_GB2312" w:cs="仿宋_GB2312" w:eastAsia="仿宋_GB2312"/>
                      <w:sz w:val="24"/>
                      <w:color w:val="000000"/>
                    </w:rPr>
                    <w:t>0.8‰</w:t>
                  </w:r>
                </w:p>
              </w:tc>
            </w:tr>
            <w:tr>
              <w:tc>
                <w:tcPr>
                  <w:tcW w:type="dxa" w:w="190"/>
                  <w:vMerge/>
                  <w:tcBorders>
                    <w:top w:val="none" w:color="000000" w:sz="4"/>
                    <w:left w:val="single" w:color="000000" w:sz="4"/>
                    <w:bottom w:val="single" w:color="000000" w:sz="4"/>
                    <w:right w:val="single" w:color="000000" w:sz="4"/>
                  </w:tcBorders>
                </w:tcPr>
                <w:p/>
              </w:tc>
              <w:tc>
                <w:tcPr>
                  <w:tcW w:type="dxa" w:w="241"/>
                  <w:vMerge/>
                  <w:tcBorders>
                    <w:top w:val="none" w:color="000000" w:sz="4"/>
                    <w:left w:val="single" w:color="000000" w:sz="4"/>
                    <w:bottom w:val="single" w:color="000000" w:sz="4"/>
                    <w:right w:val="single" w:color="000000" w:sz="4"/>
                  </w:tcBorders>
                </w:tcPr>
                <w:p/>
              </w:tc>
              <w:tc>
                <w:tcPr>
                  <w:tcW w:type="dxa" w:w="157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中文摘要、英文摘要著录文字错误率</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小于</w:t>
                  </w:r>
                  <w:r>
                    <w:rPr>
                      <w:rFonts w:ascii="仿宋_GB2312" w:hAnsi="仿宋_GB2312" w:cs="仿宋_GB2312" w:eastAsia="仿宋_GB2312"/>
                      <w:sz w:val="24"/>
                      <w:color w:val="000000"/>
                    </w:rPr>
                    <w:t>0.5‰</w:t>
                  </w:r>
                </w:p>
              </w:tc>
            </w:tr>
            <w:tr>
              <w:tc>
                <w:tcPr>
                  <w:tcW w:type="dxa" w:w="190"/>
                  <w:vMerge/>
                  <w:tcBorders>
                    <w:top w:val="none" w:color="000000" w:sz="4"/>
                    <w:left w:val="single" w:color="000000" w:sz="4"/>
                    <w:bottom w:val="single" w:color="000000" w:sz="4"/>
                    <w:right w:val="single" w:color="000000" w:sz="4"/>
                  </w:tcBorders>
                </w:tcPr>
                <w:p/>
              </w:tc>
              <w:tc>
                <w:tcPr>
                  <w:tcW w:type="dxa" w:w="241"/>
                  <w:vMerge/>
                  <w:tcBorders>
                    <w:top w:val="none" w:color="000000" w:sz="4"/>
                    <w:left w:val="single" w:color="000000" w:sz="4"/>
                    <w:bottom w:val="single" w:color="000000" w:sz="4"/>
                    <w:right w:val="single" w:color="000000" w:sz="4"/>
                  </w:tcBorders>
                </w:tcPr>
                <w:p/>
              </w:tc>
              <w:tc>
                <w:tcPr>
                  <w:tcW w:type="dxa" w:w="157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基金著录文字错误率</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小于</w:t>
                  </w:r>
                  <w:r>
                    <w:rPr>
                      <w:rFonts w:ascii="仿宋_GB2312" w:hAnsi="仿宋_GB2312" w:cs="仿宋_GB2312" w:eastAsia="仿宋_GB2312"/>
                      <w:sz w:val="24"/>
                      <w:color w:val="000000"/>
                    </w:rPr>
                    <w:t>0.5‰</w:t>
                  </w:r>
                </w:p>
              </w:tc>
            </w:tr>
            <w:tr>
              <w:tc>
                <w:tcPr>
                  <w:tcW w:type="dxa" w:w="190"/>
                  <w:vMerge/>
                  <w:tcBorders>
                    <w:top w:val="none" w:color="000000" w:sz="4"/>
                    <w:left w:val="single" w:color="000000" w:sz="4"/>
                    <w:bottom w:val="single" w:color="000000" w:sz="4"/>
                    <w:right w:val="single" w:color="000000" w:sz="4"/>
                  </w:tcBorders>
                </w:tcPr>
                <w:p/>
              </w:tc>
              <w:tc>
                <w:tcPr>
                  <w:tcW w:type="dxa" w:w="241"/>
                  <w:vMerge/>
                  <w:tcBorders>
                    <w:top w:val="none" w:color="000000" w:sz="4"/>
                    <w:left w:val="single" w:color="000000" w:sz="4"/>
                    <w:bottom w:val="single" w:color="000000" w:sz="4"/>
                    <w:right w:val="single" w:color="000000" w:sz="4"/>
                  </w:tcBorders>
                </w:tcPr>
                <w:p/>
              </w:tc>
              <w:tc>
                <w:tcPr>
                  <w:tcW w:type="dxa" w:w="5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扫描版数据</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篇名、作者文字错误率</w:t>
                  </w:r>
                </w:p>
              </w:tc>
              <w:tc>
                <w:tcPr>
                  <w:tcW w:type="dxa" w:w="5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小于</w:t>
                  </w:r>
                  <w:r>
                    <w:rPr>
                      <w:rFonts w:ascii="仿宋_GB2312" w:hAnsi="仿宋_GB2312" w:cs="仿宋_GB2312" w:eastAsia="仿宋_GB2312"/>
                      <w:sz w:val="24"/>
                      <w:color w:val="000000"/>
                    </w:rPr>
                    <w:t>0.5‰</w:t>
                  </w:r>
                </w:p>
              </w:tc>
            </w:tr>
            <w:tr>
              <w:tc>
                <w:tcPr>
                  <w:tcW w:type="dxa" w:w="190"/>
                  <w:vMerge/>
                  <w:tcBorders>
                    <w:top w:val="none" w:color="000000" w:sz="4"/>
                    <w:left w:val="single" w:color="000000" w:sz="4"/>
                    <w:bottom w:val="single" w:color="000000" w:sz="4"/>
                    <w:right w:val="single" w:color="000000" w:sz="4"/>
                  </w:tcBorders>
                </w:tcPr>
                <w:p/>
              </w:tc>
              <w:tc>
                <w:tcPr>
                  <w:tcW w:type="dxa" w:w="241"/>
                  <w:vMerge/>
                  <w:tcBorders>
                    <w:top w:val="none" w:color="000000" w:sz="4"/>
                    <w:left w:val="single" w:color="000000" w:sz="4"/>
                    <w:bottom w:val="single" w:color="000000" w:sz="4"/>
                    <w:right w:val="single" w:color="000000" w:sz="4"/>
                  </w:tcBorders>
                </w:tcPr>
                <w:p/>
              </w:tc>
              <w:tc>
                <w:tcPr>
                  <w:tcW w:type="dxa" w:w="544"/>
                  <w:vMerge/>
                  <w:tcBorders>
                    <w:top w:val="none" w:color="000000" w:sz="4"/>
                    <w:left w:val="single" w:color="000000" w:sz="4"/>
                    <w:bottom w:val="single" w:color="000000" w:sz="4"/>
                    <w:right w:val="single" w:color="000000" w:sz="4"/>
                  </w:tcBorders>
                </w:tcP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参考文献文字错误率</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小于</w:t>
                  </w:r>
                  <w:r>
                    <w:rPr>
                      <w:rFonts w:ascii="仿宋_GB2312" w:hAnsi="仿宋_GB2312" w:cs="仿宋_GB2312" w:eastAsia="仿宋_GB2312"/>
                      <w:sz w:val="24"/>
                      <w:color w:val="000000"/>
                    </w:rPr>
                    <w:t>0.1%</w:t>
                  </w:r>
                </w:p>
              </w:tc>
            </w:tr>
            <w:tr>
              <w:tc>
                <w:tcPr>
                  <w:tcW w:type="dxa" w:w="190"/>
                  <w:vMerge/>
                  <w:tcBorders>
                    <w:top w:val="none" w:color="000000" w:sz="4"/>
                    <w:left w:val="single" w:color="000000" w:sz="4"/>
                    <w:bottom w:val="single" w:color="000000" w:sz="4"/>
                    <w:right w:val="single" w:color="000000" w:sz="4"/>
                  </w:tcBorders>
                </w:tcPr>
                <w:p/>
              </w:tc>
              <w:tc>
                <w:tcPr>
                  <w:tcW w:type="dxa" w:w="241"/>
                  <w:vMerge/>
                  <w:tcBorders>
                    <w:top w:val="none" w:color="000000" w:sz="4"/>
                    <w:left w:val="single" w:color="000000" w:sz="4"/>
                    <w:bottom w:val="single" w:color="000000" w:sz="4"/>
                    <w:right w:val="single" w:color="000000" w:sz="4"/>
                  </w:tcBorders>
                </w:tcPr>
                <w:p/>
              </w:tc>
              <w:tc>
                <w:tcPr>
                  <w:tcW w:type="dxa" w:w="544"/>
                  <w:vMerge/>
                  <w:tcBorders>
                    <w:top w:val="none" w:color="000000" w:sz="4"/>
                    <w:left w:val="single" w:color="000000" w:sz="4"/>
                    <w:bottom w:val="single" w:color="000000" w:sz="4"/>
                    <w:right w:val="single" w:color="000000" w:sz="4"/>
                  </w:tcBorders>
                </w:tcP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其他著录项文字错误率</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小于</w:t>
                  </w:r>
                  <w:r>
                    <w:rPr>
                      <w:rFonts w:ascii="仿宋_GB2312" w:hAnsi="仿宋_GB2312" w:cs="仿宋_GB2312" w:eastAsia="仿宋_GB2312"/>
                      <w:sz w:val="24"/>
                      <w:color w:val="000000"/>
                    </w:rPr>
                    <w:t>0.5‰</w:t>
                  </w:r>
                </w:p>
              </w:tc>
            </w:tr>
            <w:tr>
              <w:tc>
                <w:tcPr>
                  <w:tcW w:type="dxa" w:w="190"/>
                  <w:vMerge/>
                  <w:tcBorders>
                    <w:top w:val="none" w:color="000000" w:sz="4"/>
                    <w:left w:val="single" w:color="000000" w:sz="4"/>
                    <w:bottom w:val="single" w:color="000000" w:sz="4"/>
                    <w:right w:val="single" w:color="000000" w:sz="4"/>
                  </w:tcBorders>
                </w:tcPr>
                <w:p/>
              </w:tc>
              <w:tc>
                <w:tcPr>
                  <w:tcW w:type="dxa" w:w="2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标引</w:t>
                  </w:r>
                </w:p>
              </w:tc>
              <w:tc>
                <w:tcPr>
                  <w:tcW w:type="dxa" w:w="5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主题词标引</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正确率</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≥90%</w:t>
                  </w:r>
                </w:p>
              </w:tc>
            </w:tr>
            <w:tr>
              <w:tc>
                <w:tcPr>
                  <w:tcW w:type="dxa" w:w="190"/>
                  <w:vMerge/>
                  <w:tcBorders>
                    <w:top w:val="none" w:color="000000" w:sz="4"/>
                    <w:left w:val="single" w:color="000000" w:sz="4"/>
                    <w:bottom w:val="single" w:color="000000" w:sz="4"/>
                    <w:right w:val="single" w:color="000000" w:sz="4"/>
                  </w:tcBorders>
                </w:tcPr>
                <w:p/>
              </w:tc>
              <w:tc>
                <w:tcPr>
                  <w:tcW w:type="dxa" w:w="241"/>
                  <w:vMerge/>
                  <w:tcBorders>
                    <w:top w:val="none" w:color="000000" w:sz="4"/>
                    <w:left w:val="single" w:color="000000" w:sz="4"/>
                    <w:bottom w:val="single" w:color="000000" w:sz="4"/>
                    <w:right w:val="single" w:color="000000" w:sz="4"/>
                  </w:tcBorders>
                </w:tcPr>
                <w:p/>
              </w:tc>
              <w:tc>
                <w:tcPr>
                  <w:tcW w:type="dxa" w:w="544"/>
                  <w:vMerge/>
                  <w:tcBorders>
                    <w:top w:val="none" w:color="000000" w:sz="4"/>
                    <w:left w:val="single" w:color="000000" w:sz="4"/>
                    <w:bottom w:val="single" w:color="000000" w:sz="4"/>
                    <w:right w:val="single" w:color="000000" w:sz="4"/>
                  </w:tcBorders>
                </w:tcP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一致度</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≥90%</w:t>
                  </w:r>
                </w:p>
              </w:tc>
            </w:tr>
            <w:tr>
              <w:tc>
                <w:tcPr>
                  <w:tcW w:type="dxa" w:w="190"/>
                  <w:vMerge/>
                  <w:tcBorders>
                    <w:top w:val="none" w:color="000000" w:sz="4"/>
                    <w:left w:val="single" w:color="000000" w:sz="4"/>
                    <w:bottom w:val="single" w:color="000000" w:sz="4"/>
                    <w:right w:val="single" w:color="000000" w:sz="4"/>
                  </w:tcBorders>
                </w:tcPr>
                <w:p/>
              </w:tc>
              <w:tc>
                <w:tcPr>
                  <w:tcW w:type="dxa" w:w="241"/>
                  <w:vMerge/>
                  <w:tcBorders>
                    <w:top w:val="none" w:color="000000" w:sz="4"/>
                    <w:left w:val="single" w:color="000000" w:sz="4"/>
                    <w:bottom w:val="single" w:color="000000" w:sz="4"/>
                    <w:right w:val="single" w:color="000000" w:sz="4"/>
                  </w:tcBorders>
                </w:tcPr>
                <w:p/>
              </w:tc>
              <w:tc>
                <w:tcPr>
                  <w:tcW w:type="dxa" w:w="5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关键词标引</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正确率</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≥90%</w:t>
                  </w:r>
                </w:p>
              </w:tc>
            </w:tr>
            <w:tr>
              <w:tc>
                <w:tcPr>
                  <w:tcW w:type="dxa" w:w="190"/>
                  <w:vMerge/>
                  <w:tcBorders>
                    <w:top w:val="none" w:color="000000" w:sz="4"/>
                    <w:left w:val="single" w:color="000000" w:sz="4"/>
                    <w:bottom w:val="single" w:color="000000" w:sz="4"/>
                    <w:right w:val="single" w:color="000000" w:sz="4"/>
                  </w:tcBorders>
                </w:tcPr>
                <w:p/>
              </w:tc>
              <w:tc>
                <w:tcPr>
                  <w:tcW w:type="dxa" w:w="241"/>
                  <w:vMerge/>
                  <w:tcBorders>
                    <w:top w:val="none" w:color="000000" w:sz="4"/>
                    <w:left w:val="single" w:color="000000" w:sz="4"/>
                    <w:bottom w:val="single" w:color="000000" w:sz="4"/>
                    <w:right w:val="single" w:color="000000" w:sz="4"/>
                  </w:tcBorders>
                </w:tcPr>
                <w:p/>
              </w:tc>
              <w:tc>
                <w:tcPr>
                  <w:tcW w:type="dxa" w:w="544"/>
                  <w:vMerge/>
                  <w:tcBorders>
                    <w:top w:val="none" w:color="000000" w:sz="4"/>
                    <w:left w:val="single" w:color="000000" w:sz="4"/>
                    <w:bottom w:val="single" w:color="000000" w:sz="4"/>
                    <w:right w:val="single" w:color="000000" w:sz="4"/>
                  </w:tcBorders>
                </w:tcP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一致度</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≥90%</w:t>
                  </w:r>
                </w:p>
              </w:tc>
            </w:tr>
            <w:tr>
              <w:tc>
                <w:tcPr>
                  <w:tcW w:type="dxa" w:w="190"/>
                  <w:vMerge/>
                  <w:tcBorders>
                    <w:top w:val="none" w:color="000000" w:sz="4"/>
                    <w:left w:val="single" w:color="000000" w:sz="4"/>
                    <w:bottom w:val="single" w:color="000000" w:sz="4"/>
                    <w:right w:val="single" w:color="000000" w:sz="4"/>
                  </w:tcBorders>
                </w:tcPr>
                <w:p/>
              </w:tc>
              <w:tc>
                <w:tcPr>
                  <w:tcW w:type="dxa" w:w="241"/>
                  <w:vMerge/>
                  <w:tcBorders>
                    <w:top w:val="none" w:color="000000" w:sz="4"/>
                    <w:left w:val="single" w:color="000000" w:sz="4"/>
                    <w:bottom w:val="single" w:color="000000" w:sz="4"/>
                    <w:right w:val="single" w:color="000000" w:sz="4"/>
                  </w:tcBorders>
                </w:tcPr>
                <w:p/>
              </w:tc>
              <w:tc>
                <w:tcPr>
                  <w:tcW w:type="dxa" w:w="5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中国图书馆分类法分类号</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标引正确率</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≥90%</w:t>
                  </w:r>
                </w:p>
              </w:tc>
            </w:tr>
            <w:tr>
              <w:tc>
                <w:tcPr>
                  <w:tcW w:type="dxa" w:w="190"/>
                  <w:vMerge/>
                  <w:tcBorders>
                    <w:top w:val="none" w:color="000000" w:sz="4"/>
                    <w:left w:val="single" w:color="000000" w:sz="4"/>
                    <w:bottom w:val="single" w:color="000000" w:sz="4"/>
                    <w:right w:val="single" w:color="000000" w:sz="4"/>
                  </w:tcBorders>
                </w:tcPr>
                <w:p/>
              </w:tc>
              <w:tc>
                <w:tcPr>
                  <w:tcW w:type="dxa" w:w="241"/>
                  <w:vMerge/>
                  <w:tcBorders>
                    <w:top w:val="none" w:color="000000" w:sz="4"/>
                    <w:left w:val="single" w:color="000000" w:sz="4"/>
                    <w:bottom w:val="single" w:color="000000" w:sz="4"/>
                    <w:right w:val="single" w:color="000000" w:sz="4"/>
                  </w:tcBorders>
                </w:tcPr>
                <w:p/>
              </w:tc>
              <w:tc>
                <w:tcPr>
                  <w:tcW w:type="dxa" w:w="544"/>
                  <w:vMerge/>
                  <w:tcBorders>
                    <w:top w:val="none" w:color="000000" w:sz="4"/>
                    <w:left w:val="single" w:color="000000" w:sz="4"/>
                    <w:bottom w:val="single" w:color="000000" w:sz="4"/>
                    <w:right w:val="single" w:color="000000" w:sz="4"/>
                  </w:tcBorders>
                </w:tcP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标引一致度</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≥90%</w:t>
                  </w:r>
                </w:p>
              </w:tc>
            </w:tr>
            <w:tr>
              <w:tc>
                <w:tcPr>
                  <w:tcW w:type="dxa" w:w="190"/>
                  <w:vMerge/>
                  <w:tcBorders>
                    <w:top w:val="none" w:color="000000" w:sz="4"/>
                    <w:left w:val="single" w:color="000000" w:sz="4"/>
                    <w:bottom w:val="single" w:color="000000" w:sz="4"/>
                    <w:right w:val="single" w:color="000000" w:sz="4"/>
                  </w:tcBorders>
                </w:tcPr>
                <w:p/>
              </w:tc>
              <w:tc>
                <w:tcPr>
                  <w:tcW w:type="dxa" w:w="2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印</w:t>
                  </w:r>
                </w:p>
                <w:p>
                  <w:pPr>
                    <w:pStyle w:val="null3"/>
                    <w:jc w:val="center"/>
                  </w:pPr>
                  <w:r>
                    <w:rPr>
                      <w:rFonts w:ascii="仿宋_GB2312" w:hAnsi="仿宋_GB2312" w:cs="仿宋_GB2312" w:eastAsia="仿宋_GB2312"/>
                      <w:sz w:val="24"/>
                      <w:color w:val="000000"/>
                    </w:rPr>
                    <w:t>刷</w:t>
                  </w:r>
                </w:p>
                <w:p>
                  <w:pPr>
                    <w:pStyle w:val="null3"/>
                    <w:jc w:val="center"/>
                  </w:pPr>
                  <w:r>
                    <w:rPr>
                      <w:rFonts w:ascii="仿宋_GB2312" w:hAnsi="仿宋_GB2312" w:cs="仿宋_GB2312" w:eastAsia="仿宋_GB2312"/>
                      <w:sz w:val="24"/>
                      <w:color w:val="000000"/>
                    </w:rPr>
                    <w:t>版</w:t>
                  </w:r>
                </w:p>
                <w:p>
                  <w:pPr>
                    <w:pStyle w:val="null3"/>
                    <w:jc w:val="center"/>
                  </w:pPr>
                  <w:r>
                    <w:rPr>
                      <w:rFonts w:ascii="仿宋_GB2312" w:hAnsi="仿宋_GB2312" w:cs="仿宋_GB2312" w:eastAsia="仿宋_GB2312"/>
                      <w:sz w:val="24"/>
                      <w:color w:val="000000"/>
                    </w:rPr>
                    <w:t>全</w:t>
                  </w:r>
                </w:p>
                <w:p>
                  <w:pPr>
                    <w:pStyle w:val="null3"/>
                    <w:jc w:val="center"/>
                  </w:pPr>
                  <w:r>
                    <w:rPr>
                      <w:rFonts w:ascii="仿宋_GB2312" w:hAnsi="仿宋_GB2312" w:cs="仿宋_GB2312" w:eastAsia="仿宋_GB2312"/>
                      <w:sz w:val="24"/>
                      <w:color w:val="000000"/>
                    </w:rPr>
                    <w:t>文</w:t>
                  </w:r>
                </w:p>
              </w:tc>
              <w:tc>
                <w:tcPr>
                  <w:tcW w:type="dxa" w:w="157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文字与灰度图像扫描分辨率</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不小于</w:t>
                  </w:r>
                  <w:r>
                    <w:rPr>
                      <w:rFonts w:ascii="仿宋_GB2312" w:hAnsi="仿宋_GB2312" w:cs="仿宋_GB2312" w:eastAsia="仿宋_GB2312"/>
                      <w:sz w:val="24"/>
                      <w:color w:val="000000"/>
                    </w:rPr>
                    <w:t>300dpi</w:t>
                  </w:r>
                </w:p>
              </w:tc>
            </w:tr>
            <w:tr>
              <w:tc>
                <w:tcPr>
                  <w:tcW w:type="dxa" w:w="190"/>
                  <w:vMerge/>
                  <w:tcBorders>
                    <w:top w:val="none" w:color="000000" w:sz="4"/>
                    <w:left w:val="single" w:color="000000" w:sz="4"/>
                    <w:bottom w:val="single" w:color="000000" w:sz="4"/>
                    <w:right w:val="single" w:color="000000" w:sz="4"/>
                  </w:tcBorders>
                </w:tcPr>
                <w:p/>
              </w:tc>
              <w:tc>
                <w:tcPr>
                  <w:tcW w:type="dxa" w:w="241"/>
                  <w:vMerge/>
                  <w:tcBorders>
                    <w:top w:val="none" w:color="000000" w:sz="4"/>
                    <w:left w:val="single" w:color="000000" w:sz="4"/>
                    <w:bottom w:val="single" w:color="000000" w:sz="4"/>
                    <w:right w:val="single" w:color="000000" w:sz="4"/>
                  </w:tcBorders>
                </w:tcPr>
                <w:p/>
              </w:tc>
              <w:tc>
                <w:tcPr>
                  <w:tcW w:type="dxa" w:w="157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彩色图像扫描分辨率</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不小于</w:t>
                  </w:r>
                  <w:r>
                    <w:rPr>
                      <w:rFonts w:ascii="仿宋_GB2312" w:hAnsi="仿宋_GB2312" w:cs="仿宋_GB2312" w:eastAsia="仿宋_GB2312"/>
                      <w:sz w:val="24"/>
                      <w:color w:val="000000"/>
                    </w:rPr>
                    <w:t>200dpi</w:t>
                  </w:r>
                </w:p>
              </w:tc>
            </w:tr>
            <w:tr>
              <w:tc>
                <w:tcPr>
                  <w:tcW w:type="dxa" w:w="190"/>
                  <w:vMerge/>
                  <w:tcBorders>
                    <w:top w:val="none" w:color="000000" w:sz="4"/>
                    <w:left w:val="single" w:color="000000" w:sz="4"/>
                    <w:bottom w:val="single" w:color="000000" w:sz="4"/>
                    <w:right w:val="single" w:color="000000" w:sz="4"/>
                  </w:tcBorders>
                </w:tcPr>
                <w:p/>
              </w:tc>
              <w:tc>
                <w:tcPr>
                  <w:tcW w:type="dxa" w:w="241"/>
                  <w:vMerge/>
                  <w:tcBorders>
                    <w:top w:val="none" w:color="000000" w:sz="4"/>
                    <w:left w:val="single" w:color="000000" w:sz="4"/>
                    <w:bottom w:val="single" w:color="000000" w:sz="4"/>
                    <w:right w:val="single" w:color="000000" w:sz="4"/>
                  </w:tcBorders>
                </w:tcPr>
                <w:p/>
              </w:tc>
              <w:tc>
                <w:tcPr>
                  <w:tcW w:type="dxa" w:w="5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图像打印</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文字和灰度图像</w:t>
                  </w:r>
                </w:p>
              </w:tc>
              <w:tc>
                <w:tcPr>
                  <w:tcW w:type="dxa" w:w="5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支持</w:t>
                  </w:r>
                  <w:r>
                    <w:rPr>
                      <w:rFonts w:ascii="仿宋_GB2312" w:hAnsi="仿宋_GB2312" w:cs="仿宋_GB2312" w:eastAsia="仿宋_GB2312"/>
                      <w:sz w:val="24"/>
                      <w:color w:val="000000"/>
                    </w:rPr>
                    <w:t>300dpi的保真打印</w:t>
                  </w:r>
                </w:p>
              </w:tc>
            </w:tr>
            <w:tr>
              <w:tc>
                <w:tcPr>
                  <w:tcW w:type="dxa" w:w="190"/>
                  <w:vMerge/>
                  <w:tcBorders>
                    <w:top w:val="none" w:color="000000" w:sz="4"/>
                    <w:left w:val="single" w:color="000000" w:sz="4"/>
                    <w:bottom w:val="single" w:color="000000" w:sz="4"/>
                    <w:right w:val="single" w:color="000000" w:sz="4"/>
                  </w:tcBorders>
                </w:tcPr>
                <w:p/>
              </w:tc>
              <w:tc>
                <w:tcPr>
                  <w:tcW w:type="dxa" w:w="241"/>
                  <w:vMerge/>
                  <w:tcBorders>
                    <w:top w:val="none" w:color="000000" w:sz="4"/>
                    <w:left w:val="single" w:color="000000" w:sz="4"/>
                    <w:bottom w:val="single" w:color="000000" w:sz="4"/>
                    <w:right w:val="single" w:color="000000" w:sz="4"/>
                  </w:tcBorders>
                </w:tcPr>
                <w:p/>
              </w:tc>
              <w:tc>
                <w:tcPr>
                  <w:tcW w:type="dxa" w:w="544"/>
                  <w:vMerge/>
                  <w:tcBorders>
                    <w:top w:val="none" w:color="000000" w:sz="4"/>
                    <w:left w:val="single" w:color="000000" w:sz="4"/>
                    <w:bottom w:val="single" w:color="000000" w:sz="4"/>
                    <w:right w:val="single" w:color="000000" w:sz="4"/>
                  </w:tcBorders>
                </w:tcP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彩色图片</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支持</w:t>
                  </w:r>
                  <w:r>
                    <w:rPr>
                      <w:rFonts w:ascii="仿宋_GB2312" w:hAnsi="仿宋_GB2312" w:cs="仿宋_GB2312" w:eastAsia="仿宋_GB2312"/>
                      <w:sz w:val="24"/>
                      <w:color w:val="000000"/>
                    </w:rPr>
                    <w:t>200dpi的保真打印</w:t>
                  </w:r>
                </w:p>
              </w:tc>
            </w:tr>
            <w:tr>
              <w:tc>
                <w:tcPr>
                  <w:tcW w:type="dxa" w:w="190"/>
                  <w:vMerge/>
                  <w:tcBorders>
                    <w:top w:val="none" w:color="000000" w:sz="4"/>
                    <w:left w:val="single" w:color="000000" w:sz="4"/>
                    <w:bottom w:val="single" w:color="000000" w:sz="4"/>
                    <w:right w:val="single" w:color="000000" w:sz="4"/>
                  </w:tcBorders>
                </w:tcPr>
                <w:p/>
              </w:tc>
              <w:tc>
                <w:tcPr>
                  <w:tcW w:type="dxa" w:w="241"/>
                  <w:vMerge/>
                  <w:tcBorders>
                    <w:top w:val="none" w:color="000000" w:sz="4"/>
                    <w:left w:val="single" w:color="000000" w:sz="4"/>
                    <w:bottom w:val="single" w:color="000000" w:sz="4"/>
                    <w:right w:val="single" w:color="000000" w:sz="4"/>
                  </w:tcBorders>
                </w:tcPr>
                <w:p/>
              </w:tc>
              <w:tc>
                <w:tcPr>
                  <w:tcW w:type="dxa" w:w="157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页面错误率</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小于</w:t>
                  </w:r>
                  <w:r>
                    <w:rPr>
                      <w:rFonts w:ascii="仿宋_GB2312" w:hAnsi="仿宋_GB2312" w:cs="仿宋_GB2312" w:eastAsia="仿宋_GB2312"/>
                      <w:sz w:val="24"/>
                      <w:color w:val="000000"/>
                    </w:rPr>
                    <w:t>0.5‰</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标的名称：读秀知识库、学习通、汇雅电子图书、超星名师讲坛</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8"/>
                <w:b/>
              </w:rPr>
              <w:t>超星学习通采购技术参数及要求</w:t>
            </w:r>
          </w:p>
          <w:p>
            <w:pPr>
              <w:pStyle w:val="null3"/>
              <w:jc w:val="both"/>
            </w:pPr>
            <w:r>
              <w:rPr>
                <w:rFonts w:ascii="仿宋_GB2312" w:hAnsi="仿宋_GB2312" w:cs="仿宋_GB2312" w:eastAsia="仿宋_GB2312"/>
                <w:sz w:val="24"/>
              </w:rPr>
              <w:t>1、用户可以根据自己的喜好建立本单位的移动端首页，将资源、服务、活动以模块的形 式呈现再首页</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2、提供资源的移动阅读，并可根据自己的阅读兴趣将资源进行重组，建立自己感兴趣的专题、资源域</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3、提供表单引擎、预约引擎、审批引擎和活动引擎服务；用户可以根据自己的需求建立表单采集、预约服务、审批流程及线上阅读活动的建立</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4、为读者提供自己的网络云盘，读者可以将自己感兴趣的资料、阅读感受、记录创新思想等收集至云盘中，为读者永久保留个人空间</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5、建立阅读兴趣小组，让读者的阅读学习不再是一个人的行为</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6、有良好的售后服务。能及时解决数据库使用过程中发生的故障，故障响应时间不超过4小时，故障处理时间不超过24小时，能及时反馈用户在数据库使用过程中提出的问题。</w:t>
            </w:r>
          </w:p>
          <w:p>
            <w:pPr>
              <w:pStyle w:val="null3"/>
              <w:jc w:val="both"/>
            </w:pPr>
            <w:r>
              <w:rPr>
                <w:rFonts w:ascii="仿宋_GB2312" w:hAnsi="仿宋_GB2312" w:cs="仿宋_GB2312" w:eastAsia="仿宋_GB2312"/>
                <w:sz w:val="24"/>
              </w:rPr>
              <w:t>7、能提供上门读者培训服务。</w:t>
            </w:r>
          </w:p>
          <w:p>
            <w:pPr>
              <w:pStyle w:val="null3"/>
              <w:jc w:val="center"/>
            </w:pPr>
            <w:r>
              <w:rPr>
                <w:rFonts w:ascii="仿宋_GB2312" w:hAnsi="仿宋_GB2312" w:cs="仿宋_GB2312" w:eastAsia="仿宋_GB2312"/>
                <w:sz w:val="28"/>
                <w:b/>
              </w:rPr>
              <w:t>读秀知识库采购技术参数及要求</w:t>
            </w:r>
          </w:p>
          <w:p>
            <w:pPr>
              <w:pStyle w:val="null3"/>
              <w:jc w:val="both"/>
            </w:pPr>
            <w:r>
              <w:rPr>
                <w:rFonts w:ascii="仿宋_GB2312" w:hAnsi="仿宋_GB2312" w:cs="仿宋_GB2312" w:eastAsia="仿宋_GB2312"/>
                <w:sz w:val="24"/>
              </w:rPr>
              <w:t>1、保证产品的正版版权，确保产品安全、可靠和先进、及时性。</w:t>
            </w:r>
          </w:p>
          <w:p>
            <w:pPr>
              <w:pStyle w:val="null3"/>
              <w:jc w:val="both"/>
            </w:pPr>
            <w:r>
              <w:rPr>
                <w:rFonts w:ascii="仿宋_GB2312" w:hAnsi="仿宋_GB2312" w:cs="仿宋_GB2312" w:eastAsia="仿宋_GB2312"/>
                <w:sz w:val="24"/>
              </w:rPr>
              <w:t>2、确保搜索平台资源内容丰富，能满足安康学院广大师生的服务需求。</w:t>
            </w:r>
          </w:p>
          <w:p>
            <w:pPr>
              <w:pStyle w:val="null3"/>
              <w:jc w:val="both"/>
            </w:pPr>
            <w:r>
              <w:rPr>
                <w:rFonts w:ascii="仿宋_GB2312" w:hAnsi="仿宋_GB2312" w:cs="仿宋_GB2312" w:eastAsia="仿宋_GB2312"/>
                <w:sz w:val="24"/>
              </w:rPr>
              <w:t>3、保证产品的完整使用权，不得随意限制、更改用户的使用权限。</w:t>
            </w:r>
          </w:p>
          <w:p>
            <w:pPr>
              <w:pStyle w:val="null3"/>
              <w:jc w:val="both"/>
            </w:pPr>
            <w:r>
              <w:rPr>
                <w:rFonts w:ascii="仿宋_GB2312" w:hAnsi="仿宋_GB2312" w:cs="仿宋_GB2312" w:eastAsia="仿宋_GB2312"/>
                <w:sz w:val="24"/>
              </w:rPr>
              <w:t>4、搜索平台功能完善，用户可以检索、浏览、下载资源。</w:t>
            </w:r>
          </w:p>
          <w:p>
            <w:pPr>
              <w:pStyle w:val="null3"/>
              <w:jc w:val="both"/>
            </w:pPr>
            <w:r>
              <w:rPr>
                <w:rFonts w:ascii="仿宋_GB2312" w:hAnsi="仿宋_GB2312" w:cs="仿宋_GB2312" w:eastAsia="仿宋_GB2312"/>
                <w:sz w:val="24"/>
              </w:rPr>
              <w:t>5、能及时更新维护，保证搜索平台的高效、及时性。</w:t>
            </w:r>
          </w:p>
          <w:p>
            <w:pPr>
              <w:pStyle w:val="null3"/>
              <w:jc w:val="both"/>
            </w:pPr>
            <w:r>
              <w:rPr>
                <w:rFonts w:ascii="仿宋_GB2312" w:hAnsi="仿宋_GB2312" w:cs="仿宋_GB2312" w:eastAsia="仿宋_GB2312"/>
                <w:sz w:val="24"/>
              </w:rPr>
              <w:t>6、及时更新本馆馆藏数据，不超过三个工作日。</w:t>
            </w:r>
          </w:p>
          <w:p>
            <w:pPr>
              <w:pStyle w:val="null3"/>
              <w:jc w:val="both"/>
            </w:pPr>
            <w:r>
              <w:rPr>
                <w:rFonts w:ascii="仿宋_GB2312" w:hAnsi="仿宋_GB2312" w:cs="仿宋_GB2312" w:eastAsia="仿宋_GB2312"/>
                <w:sz w:val="24"/>
              </w:rPr>
              <w:t>7、文献传递时，如检索到结果，保证文献传递时间不超过48小时。</w:t>
            </w:r>
          </w:p>
          <w:p>
            <w:pPr>
              <w:pStyle w:val="null3"/>
              <w:jc w:val="both"/>
            </w:pPr>
            <w:r>
              <w:rPr>
                <w:rFonts w:ascii="仿宋_GB2312" w:hAnsi="仿宋_GB2312" w:cs="仿宋_GB2312" w:eastAsia="仿宋_GB2312"/>
                <w:sz w:val="24"/>
              </w:rPr>
              <w:t>8、访问方式：远程访问。</w:t>
            </w:r>
          </w:p>
          <w:p>
            <w:pPr>
              <w:pStyle w:val="null3"/>
              <w:jc w:val="both"/>
            </w:pPr>
            <w:r>
              <w:rPr>
                <w:rFonts w:ascii="仿宋_GB2312" w:hAnsi="仿宋_GB2312" w:cs="仿宋_GB2312" w:eastAsia="仿宋_GB2312"/>
                <w:sz w:val="24"/>
              </w:rPr>
              <w:t>9、能提供优良的软件售后服务，及时维护搜索平台使用过程中发生的故障，保证用户使用不受影响。故障响应时间不超过4小时，故障处理时间不超过24小时。</w:t>
            </w:r>
          </w:p>
          <w:p>
            <w:pPr>
              <w:pStyle w:val="null3"/>
              <w:jc w:val="center"/>
            </w:pPr>
            <w:r>
              <w:rPr>
                <w:rFonts w:ascii="仿宋_GB2312" w:hAnsi="仿宋_GB2312" w:cs="仿宋_GB2312" w:eastAsia="仿宋_GB2312"/>
                <w:sz w:val="28"/>
                <w:b/>
              </w:rPr>
              <w:t>汇雅电子图书采购技术参数及要求</w:t>
            </w:r>
          </w:p>
          <w:p>
            <w:pPr>
              <w:pStyle w:val="null3"/>
              <w:jc w:val="both"/>
            </w:pPr>
            <w:r>
              <w:rPr>
                <w:rFonts w:ascii="仿宋_GB2312" w:hAnsi="仿宋_GB2312" w:cs="仿宋_GB2312" w:eastAsia="仿宋_GB2312"/>
                <w:sz w:val="24"/>
              </w:rPr>
              <w:t>1、提供的图书不少于100万种，并且覆盖中图分类法22个大类。</w:t>
            </w:r>
          </w:p>
          <w:p>
            <w:pPr>
              <w:pStyle w:val="null3"/>
              <w:jc w:val="both"/>
            </w:pPr>
            <w:r>
              <w:rPr>
                <w:rFonts w:ascii="仿宋_GB2312" w:hAnsi="仿宋_GB2312" w:cs="仿宋_GB2312" w:eastAsia="仿宋_GB2312"/>
                <w:sz w:val="24"/>
              </w:rPr>
              <w:t>2、提供平台内图书的搜索服务（含目次检索及全文检索），高清晰全文在线阅读，具备下载借阅功能。</w:t>
            </w:r>
          </w:p>
          <w:p>
            <w:pPr>
              <w:pStyle w:val="null3"/>
              <w:jc w:val="both"/>
            </w:pPr>
            <w:r>
              <w:rPr>
                <w:rFonts w:ascii="仿宋_GB2312" w:hAnsi="仿宋_GB2312" w:cs="仿宋_GB2312" w:eastAsia="仿宋_GB2312"/>
                <w:sz w:val="24"/>
              </w:rPr>
              <w:t>3、平台提供IP和用户名两种身份认证和权限管理方式，具有强大的查询检索，图书推荐功能。每月提供不少于15种的新书在线阅读，可支持部分页面和功能的定制。提供图书排行、访问量统计等数据导出。</w:t>
            </w:r>
          </w:p>
          <w:p>
            <w:pPr>
              <w:pStyle w:val="null3"/>
              <w:jc w:val="both"/>
            </w:pPr>
            <w:r>
              <w:rPr>
                <w:rFonts w:ascii="仿宋_GB2312" w:hAnsi="仿宋_GB2312" w:cs="仿宋_GB2312" w:eastAsia="仿宋_GB2312"/>
                <w:sz w:val="24"/>
              </w:rPr>
              <w:t>4、平台提供多种在线阅读方式，图像、文本多种阅读方式供用户选择。部分新书支持移动端扫码阅读。</w:t>
            </w:r>
          </w:p>
          <w:p>
            <w:pPr>
              <w:pStyle w:val="null3"/>
              <w:jc w:val="both"/>
            </w:pPr>
            <w:r>
              <w:rPr>
                <w:rFonts w:ascii="仿宋_GB2312" w:hAnsi="仿宋_GB2312" w:cs="仿宋_GB2312" w:eastAsia="仿宋_GB2312"/>
                <w:sz w:val="24"/>
              </w:rPr>
              <w:t>5、平台免费支持与学习通、读秀、图书馆馆藏系统等平台无缝对接。</w:t>
            </w:r>
          </w:p>
          <w:p>
            <w:pPr>
              <w:pStyle w:val="null3"/>
              <w:jc w:val="both"/>
            </w:pPr>
            <w:r>
              <w:rPr>
                <w:rFonts w:ascii="仿宋_GB2312" w:hAnsi="仿宋_GB2312" w:cs="仿宋_GB2312" w:eastAsia="仿宋_GB2312"/>
                <w:sz w:val="24"/>
              </w:rPr>
              <w:t>6、平台中的部分精品图书可有偿支持微信公众号、第三方app对接。</w:t>
            </w:r>
          </w:p>
          <w:p>
            <w:pPr>
              <w:pStyle w:val="null3"/>
              <w:jc w:val="both"/>
            </w:pPr>
            <w:r>
              <w:rPr>
                <w:rFonts w:ascii="仿宋_GB2312" w:hAnsi="仿宋_GB2312" w:cs="仿宋_GB2312" w:eastAsia="仿宋_GB2312"/>
                <w:sz w:val="24"/>
              </w:rPr>
              <w:t>7、可提供馆外访问及第三方认证对接。</w:t>
            </w:r>
          </w:p>
          <w:p>
            <w:pPr>
              <w:pStyle w:val="null3"/>
              <w:jc w:val="both"/>
            </w:pPr>
            <w:r>
              <w:rPr>
                <w:rFonts w:ascii="仿宋_GB2312" w:hAnsi="仿宋_GB2312" w:cs="仿宋_GB2312" w:eastAsia="仿宋_GB2312"/>
                <w:sz w:val="24"/>
              </w:rPr>
              <w:t>8、每个省备有办事处，出现问题随时解决。我们承诺7*42小时无间断服务，提供邮件、电话、在线客服等多种途径的问题答疑。</w:t>
            </w:r>
          </w:p>
          <w:p>
            <w:pPr>
              <w:pStyle w:val="null3"/>
              <w:jc w:val="both"/>
            </w:pPr>
            <w:r>
              <w:rPr>
                <w:rFonts w:ascii="仿宋_GB2312" w:hAnsi="仿宋_GB2312" w:cs="仿宋_GB2312" w:eastAsia="仿宋_GB2312"/>
                <w:sz w:val="24"/>
              </w:rPr>
              <w:t>9、免费提供针对管理员和用户的培训活动。</w:t>
            </w:r>
          </w:p>
          <w:p>
            <w:pPr>
              <w:pStyle w:val="null3"/>
              <w:jc w:val="both"/>
            </w:pPr>
            <w:r>
              <w:rPr>
                <w:rFonts w:ascii="仿宋_GB2312" w:hAnsi="仿宋_GB2312" w:cs="仿宋_GB2312" w:eastAsia="仿宋_GB2312"/>
                <w:sz w:val="24"/>
              </w:rPr>
              <w:t>10、电子图书图像遵循图书的原版原貌，文字差错率不高于万分之一。</w:t>
            </w:r>
          </w:p>
          <w:p>
            <w:pPr>
              <w:pStyle w:val="null3"/>
              <w:jc w:val="both"/>
            </w:pPr>
            <w:r>
              <w:rPr>
                <w:rFonts w:ascii="仿宋_GB2312" w:hAnsi="仿宋_GB2312" w:cs="仿宋_GB2312" w:eastAsia="仿宋_GB2312"/>
                <w:sz w:val="24"/>
              </w:rPr>
              <w:t>11、平台电子图书馆藏量每年保持5-10万的更新。</w:t>
            </w:r>
          </w:p>
          <w:p>
            <w:pPr>
              <w:pStyle w:val="null3"/>
              <w:jc w:val="center"/>
            </w:pPr>
            <w:r>
              <w:rPr>
                <w:rFonts w:ascii="仿宋_GB2312" w:hAnsi="仿宋_GB2312" w:cs="仿宋_GB2312" w:eastAsia="仿宋_GB2312"/>
                <w:sz w:val="28"/>
                <w:b/>
              </w:rPr>
              <w:t>超星名师讲坛采购技术参数及要求</w:t>
            </w:r>
          </w:p>
          <w:p>
            <w:pPr>
              <w:pStyle w:val="null3"/>
              <w:jc w:val="both"/>
            </w:pPr>
            <w:r>
              <w:rPr>
                <w:rFonts w:ascii="仿宋_GB2312" w:hAnsi="仿宋_GB2312" w:cs="仿宋_GB2312" w:eastAsia="仿宋_GB2312"/>
                <w:sz w:val="24"/>
              </w:rPr>
              <w:t>1、超星名师讲坛经10余年的积累，累计视频资源15万余集，产品自主知识产权，来源可靠。</w:t>
            </w:r>
          </w:p>
          <w:p>
            <w:pPr>
              <w:pStyle w:val="null3"/>
              <w:jc w:val="both"/>
            </w:pPr>
            <w:r>
              <w:rPr>
                <w:rFonts w:ascii="仿宋_GB2312" w:hAnsi="仿宋_GB2312" w:cs="仿宋_GB2312" w:eastAsia="仿宋_GB2312"/>
                <w:sz w:val="24"/>
              </w:rPr>
              <w:t>2、学科分类参照国家标准全日制大学体系。</w:t>
            </w:r>
          </w:p>
          <w:p>
            <w:pPr>
              <w:pStyle w:val="null3"/>
              <w:jc w:val="both"/>
            </w:pPr>
            <w:r>
              <w:rPr>
                <w:rFonts w:ascii="仿宋_GB2312" w:hAnsi="仿宋_GB2312" w:cs="仿宋_GB2312" w:eastAsia="仿宋_GB2312"/>
                <w:sz w:val="24"/>
              </w:rPr>
              <w:t>哲学、经济学、法学、教育学、文学、历史学、理学、工学、农学、医学、管理学和艺术学等，向二级学科以及各专业延伸。</w:t>
            </w:r>
          </w:p>
          <w:p>
            <w:pPr>
              <w:pStyle w:val="null3"/>
              <w:jc w:val="both"/>
            </w:pPr>
            <w:r>
              <w:rPr>
                <w:rFonts w:ascii="仿宋_GB2312" w:hAnsi="仿宋_GB2312" w:cs="仿宋_GB2312" w:eastAsia="仿宋_GB2312"/>
                <w:sz w:val="24"/>
              </w:rPr>
              <w:t>3、来源优质，主讲人含院士或长江学者或国家级教学名师不低于500人。</w:t>
            </w:r>
          </w:p>
          <w:p>
            <w:pPr>
              <w:pStyle w:val="null3"/>
              <w:jc w:val="both"/>
            </w:pPr>
            <w:r>
              <w:rPr>
                <w:rFonts w:ascii="仿宋_GB2312" w:hAnsi="仿宋_GB2312" w:cs="仿宋_GB2312" w:eastAsia="仿宋_GB2312"/>
                <w:sz w:val="24"/>
              </w:rPr>
              <w:t>4、主要收录985、211高校、科研机构、行业组织的学术权威和国内外名师名人的课程和讲座。</w:t>
            </w:r>
          </w:p>
          <w:p>
            <w:pPr>
              <w:pStyle w:val="null3"/>
              <w:jc w:val="both"/>
            </w:pPr>
            <w:r>
              <w:rPr>
                <w:rFonts w:ascii="仿宋_GB2312" w:hAnsi="仿宋_GB2312" w:cs="仿宋_GB2312" w:eastAsia="仿宋_GB2312"/>
                <w:sz w:val="24"/>
              </w:rPr>
              <w:t>5、陆续拍摄300余位院士、500余位长江学者、5000余位博士生导师等众多专家学者的珍贵影像。</w:t>
            </w:r>
          </w:p>
          <w:p>
            <w:pPr>
              <w:pStyle w:val="null3"/>
              <w:jc w:val="both"/>
            </w:pPr>
            <w:r>
              <w:rPr>
                <w:rFonts w:ascii="仿宋_GB2312" w:hAnsi="仿宋_GB2312" w:cs="仿宋_GB2312" w:eastAsia="仿宋_GB2312"/>
                <w:sz w:val="24"/>
              </w:rPr>
              <w:t>6、对定义、观点、精彩片段制作微视频，实现对视频内容的精准定位检索。</w:t>
            </w:r>
          </w:p>
          <w:p>
            <w:pPr>
              <w:pStyle w:val="null3"/>
              <w:jc w:val="both"/>
            </w:pPr>
            <w:r>
              <w:rPr>
                <w:rFonts w:ascii="仿宋_GB2312" w:hAnsi="仿宋_GB2312" w:cs="仿宋_GB2312" w:eastAsia="仿宋_GB2312"/>
                <w:sz w:val="24"/>
              </w:rPr>
              <w:t>7、版权清晰，著作权人直接授权。</w:t>
            </w:r>
          </w:p>
          <w:p>
            <w:pPr>
              <w:pStyle w:val="null3"/>
              <w:jc w:val="both"/>
            </w:pPr>
            <w:r>
              <w:rPr>
                <w:rFonts w:ascii="仿宋_GB2312" w:hAnsi="仿宋_GB2312" w:cs="仿宋_GB2312" w:eastAsia="仿宋_GB2312"/>
                <w:sz w:val="24"/>
              </w:rPr>
              <w:t>8、视频由主讲人直接授权拍摄。</w:t>
            </w:r>
          </w:p>
          <w:p>
            <w:pPr>
              <w:pStyle w:val="null3"/>
              <w:jc w:val="both"/>
            </w:pPr>
            <w:r>
              <w:rPr>
                <w:rFonts w:ascii="仿宋_GB2312" w:hAnsi="仿宋_GB2312" w:cs="仿宋_GB2312" w:eastAsia="仿宋_GB2312"/>
                <w:sz w:val="24"/>
              </w:rPr>
              <w:t>9、根据讲座举办具体情况，采用主办单位、主讲人分别授权或单独授权。</w:t>
            </w:r>
          </w:p>
          <w:p>
            <w:pPr>
              <w:pStyle w:val="null3"/>
              <w:jc w:val="both"/>
            </w:pPr>
            <w:r>
              <w:rPr>
                <w:rFonts w:ascii="仿宋_GB2312" w:hAnsi="仿宋_GB2312" w:cs="仿宋_GB2312" w:eastAsia="仿宋_GB2312"/>
                <w:sz w:val="24"/>
              </w:rPr>
              <w:t>10、访问方式：远程访问。</w:t>
            </w:r>
          </w:p>
          <w:p>
            <w:pPr>
              <w:pStyle w:val="null3"/>
              <w:jc w:val="both"/>
            </w:pPr>
            <w:r>
              <w:rPr>
                <w:rFonts w:ascii="仿宋_GB2312" w:hAnsi="仿宋_GB2312" w:cs="仿宋_GB2312" w:eastAsia="仿宋_GB2312"/>
                <w:sz w:val="24"/>
              </w:rPr>
              <w:t>11、能提供优良的软件售后服务，及时维护搜索平台使用过程中发生的故障，保证用户使用不受影响。故障响应时间不超过4小时，故障处理时间不超过24小时。</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标的名称：中国学位论文、学术会议论文数据库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rPr>
              <w:t>总体资源量要求不少于</w:t>
            </w:r>
            <w:r>
              <w:rPr>
                <w:rFonts w:ascii="仿宋_GB2312" w:hAnsi="仿宋_GB2312" w:cs="仿宋_GB2312" w:eastAsia="仿宋_GB2312"/>
                <w:sz w:val="24"/>
              </w:rPr>
              <w:t>15TB，全文数据以PDF格式提供服务，所购数据为数据库网络包年方式；资源支撑的平台为万方数据知识服务智慧云平台V1.0，可实现统一检索，7×24小时技术服务响应；根据实际情况需要，可48小时内故障上门服务。</w:t>
            </w:r>
          </w:p>
          <w:p>
            <w:pPr>
              <w:pStyle w:val="null3"/>
              <w:spacing w:before="150"/>
              <w:jc w:val="both"/>
              <w:outlineLvl w:val="1"/>
            </w:pPr>
            <w:r>
              <w:rPr>
                <w:rFonts w:ascii="仿宋_GB2312" w:hAnsi="仿宋_GB2312" w:cs="仿宋_GB2312" w:eastAsia="仿宋_GB2312"/>
                <w:sz w:val="24"/>
                <w:b/>
              </w:rPr>
              <w:t>中国学位论文全文数据库采购技术参数及内容</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全文数量：</w:t>
            </w:r>
            <w:r>
              <w:rPr>
                <w:rFonts w:ascii="仿宋_GB2312" w:hAnsi="仿宋_GB2312" w:cs="仿宋_GB2312" w:eastAsia="仿宋_GB2312"/>
                <w:sz w:val="24"/>
              </w:rPr>
              <w:t>520多万篇。与国内900余所高校、科研院所合作，占研究生学位授予单位90%以上</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收录时间：</w:t>
            </w:r>
            <w:r>
              <w:rPr>
                <w:rFonts w:ascii="仿宋_GB2312" w:hAnsi="仿宋_GB2312" w:cs="仿宋_GB2312" w:eastAsia="仿宋_GB2312"/>
                <w:sz w:val="24"/>
              </w:rPr>
              <w:t>1980年-至今，逐年回溯。</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学科覆盖：按中图法进行学科分类、教育部公布的专业目录进行专业分类，覆盖各个学科领域。</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检索字段：题名、关键词、摘要、作者、学科专业、导师、学位授予单位。</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二次检索：提供三种形式的二次检索：直接修改检索表达式、聚类、缩小检索范围重新检索。学位论文提供授予学位、论文年份、语种、学科、导师、学位授予单位聚类。缩小检索范围提供标题、作者、关键词、专业、学校、导师、年份范围检索。</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检索结果标记：展示文献类型、作者、专业、学位授予单位、学位授予时间、摘要、关键词。</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检索策略：简单检索</w:t>
            </w:r>
            <w:r>
              <w:rPr>
                <w:rFonts w:ascii="仿宋_GB2312" w:hAnsi="仿宋_GB2312" w:cs="仿宋_GB2312" w:eastAsia="仿宋_GB2312"/>
                <w:sz w:val="24"/>
              </w:rPr>
              <w:t>+逐步限定+推荐。用户输入简单检索词开始，在得到的检索结果中通过聚类、排序以及综合系统推荐的检索词，逐步限定，得到结果。这种方法符合使用者行为，检索效果好。</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检索结果排序：相关度、学位授予时间、被引量、下载量、热度、经典论文优先这六种排序方式。这些排序方式综合考虑了相关度、被引次数、学位授予时间、用户下载量、文摘阅读量等指标，排序效果较好，满足大多数人群需要。</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保存题录：提供参考文献、文本、</w:t>
            </w:r>
            <w:r>
              <w:rPr>
                <w:rFonts w:ascii="仿宋_GB2312" w:hAnsi="仿宋_GB2312" w:cs="仿宋_GB2312" w:eastAsia="仿宋_GB2312"/>
                <w:sz w:val="24"/>
              </w:rPr>
              <w:t>XML、NoteExpress、Refworks、EndNote等多种格式以及自定义格式。</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导航体系：学科目录、专业目录、学位授予单位。</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知识关联：提供</w:t>
            </w:r>
            <w:r>
              <w:rPr>
                <w:rFonts w:ascii="仿宋_GB2312" w:hAnsi="仿宋_GB2312" w:cs="仿宋_GB2312" w:eastAsia="仿宋_GB2312"/>
                <w:sz w:val="24"/>
              </w:rPr>
              <w:t>“相关论文”、“相关图书”、“相关学者”、“相关主题”、“相关机构”、“相关学者”等服务。</w:t>
            </w:r>
          </w:p>
          <w:p>
            <w:pPr>
              <w:pStyle w:val="null3"/>
              <w:spacing w:before="150"/>
              <w:jc w:val="both"/>
              <w:outlineLvl w:val="1"/>
            </w:pPr>
            <w:r>
              <w:rPr>
                <w:rFonts w:ascii="仿宋_GB2312" w:hAnsi="仿宋_GB2312" w:cs="仿宋_GB2312" w:eastAsia="仿宋_GB2312"/>
                <w:sz w:val="24"/>
                <w:b/>
              </w:rPr>
              <w:t>中国学术会议文献数据库采购采购技术参数及内容</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全文数量：共收录约</w:t>
            </w:r>
            <w:r>
              <w:rPr>
                <w:rFonts w:ascii="仿宋_GB2312" w:hAnsi="仿宋_GB2312" w:cs="仿宋_GB2312" w:eastAsia="仿宋_GB2312"/>
                <w:sz w:val="24"/>
              </w:rPr>
              <w:t>1200万篇论文，其中中文全文274万篇，西文全文约1000万篇（包含NSTL原文传递），年增20万篇全文</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收录时间：</w:t>
            </w:r>
            <w:r>
              <w:rPr>
                <w:rFonts w:ascii="仿宋_GB2312" w:hAnsi="仿宋_GB2312" w:cs="仿宋_GB2312" w:eastAsia="仿宋_GB2312"/>
                <w:sz w:val="24"/>
              </w:rPr>
              <w:t>1982—至今，少量回溯到1993年。</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会议质量：国家级学会、协会、部委、高校召开的全国性学术会议为主，涉及</w:t>
            </w:r>
            <w:r>
              <w:rPr>
                <w:rFonts w:ascii="仿宋_GB2312" w:hAnsi="仿宋_GB2312" w:cs="仿宋_GB2312" w:eastAsia="仿宋_GB2312"/>
                <w:sz w:val="24"/>
              </w:rPr>
              <w:t>7万多个重要学术会议文集，年收集4000多个重要学术会议。</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学科覆盖范围：按中图分类法进行分类，覆盖各个学科领域。</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检索字段：提供会议论文的检索和会议文集的检索。会议论文检索提供题名、关键词、摘要、作者、作者单位、会议名称、基金、主办单位。会议文集检索提供会议名称、会议主办单位检索。</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二次检索：提供三种形式的二次检索：直接修改检索表达式、聚类、缩小检索范围重新检索。会议论文提供会议级别、时间、语种、会议名称、作者、会议主办单位的聚类，缩小检索范围提供标题、作者、会议名称、关键词、年份范围检索。会议文集提供学科、会议级别、时间的聚类，缩小检索范围提供名称、主办单位、地点、年份范围检索。</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检索结果标记：展示论文类型、会议名称、作者、摘要、关键词以及论文的发表年份。展示会议级别、会议名称、会议主办单位、会议时间、会议地点、文献量、被引量、下载量。</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检索策略：简单检索</w:t>
            </w:r>
            <w:r>
              <w:rPr>
                <w:rFonts w:ascii="仿宋_GB2312" w:hAnsi="仿宋_GB2312" w:cs="仿宋_GB2312" w:eastAsia="仿宋_GB2312"/>
                <w:sz w:val="24"/>
              </w:rPr>
              <w:t>+逐步限定+推荐。用户输入简单检索词开始，在得到的检索结果中通过聚类、排序以及综合系统推荐的检索词，逐步限定，得到结果。这种方法符合使用者行为，检索效果好。</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检索结果排序：相关度、时间、被引量、下载量、热度、经典论文优先这六种排序方式。这些排序方式综合考虑了相关度、被引次数、时间、用户下载量、文摘阅读量等指标，排序效果较好，满足大多数人群需要。</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保存题录：提供参考文献、文本、</w:t>
            </w:r>
            <w:r>
              <w:rPr>
                <w:rFonts w:ascii="仿宋_GB2312" w:hAnsi="仿宋_GB2312" w:cs="仿宋_GB2312" w:eastAsia="仿宋_GB2312"/>
                <w:sz w:val="24"/>
              </w:rPr>
              <w:t>XML、NoteExpress、Refworks、EndNote等多种格式以及自定义格式。</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导航体系：会议学科分类、会议系列、会议时间、主办单位、会议级别。</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知识关联：知识关联：提供</w:t>
            </w:r>
            <w:r>
              <w:rPr>
                <w:rFonts w:ascii="仿宋_GB2312" w:hAnsi="仿宋_GB2312" w:cs="仿宋_GB2312" w:eastAsia="仿宋_GB2312"/>
                <w:sz w:val="24"/>
              </w:rPr>
              <w:t>“相关论文”、“相关图书”、“相关学者”、“相关主题”、“相关机构”、“相关学者”等服务。</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标的名称：人大复印资料全文数据库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color w:val="333333"/>
              </w:rPr>
              <w:t>内容要求：</w:t>
            </w:r>
          </w:p>
          <w:p>
            <w:pPr>
              <w:pStyle w:val="null3"/>
              <w:ind w:firstLine="480"/>
              <w:jc w:val="both"/>
            </w:pPr>
            <w:r>
              <w:rPr>
                <w:rFonts w:ascii="仿宋_GB2312" w:hAnsi="仿宋_GB2312" w:cs="仿宋_GB2312" w:eastAsia="仿宋_GB2312"/>
                <w:sz w:val="24"/>
                <w:color w:val="333333"/>
              </w:rPr>
              <w:t>数据库名称：人大复印报刊资料数据库；采购数量：</w:t>
            </w:r>
            <w:r>
              <w:rPr>
                <w:rFonts w:ascii="仿宋_GB2312" w:hAnsi="仿宋_GB2312" w:cs="仿宋_GB2312" w:eastAsia="仿宋_GB2312"/>
                <w:sz w:val="24"/>
                <w:color w:val="333333"/>
              </w:rPr>
              <w:t>1 套。合同服务时间：壹年。订购模式：镜像+在线 （包库）。</w:t>
            </w:r>
          </w:p>
          <w:p>
            <w:pPr>
              <w:pStyle w:val="null3"/>
              <w:ind w:firstLine="480"/>
              <w:jc w:val="both"/>
            </w:pPr>
            <w:r>
              <w:rPr>
                <w:rFonts w:ascii="仿宋_GB2312" w:hAnsi="仿宋_GB2312" w:cs="仿宋_GB2312" w:eastAsia="仿宋_GB2312"/>
                <w:sz w:val="24"/>
                <w:color w:val="333333"/>
              </w:rPr>
              <w:t>提供全文数据库、数字期刊库，内容包括政治学与社会学类、哲学类、法律类、经济学与经济管理类、教育类、文学与艺术类、历史学类、文化信息传播类以及其他类共计九大类，每年期刊不少于</w:t>
            </w:r>
            <w:r>
              <w:rPr>
                <w:rFonts w:ascii="仿宋_GB2312" w:hAnsi="仿宋_GB2312" w:cs="仿宋_GB2312" w:eastAsia="仿宋_GB2312"/>
                <w:sz w:val="24"/>
                <w:color w:val="333333"/>
              </w:rPr>
              <w:t>128种</w:t>
            </w:r>
          </w:p>
          <w:p>
            <w:pPr>
              <w:pStyle w:val="null3"/>
              <w:jc w:val="both"/>
            </w:pPr>
            <w:r>
              <w:rPr>
                <w:rFonts w:ascii="仿宋_GB2312" w:hAnsi="仿宋_GB2312" w:cs="仿宋_GB2312" w:eastAsia="仿宋_GB2312"/>
                <w:sz w:val="24"/>
                <w:b/>
                <w:color w:val="333333"/>
              </w:rPr>
              <w:t>技术参数</w:t>
            </w:r>
            <w:r>
              <w:rPr>
                <w:rFonts w:ascii="仿宋_GB2312" w:hAnsi="仿宋_GB2312" w:cs="仿宋_GB2312" w:eastAsia="仿宋_GB2312"/>
                <w:sz w:val="24"/>
                <w:b/>
                <w:color w:val="333333"/>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4"/>
                <w:color w:val="333333"/>
              </w:rPr>
              <w:t>1、数据更新：每周不定期更新</w:t>
            </w:r>
          </w:p>
          <w:p>
            <w:pPr>
              <w:pStyle w:val="null3"/>
              <w:jc w:val="both"/>
            </w:pPr>
            <w:r>
              <w:rPr>
                <w:rFonts w:ascii="仿宋_GB2312" w:hAnsi="仿宋_GB2312" w:cs="仿宋_GB2312" w:eastAsia="仿宋_GB2312"/>
                <w:sz w:val="24"/>
                <w:color w:val="333333"/>
              </w:rPr>
              <w:t>2、呈现方式：数字期刊及分类呈现</w:t>
            </w:r>
          </w:p>
          <w:p>
            <w:pPr>
              <w:pStyle w:val="null3"/>
              <w:jc w:val="both"/>
            </w:pPr>
            <w:r>
              <w:rPr>
                <w:rFonts w:ascii="仿宋_GB2312" w:hAnsi="仿宋_GB2312" w:cs="仿宋_GB2312" w:eastAsia="仿宋_GB2312"/>
                <w:sz w:val="24"/>
                <w:color w:val="333333"/>
              </w:rPr>
              <w:t>3、可根据作者、标题、原文出处、关键词等检索项进行精准检索,支持初级、高级检索。</w:t>
            </w:r>
          </w:p>
          <w:p>
            <w:pPr>
              <w:pStyle w:val="null3"/>
              <w:jc w:val="both"/>
            </w:pPr>
            <w:r>
              <w:rPr>
                <w:rFonts w:ascii="仿宋_GB2312" w:hAnsi="仿宋_GB2312" w:cs="仿宋_GB2312" w:eastAsia="仿宋_GB2312"/>
                <w:sz w:val="24"/>
                <w:color w:val="333333"/>
              </w:rPr>
              <w:t>4、IP 范围内不限制用户数及使用次数。</w:t>
            </w:r>
          </w:p>
          <w:p>
            <w:pPr>
              <w:pStyle w:val="null3"/>
              <w:jc w:val="both"/>
            </w:pPr>
            <w:r>
              <w:rPr>
                <w:rFonts w:ascii="仿宋_GB2312" w:hAnsi="仿宋_GB2312" w:cs="仿宋_GB2312" w:eastAsia="仿宋_GB2312"/>
                <w:sz w:val="24"/>
                <w:color w:val="333333"/>
              </w:rPr>
              <w:t>5、浏览器无需安装任何插件,支持全文浏览、自选复制及下载功能。</w:t>
            </w:r>
          </w:p>
          <w:p>
            <w:pPr>
              <w:pStyle w:val="null3"/>
              <w:jc w:val="both"/>
            </w:pPr>
            <w:r>
              <w:rPr>
                <w:rFonts w:ascii="仿宋_GB2312" w:hAnsi="仿宋_GB2312" w:cs="仿宋_GB2312" w:eastAsia="仿宋_GB2312"/>
                <w:sz w:val="24"/>
                <w:color w:val="333333"/>
              </w:rPr>
              <w:t>6、访问和使用情况进行详细的记录，并进行统计分析，定期提供统计分 析报告（按采购人要求，可按月、季、年及学期统计访问情况）。</w:t>
            </w:r>
          </w:p>
          <w:p>
            <w:pPr>
              <w:pStyle w:val="null3"/>
              <w:jc w:val="both"/>
            </w:pPr>
            <w:r>
              <w:rPr>
                <w:rFonts w:ascii="仿宋_GB2312" w:hAnsi="仿宋_GB2312" w:cs="仿宋_GB2312" w:eastAsia="仿宋_GB2312"/>
                <w:sz w:val="24"/>
                <w:color w:val="333333"/>
              </w:rPr>
              <w:t xml:space="preserve">7、数据格式：提供 word、PDF 格式、HTML 格式。  </w:t>
            </w:r>
          </w:p>
          <w:p>
            <w:pPr>
              <w:pStyle w:val="null3"/>
              <w:jc w:val="both"/>
            </w:pPr>
            <w:r>
              <w:rPr>
                <w:rFonts w:ascii="仿宋_GB2312" w:hAnsi="仿宋_GB2312" w:cs="仿宋_GB2312" w:eastAsia="仿宋_GB2312"/>
                <w:sz w:val="24"/>
                <w:b/>
                <w:color w:val="333333"/>
              </w:rPr>
              <w:t>服务要求</w:t>
            </w:r>
            <w:r>
              <w:rPr>
                <w:rFonts w:ascii="仿宋_GB2312" w:hAnsi="仿宋_GB2312" w:cs="仿宋_GB2312" w:eastAsia="仿宋_GB2312"/>
                <w:sz w:val="24"/>
                <w:b/>
                <w:color w:val="333333"/>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4"/>
                <w:color w:val="333333"/>
              </w:rPr>
              <w:t>1、</w:t>
            </w:r>
            <w:r>
              <w:rPr>
                <w:rFonts w:ascii="仿宋_GB2312" w:hAnsi="仿宋_GB2312" w:cs="仿宋_GB2312" w:eastAsia="仿宋_GB2312"/>
                <w:sz w:val="24"/>
                <w:color w:val="333333"/>
              </w:rPr>
              <w:t>开通服务：在合同约定的服务期限内，在线开通及安装人大复印报刊资料全文数据库的使用权限及数据，绑定</w:t>
            </w:r>
            <w:r>
              <w:rPr>
                <w:rFonts w:ascii="仿宋_GB2312" w:hAnsi="仿宋_GB2312" w:cs="仿宋_GB2312" w:eastAsia="仿宋_GB2312"/>
                <w:sz w:val="24"/>
                <w:color w:val="333333"/>
              </w:rPr>
              <w:t>IP 后，无需输入账号及密码可直接使用。</w:t>
            </w:r>
          </w:p>
          <w:p>
            <w:pPr>
              <w:pStyle w:val="null3"/>
              <w:jc w:val="both"/>
            </w:pPr>
            <w:r>
              <w:rPr>
                <w:rFonts w:ascii="仿宋_GB2312" w:hAnsi="仿宋_GB2312" w:cs="仿宋_GB2312" w:eastAsia="仿宋_GB2312"/>
                <w:sz w:val="24"/>
                <w:color w:val="333333"/>
              </w:rPr>
              <w:t>2、</w:t>
            </w:r>
            <w:r>
              <w:rPr>
                <w:rFonts w:ascii="仿宋_GB2312" w:hAnsi="仿宋_GB2312" w:cs="仿宋_GB2312" w:eastAsia="仿宋_GB2312"/>
                <w:sz w:val="24"/>
                <w:color w:val="333333"/>
              </w:rPr>
              <w:t>更新服务：每周不定期更新。注重实时更新，保障所用平台为最新。</w:t>
            </w:r>
          </w:p>
          <w:p>
            <w:pPr>
              <w:pStyle w:val="null3"/>
              <w:jc w:val="both"/>
            </w:pPr>
            <w:r>
              <w:rPr>
                <w:rFonts w:ascii="仿宋_GB2312" w:hAnsi="仿宋_GB2312" w:cs="仿宋_GB2312" w:eastAsia="仿宋_GB2312"/>
                <w:sz w:val="24"/>
                <w:color w:val="333333"/>
              </w:rPr>
              <w:t>3、</w:t>
            </w:r>
            <w:r>
              <w:rPr>
                <w:rFonts w:ascii="仿宋_GB2312" w:hAnsi="仿宋_GB2312" w:cs="仿宋_GB2312" w:eastAsia="仿宋_GB2312"/>
                <w:sz w:val="24"/>
                <w:color w:val="333333"/>
              </w:rPr>
              <w:t>宣传服务：承诺一年内至少提供一次人大复印报刊资料数据库使用宣传资料小礼品邮寄或远程在线培训活动，时间和方式由采供双方协定。</w:t>
            </w:r>
          </w:p>
          <w:p>
            <w:pPr>
              <w:pStyle w:val="null3"/>
              <w:jc w:val="both"/>
            </w:pPr>
            <w:r>
              <w:rPr>
                <w:rFonts w:ascii="仿宋_GB2312" w:hAnsi="仿宋_GB2312" w:cs="仿宋_GB2312" w:eastAsia="仿宋_GB2312"/>
                <w:sz w:val="24"/>
                <w:color w:val="333333"/>
              </w:rPr>
              <w:t>4、</w:t>
            </w:r>
            <w:r>
              <w:rPr>
                <w:rFonts w:ascii="仿宋_GB2312" w:hAnsi="仿宋_GB2312" w:cs="仿宋_GB2312" w:eastAsia="仿宋_GB2312"/>
                <w:sz w:val="24"/>
                <w:color w:val="333333"/>
              </w:rPr>
              <w:t>咨询服务：可致电客户服务热线、</w:t>
            </w:r>
            <w:r>
              <w:rPr>
                <w:rFonts w:ascii="仿宋_GB2312" w:hAnsi="仿宋_GB2312" w:cs="仿宋_GB2312" w:eastAsia="仿宋_GB2312"/>
                <w:sz w:val="24"/>
                <w:color w:val="333333"/>
              </w:rPr>
              <w:t>E-mail、QQ、微信等方式提供技术支持。</w:t>
            </w:r>
          </w:p>
          <w:p>
            <w:pPr>
              <w:pStyle w:val="null3"/>
              <w:jc w:val="both"/>
            </w:pPr>
            <w:r>
              <w:rPr>
                <w:rFonts w:ascii="仿宋_GB2312" w:hAnsi="仿宋_GB2312" w:cs="仿宋_GB2312" w:eastAsia="仿宋_GB2312"/>
                <w:sz w:val="24"/>
                <w:color w:val="333333"/>
              </w:rPr>
              <w:t>5、</w:t>
            </w:r>
            <w:r>
              <w:rPr>
                <w:rFonts w:ascii="仿宋_GB2312" w:hAnsi="仿宋_GB2312" w:cs="仿宋_GB2312" w:eastAsia="仿宋_GB2312"/>
                <w:sz w:val="24"/>
                <w:color w:val="333333"/>
              </w:rPr>
              <w:t>响应服务：提供</w:t>
            </w:r>
            <w:r>
              <w:rPr>
                <w:rFonts w:ascii="仿宋_GB2312" w:hAnsi="仿宋_GB2312" w:cs="仿宋_GB2312" w:eastAsia="仿宋_GB2312"/>
                <w:sz w:val="24"/>
                <w:color w:val="333333"/>
              </w:rPr>
              <w:t>7*24 小时在线服务，可通过邮件、电话、QQ 及其他远程工具，保证 30 分钟内响应，1 小时解决，若需售后人员亲自上门服务，承诺 24 小时内到达,48小时内解决相应故障。</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标的名称：SpecialSciDBS数据库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color w:val="333333"/>
              </w:rPr>
              <w:t>订购内容</w:t>
            </w:r>
            <w:r>
              <w:rPr>
                <w:rFonts w:ascii="仿宋_GB2312" w:hAnsi="仿宋_GB2312" w:cs="仿宋_GB2312" w:eastAsia="仿宋_GB2312"/>
                <w:sz w:val="24"/>
                <w:color w:val="333333"/>
              </w:rPr>
              <w:t>：生物技术、化学、计算机科学技术、农业</w:t>
            </w:r>
            <w:r>
              <w:rPr>
                <w:rFonts w:ascii="仿宋_GB2312" w:hAnsi="仿宋_GB2312" w:cs="仿宋_GB2312" w:eastAsia="仿宋_GB2312"/>
                <w:sz w:val="24"/>
                <w:color w:val="333333"/>
              </w:rPr>
              <w:t>4个专题分类</w:t>
            </w:r>
            <w:r>
              <w:rPr>
                <w:rFonts w:ascii="仿宋_GB2312" w:hAnsi="仿宋_GB2312" w:cs="仿宋_GB2312" w:eastAsia="仿宋_GB2312"/>
                <w:sz w:val="24"/>
                <w:color w:val="333333"/>
              </w:rPr>
              <w:t>。</w:t>
            </w:r>
          </w:p>
          <w:p>
            <w:pPr>
              <w:pStyle w:val="null3"/>
              <w:jc w:val="both"/>
            </w:pPr>
            <w:r>
              <w:rPr>
                <w:rFonts w:ascii="仿宋_GB2312" w:hAnsi="仿宋_GB2312" w:cs="仿宋_GB2312" w:eastAsia="仿宋_GB2312"/>
                <w:sz w:val="24"/>
                <w:b/>
                <w:color w:val="333333"/>
              </w:rPr>
              <w:t>技术参数：</w:t>
            </w:r>
          </w:p>
          <w:p>
            <w:pPr>
              <w:pStyle w:val="null3"/>
              <w:jc w:val="both"/>
            </w:pPr>
            <w:r>
              <w:rPr>
                <w:rFonts w:ascii="仿宋_GB2312" w:hAnsi="仿宋_GB2312" w:cs="仿宋_GB2312" w:eastAsia="仿宋_GB2312"/>
                <w:sz w:val="24"/>
                <w:color w:val="333333"/>
              </w:rPr>
              <w:t>1、资源保障</w:t>
            </w:r>
            <w:r>
              <w:rPr>
                <w:rFonts w:ascii="仿宋_GB2312" w:hAnsi="仿宋_GB2312" w:cs="仿宋_GB2312" w:eastAsia="仿宋_GB2312"/>
                <w:sz w:val="24"/>
                <w:color w:val="333333"/>
              </w:rPr>
              <w:t>：</w:t>
            </w:r>
          </w:p>
          <w:p>
            <w:pPr>
              <w:pStyle w:val="null3"/>
              <w:jc w:val="both"/>
            </w:pPr>
            <w:r>
              <w:rPr>
                <w:rFonts w:ascii="仿宋_GB2312" w:hAnsi="仿宋_GB2312" w:cs="仿宋_GB2312" w:eastAsia="仿宋_GB2312"/>
                <w:sz w:val="24"/>
                <w:color w:val="333333"/>
              </w:rPr>
              <w:t>1.1截止2025年5月，生物技术、化学、计算机科学技术、农业4个专题的收录资源数量不少于1580万篇；</w:t>
            </w:r>
          </w:p>
          <w:p>
            <w:pPr>
              <w:pStyle w:val="null3"/>
              <w:jc w:val="both"/>
            </w:pPr>
            <w:r>
              <w:rPr>
                <w:rFonts w:ascii="仿宋_GB2312" w:hAnsi="仿宋_GB2312" w:cs="仿宋_GB2312" w:eastAsia="仿宋_GB2312"/>
                <w:sz w:val="24"/>
                <w:color w:val="333333"/>
              </w:rPr>
              <w:t>1.2资源类型包括学术论文、技术报告、会议记录、议题议案、专栏评述、新产品资讯等10多种类型，因专题而异；</w:t>
            </w:r>
          </w:p>
          <w:p>
            <w:pPr>
              <w:pStyle w:val="null3"/>
              <w:jc w:val="both"/>
            </w:pPr>
            <w:r>
              <w:rPr>
                <w:rFonts w:ascii="仿宋_GB2312" w:hAnsi="仿宋_GB2312" w:cs="仿宋_GB2312" w:eastAsia="仿宋_GB2312"/>
                <w:sz w:val="24"/>
                <w:color w:val="333333"/>
              </w:rPr>
              <w:t>1.3数据资源实时更新，语种为英语；</w:t>
            </w:r>
          </w:p>
          <w:p>
            <w:pPr>
              <w:pStyle w:val="null3"/>
              <w:jc w:val="both"/>
            </w:pPr>
            <w:r>
              <w:rPr>
                <w:rFonts w:ascii="仿宋_GB2312" w:hAnsi="仿宋_GB2312" w:cs="仿宋_GB2312" w:eastAsia="仿宋_GB2312"/>
                <w:sz w:val="24"/>
                <w:color w:val="333333"/>
              </w:rPr>
              <w:t>1.4资源的时间跨度，收录文献追溯到1998年；</w:t>
            </w:r>
          </w:p>
          <w:p>
            <w:pPr>
              <w:pStyle w:val="null3"/>
              <w:jc w:val="both"/>
            </w:pPr>
            <w:r>
              <w:rPr>
                <w:rFonts w:ascii="仿宋_GB2312" w:hAnsi="仿宋_GB2312" w:cs="仿宋_GB2312" w:eastAsia="仿宋_GB2312"/>
                <w:sz w:val="24"/>
                <w:color w:val="333333"/>
              </w:rPr>
              <w:t>2、功能需求</w:t>
            </w:r>
            <w:r>
              <w:rPr>
                <w:rFonts w:ascii="仿宋_GB2312" w:hAnsi="仿宋_GB2312" w:cs="仿宋_GB2312" w:eastAsia="仿宋_GB2312"/>
                <w:sz w:val="24"/>
                <w:color w:val="333333"/>
              </w:rPr>
              <w:t>：</w:t>
            </w:r>
          </w:p>
          <w:p>
            <w:pPr>
              <w:pStyle w:val="null3"/>
              <w:jc w:val="both"/>
            </w:pPr>
            <w:r>
              <w:rPr>
                <w:rFonts w:ascii="仿宋_GB2312" w:hAnsi="仿宋_GB2312" w:cs="仿宋_GB2312" w:eastAsia="仿宋_GB2312"/>
                <w:sz w:val="24"/>
                <w:color w:val="333333"/>
              </w:rPr>
              <w:t>2.1 平台适于读者人群是科研工作者、高校教师、学科馆员、查新员、研究生及部分英文程度较高的本科生。</w:t>
            </w:r>
          </w:p>
          <w:p>
            <w:pPr>
              <w:pStyle w:val="null3"/>
              <w:jc w:val="both"/>
            </w:pPr>
            <w:r>
              <w:rPr>
                <w:rFonts w:ascii="仿宋_GB2312" w:hAnsi="仿宋_GB2312" w:cs="仿宋_GB2312" w:eastAsia="仿宋_GB2312"/>
                <w:sz w:val="24"/>
                <w:color w:val="333333"/>
              </w:rPr>
              <w:t>2.2 SpecialSci适用于科技查新、课题跟踪、论文写作与文献参考等。</w:t>
            </w:r>
          </w:p>
          <w:p>
            <w:pPr>
              <w:pStyle w:val="null3"/>
              <w:jc w:val="both"/>
            </w:pPr>
            <w:r>
              <w:rPr>
                <w:rFonts w:ascii="仿宋_GB2312" w:hAnsi="仿宋_GB2312" w:cs="仿宋_GB2312" w:eastAsia="仿宋_GB2312"/>
                <w:sz w:val="24"/>
                <w:color w:val="333333"/>
              </w:rPr>
              <w:t>2.3 SpecialSci平台提供多种导航方式，如“学术导航”“分类导航”“情报服务”等；同时提供四种检索方式，即“快速搜索”“高级搜索”“专业搜索”“二次搜索”，读者可以根据自己需要，选择使用，达到查全和查准的平衡。</w:t>
            </w:r>
          </w:p>
          <w:p>
            <w:pPr>
              <w:pStyle w:val="null3"/>
              <w:jc w:val="both"/>
            </w:pPr>
            <w:r>
              <w:rPr>
                <w:rFonts w:ascii="仿宋_GB2312" w:hAnsi="仿宋_GB2312" w:cs="仿宋_GB2312" w:eastAsia="仿宋_GB2312"/>
                <w:sz w:val="24"/>
                <w:color w:val="333333"/>
              </w:rPr>
              <w:t>2.4 平台提供多种增值及助读功能，如国道发现，国道查重，机构知识库，检索结果统计功能，结果导出功能，在线翻译助读功能。</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标的名称：博学易知学习平台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1、数据库平台框架：SSI框架，当前主流设计框架，具有可扩展性，适用于中大型项目。便于后期数据库数据和功能的进一步扩张和升级。</w:t>
            </w:r>
          </w:p>
          <w:p>
            <w:pPr>
              <w:pStyle w:val="null3"/>
              <w:jc w:val="both"/>
            </w:pPr>
            <w:r>
              <w:rPr>
                <w:rFonts w:ascii="仿宋_GB2312" w:hAnsi="仿宋_GB2312" w:cs="仿宋_GB2312" w:eastAsia="仿宋_GB2312"/>
                <w:sz w:val="24"/>
              </w:rPr>
              <w:t>2、底层数据库：MySQL 数据库，能够利用MySQL 数据库、ElasticSearches分布式全文搜索引擎等处理机制，便于后期数据库的更新及数据完善，平台功能管理自由。</w:t>
            </w:r>
          </w:p>
          <w:p>
            <w:pPr>
              <w:pStyle w:val="null3"/>
              <w:jc w:val="both"/>
            </w:pPr>
            <w:r>
              <w:rPr>
                <w:rFonts w:ascii="仿宋_GB2312" w:hAnsi="仿宋_GB2312" w:cs="仿宋_GB2312" w:eastAsia="仿宋_GB2312"/>
                <w:sz w:val="24"/>
              </w:rPr>
              <w:t>3、数据安装镜像时，适用于多种布局，对服务器的操作系统需求，可适用于windows系列操作系统、unix、Linux三大操作操作系统。</w:t>
            </w:r>
          </w:p>
          <w:p>
            <w:pPr>
              <w:pStyle w:val="null3"/>
              <w:jc w:val="both"/>
            </w:pPr>
            <w:r>
              <w:rPr>
                <w:rFonts w:ascii="仿宋_GB2312" w:hAnsi="仿宋_GB2312" w:cs="仿宋_GB2312" w:eastAsia="仿宋_GB2312"/>
                <w:sz w:val="24"/>
              </w:rPr>
              <w:t>4、平台资源：提供考级、考证、自升本、考研、考公务员等考试相关资源，资源类型包含计算机、法律、学历、金融、医学、语言、公务员、建筑工程、职业资格等九大类资源，包含历年试题资源，并且保证每年的稳定更新，确保资源的持续使用。</w:t>
            </w:r>
          </w:p>
          <w:p>
            <w:pPr>
              <w:pStyle w:val="null3"/>
              <w:jc w:val="both"/>
            </w:pPr>
            <w:r>
              <w:rPr>
                <w:rFonts w:ascii="仿宋_GB2312" w:hAnsi="仿宋_GB2312" w:cs="仿宋_GB2312" w:eastAsia="仿宋_GB2312"/>
                <w:sz w:val="24"/>
              </w:rPr>
              <w:t>5、提供考级、考证、考研、考公务员等考试相关电子试卷，涵盖300多科近千种等级和职业资格类电子试卷260000套左右，试题不低于1000万道试题。</w:t>
            </w:r>
          </w:p>
          <w:p>
            <w:pPr>
              <w:pStyle w:val="null3"/>
              <w:jc w:val="both"/>
            </w:pPr>
            <w:r>
              <w:rPr>
                <w:rFonts w:ascii="仿宋_GB2312" w:hAnsi="仿宋_GB2312" w:cs="仿宋_GB2312" w:eastAsia="仿宋_GB2312"/>
                <w:sz w:val="24"/>
              </w:rPr>
              <w:t>6、平台资源检索功能：实现全站检索及分类检索。可以选择检索区域，且根据资源类型，按资源名称、时间、类型等多种字段进行检索。提高资源检索的精准率。</w:t>
            </w:r>
          </w:p>
          <w:p>
            <w:pPr>
              <w:pStyle w:val="null3"/>
              <w:jc w:val="both"/>
            </w:pPr>
            <w:r>
              <w:rPr>
                <w:rFonts w:ascii="仿宋_GB2312" w:hAnsi="仿宋_GB2312" w:cs="仿宋_GB2312" w:eastAsia="仿宋_GB2312"/>
                <w:sz w:val="24"/>
              </w:rPr>
              <w:t>7、个人信息中心：自主在线注册，且自主完善各类人详细信息，实现个人信息在线维护功能。</w:t>
            </w:r>
          </w:p>
          <w:p>
            <w:pPr>
              <w:pStyle w:val="null3"/>
              <w:jc w:val="both"/>
            </w:pPr>
            <w:r>
              <w:rPr>
                <w:rFonts w:ascii="仿宋_GB2312" w:hAnsi="仿宋_GB2312" w:cs="仿宋_GB2312" w:eastAsia="仿宋_GB2312"/>
                <w:sz w:val="24"/>
              </w:rPr>
              <w:t>8、资源的在线收藏：平台电子试卷等资源实现在线一键式收藏，并且可以实现对个人收藏学习资源的个人管理。</w:t>
            </w:r>
          </w:p>
          <w:p>
            <w:pPr>
              <w:pStyle w:val="null3"/>
              <w:jc w:val="both"/>
            </w:pPr>
            <w:r>
              <w:rPr>
                <w:rFonts w:ascii="仿宋_GB2312" w:hAnsi="仿宋_GB2312" w:cs="仿宋_GB2312" w:eastAsia="仿宋_GB2312"/>
                <w:sz w:val="24"/>
              </w:rPr>
              <w:t>9、组卷训练：包含随机组卷和专项训练两大功能。可以针对平台里的试题/试卷，通过随机组卷功能，组成符合自己需求的试卷。运用专项训练功能，可以针对学习的薄弱环节，组成符合某种考试某个题型的专项试卷，便于侧重点的学习。</w:t>
            </w:r>
          </w:p>
          <w:p>
            <w:pPr>
              <w:pStyle w:val="null3"/>
              <w:jc w:val="both"/>
            </w:pPr>
            <w:r>
              <w:rPr>
                <w:rFonts w:ascii="仿宋_GB2312" w:hAnsi="仿宋_GB2312" w:cs="仿宋_GB2312" w:eastAsia="仿宋_GB2312"/>
                <w:sz w:val="24"/>
              </w:rPr>
              <w:t>10、错题中心：记录用户答题后有错题的试卷名称，用户可在该模块下进行重新答题或者只答错题两种选择方式。</w:t>
            </w:r>
          </w:p>
          <w:p>
            <w:pPr>
              <w:pStyle w:val="null3"/>
              <w:jc w:val="both"/>
            </w:pPr>
            <w:r>
              <w:rPr>
                <w:rFonts w:ascii="仿宋_GB2312" w:hAnsi="仿宋_GB2312" w:cs="仿宋_GB2312" w:eastAsia="仿宋_GB2312"/>
                <w:sz w:val="24"/>
              </w:rPr>
              <w:t>11、提供H5页面微信版实现移动端使用平台资源服务，确保手机用户能够正常访问资源。</w:t>
            </w:r>
          </w:p>
          <w:p>
            <w:pPr>
              <w:pStyle w:val="null3"/>
              <w:jc w:val="both"/>
            </w:pPr>
            <w:r>
              <w:rPr>
                <w:rFonts w:ascii="仿宋_GB2312" w:hAnsi="仿宋_GB2312" w:cs="仿宋_GB2312" w:eastAsia="仿宋_GB2312"/>
                <w:sz w:val="24"/>
              </w:rPr>
              <w:t>12、提供触摸屏版定制版本，支持42寸/50寸等常见尺寸触摸屏安装使用，直接点击触摸屏，即可在触摸屏打开试卷，在线答卷，在线交卷等功能。</w:t>
            </w:r>
          </w:p>
          <w:p>
            <w:pPr>
              <w:pStyle w:val="null3"/>
              <w:jc w:val="both"/>
            </w:pPr>
            <w:r>
              <w:rPr>
                <w:rFonts w:ascii="仿宋_GB2312" w:hAnsi="仿宋_GB2312" w:cs="仿宋_GB2312" w:eastAsia="仿宋_GB2312"/>
                <w:sz w:val="24"/>
              </w:rPr>
              <w:t>13、确保平台资源的版权无忧，资源稳定更新。</w:t>
            </w:r>
          </w:p>
          <w:p>
            <w:pPr>
              <w:pStyle w:val="null3"/>
              <w:jc w:val="both"/>
            </w:pPr>
            <w:r>
              <w:rPr>
                <w:rFonts w:ascii="仿宋_GB2312" w:hAnsi="仿宋_GB2312" w:cs="仿宋_GB2312" w:eastAsia="仿宋_GB2312"/>
                <w:sz w:val="24"/>
              </w:rPr>
              <w:t>14、平台资源不受并发限制。</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标的名称：Spischolar学术资源在线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1、主要功能：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1）整合国内外主流数据库中的期刊9万余种，外文期刊7万余种，资源丰富，学术性强；</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2）一站式集成国内外期刊权威收录体系，从权威收录体系出发，找到本学科核心期刊；</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3）提供刊名、ISSN、主题词、学科名等期刊检索方式；支持简单检索、高级检索、支持在结果中二次检索；</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4）提供收录数据库、学科、期刊语种等筛选功能，可以筛选交叉学科的期刊，快速锁定目标期刊；</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5）提供基于主题词的期刊分析功能，综合使用定性与定量方法，分析期刊发文主题频次及其共现关系，深入分析期刊发文方向，揭示期刊研究方向；</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6）提供多种全文获取方式，包括直接下载、数据库下载和文献互助等方式，帮助读者多途径获取文献全文；</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7）提供校外访问功能：读者在机构IP内外皆可注册，审核通过后即可在机构IP外通过互联网登录使用，无需使用VPN等第三方系统；同时还支持CARSI认证方式，对接学校统一认证系统。</w:t>
            </w:r>
          </w:p>
          <w:p>
            <w:pPr>
              <w:pStyle w:val="null3"/>
              <w:jc w:val="both"/>
            </w:pPr>
            <w:r>
              <w:rPr>
                <w:rFonts w:ascii="仿宋_GB2312" w:hAnsi="仿宋_GB2312" w:cs="仿宋_GB2312" w:eastAsia="仿宋_GB2312"/>
                <w:sz w:val="24"/>
                <w:b/>
              </w:rPr>
              <w:t>2、访问方式：</w:t>
            </w:r>
          </w:p>
          <w:p>
            <w:pPr>
              <w:pStyle w:val="null3"/>
              <w:ind w:firstLine="480"/>
              <w:jc w:val="both"/>
            </w:pPr>
            <w:r>
              <w:rPr>
                <w:rFonts w:ascii="仿宋_GB2312" w:hAnsi="仿宋_GB2312" w:cs="仿宋_GB2312" w:eastAsia="仿宋_GB2312"/>
                <w:sz w:val="24"/>
              </w:rPr>
              <w:t>采用</w:t>
            </w:r>
            <w:r>
              <w:rPr>
                <w:rFonts w:ascii="仿宋_GB2312" w:hAnsi="仿宋_GB2312" w:cs="仿宋_GB2312" w:eastAsia="仿宋_GB2312"/>
                <w:sz w:val="24"/>
              </w:rPr>
              <w:t>IP地址控制访问权限，无并发用户限制。</w:t>
            </w:r>
          </w:p>
          <w:p>
            <w:pPr>
              <w:pStyle w:val="null3"/>
              <w:ind w:firstLine="480"/>
              <w:jc w:val="both"/>
            </w:pPr>
            <w:r>
              <w:rPr>
                <w:rFonts w:ascii="仿宋_GB2312" w:hAnsi="仿宋_GB2312" w:cs="仿宋_GB2312" w:eastAsia="仿宋_GB2312"/>
                <w:sz w:val="24"/>
              </w:rPr>
              <w:t>数据库网址：</w:t>
            </w:r>
            <w:r>
              <w:rPr>
                <w:rFonts w:ascii="仿宋_GB2312" w:hAnsi="仿宋_GB2312" w:cs="仿宋_GB2312" w:eastAsia="仿宋_GB2312"/>
                <w:sz w:val="24"/>
              </w:rPr>
              <w:t>http://spis.hnlat.com/。</w:t>
            </w:r>
          </w:p>
          <w:p>
            <w:pPr>
              <w:pStyle w:val="null3"/>
              <w:jc w:val="both"/>
            </w:pPr>
            <w:r>
              <w:rPr>
                <w:rFonts w:ascii="仿宋_GB2312" w:hAnsi="仿宋_GB2312" w:cs="仿宋_GB2312" w:eastAsia="仿宋_GB2312"/>
                <w:sz w:val="24"/>
                <w:b/>
              </w:rPr>
              <w:t>3、数据更新：</w:t>
            </w:r>
          </w:p>
          <w:p>
            <w:pPr>
              <w:pStyle w:val="null3"/>
              <w:ind w:firstLine="480"/>
              <w:jc w:val="both"/>
            </w:pPr>
            <w:r>
              <w:rPr>
                <w:rFonts w:ascii="仿宋_GB2312" w:hAnsi="仿宋_GB2312" w:cs="仿宋_GB2312" w:eastAsia="仿宋_GB2312"/>
                <w:sz w:val="24"/>
              </w:rPr>
              <w:t>每周更新数据。</w:t>
            </w:r>
          </w:p>
          <w:p>
            <w:pPr>
              <w:pStyle w:val="null3"/>
              <w:jc w:val="both"/>
            </w:pPr>
            <w:r>
              <w:rPr>
                <w:rFonts w:ascii="仿宋_GB2312" w:hAnsi="仿宋_GB2312" w:cs="仿宋_GB2312" w:eastAsia="仿宋_GB2312"/>
                <w:sz w:val="24"/>
                <w:b/>
              </w:rPr>
              <w:t>4、使用权限：</w:t>
            </w:r>
          </w:p>
          <w:p>
            <w:pPr>
              <w:pStyle w:val="null3"/>
              <w:ind w:firstLine="480"/>
              <w:jc w:val="both"/>
            </w:pPr>
            <w:r>
              <w:rPr>
                <w:rFonts w:ascii="仿宋_GB2312" w:hAnsi="仿宋_GB2312" w:cs="仿宋_GB2312" w:eastAsia="仿宋_GB2312"/>
                <w:sz w:val="24"/>
              </w:rPr>
              <w:t>提供订购当年数据库中所有内容的访问权，无年限限制。</w:t>
            </w:r>
          </w:p>
          <w:p>
            <w:pPr>
              <w:pStyle w:val="null3"/>
              <w:jc w:val="both"/>
            </w:pPr>
            <w:r>
              <w:rPr>
                <w:rFonts w:ascii="仿宋_GB2312" w:hAnsi="仿宋_GB2312" w:cs="仿宋_GB2312" w:eastAsia="仿宋_GB2312"/>
                <w:sz w:val="24"/>
                <w:b/>
              </w:rPr>
              <w:t>5、售后服务：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1）服务承诺：质保期内定期提供数据更新与软件维护服务。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2）故障响应时间:提供7×24小时的故障服务受理，并在24小时内对故障进行修复或给出反馈。</w:t>
            </w:r>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标的名称：Worldlib sci精品学术论文平台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b/>
              </w:rPr>
              <w:t>技术指标</w:t>
            </w:r>
            <w:r>
              <w:rPr>
                <w:rFonts w:ascii="仿宋_GB2312" w:hAnsi="仿宋_GB2312" w:cs="仿宋_GB2312" w:eastAsia="仿宋_GB2312"/>
                <w:sz w:val="24"/>
                <w:b/>
              </w:rPr>
              <w:t>：</w:t>
            </w:r>
          </w:p>
          <w:p>
            <w:pPr>
              <w:pStyle w:val="null3"/>
              <w:spacing w:after="120"/>
              <w:jc w:val="both"/>
            </w:pPr>
            <w:r>
              <w:rPr>
                <w:rFonts w:ascii="仿宋_GB2312" w:hAnsi="仿宋_GB2312" w:cs="仿宋_GB2312" w:eastAsia="仿宋_GB2312"/>
                <w:sz w:val="24"/>
              </w:rPr>
              <w:t>1、平台文献量不低于230万篇，所有文献均来源于第三方链接，且支持手机二维码下载阅读，本地不存储商业元数据及全文。</w:t>
            </w:r>
          </w:p>
          <w:p>
            <w:pPr>
              <w:pStyle w:val="null3"/>
              <w:spacing w:after="120"/>
              <w:jc w:val="both"/>
            </w:pPr>
            <w:r>
              <w:rPr>
                <w:rFonts w:ascii="仿宋_GB2312" w:hAnsi="仿宋_GB2312" w:cs="仿宋_GB2312" w:eastAsia="仿宋_GB2312"/>
                <w:sz w:val="24"/>
              </w:rPr>
              <w:t>2、平台具备不低于8000万的系统词表做支撑，且词表不得重复。</w:t>
            </w:r>
          </w:p>
          <w:p>
            <w:pPr>
              <w:pStyle w:val="null3"/>
              <w:spacing w:after="120"/>
              <w:jc w:val="both"/>
            </w:pPr>
            <w:r>
              <w:rPr>
                <w:rFonts w:ascii="仿宋_GB2312" w:hAnsi="仿宋_GB2312" w:cs="仿宋_GB2312" w:eastAsia="仿宋_GB2312"/>
                <w:sz w:val="24"/>
              </w:rPr>
              <w:t>3、提供方便快捷的安装维护，内置Sqlserver、文本等可视化导入工具、自带Web服务器功能，包括用户认证管理、数据存储服务、搜索引擎服务、WEB发布服务、访问监控服务等功能，并且可以镜像派发生成专题数据库并且不需要安装任何数据库。</w:t>
            </w:r>
          </w:p>
          <w:p>
            <w:pPr>
              <w:pStyle w:val="null3"/>
              <w:spacing w:after="120"/>
              <w:jc w:val="both"/>
            </w:pPr>
            <w:r>
              <w:rPr>
                <w:rFonts w:ascii="仿宋_GB2312" w:hAnsi="仿宋_GB2312" w:cs="仿宋_GB2312" w:eastAsia="仿宋_GB2312"/>
                <w:sz w:val="24"/>
              </w:rPr>
              <w:t>4、做好安全加密工作，平台网站及数据库文件都应该加密，确保网络数据安全。</w:t>
            </w:r>
          </w:p>
          <w:p>
            <w:pPr>
              <w:pStyle w:val="null3"/>
              <w:spacing w:after="120"/>
              <w:jc w:val="both"/>
            </w:pPr>
            <w:r>
              <w:rPr>
                <w:rFonts w:ascii="仿宋_GB2312" w:hAnsi="仿宋_GB2312" w:cs="仿宋_GB2312" w:eastAsia="仿宋_GB2312"/>
                <w:sz w:val="24"/>
              </w:rPr>
              <w:t>5、平台易用性，可以按照检索点导航、学科导航、日期导航、期刊导航、语种导航等多种途径导航且允许用户修改或自定义分类法。</w:t>
            </w:r>
          </w:p>
          <w:p>
            <w:pPr>
              <w:pStyle w:val="null3"/>
              <w:spacing w:after="120"/>
              <w:jc w:val="both"/>
            </w:pPr>
            <w:r>
              <w:rPr>
                <w:rFonts w:ascii="仿宋_GB2312" w:hAnsi="仿宋_GB2312" w:cs="仿宋_GB2312" w:eastAsia="仿宋_GB2312"/>
                <w:sz w:val="24"/>
              </w:rPr>
              <w:t>6、平台提供域名绑定功能，具备统计访问数据文件大小流量功能，具备用户检索记录还原功能,具备B类ip访问地址统计功能，对用户访问实时监控并追踪用户IP和访问资源url。</w:t>
            </w:r>
          </w:p>
          <w:p>
            <w:pPr>
              <w:pStyle w:val="null3"/>
              <w:spacing w:after="120"/>
              <w:jc w:val="both"/>
            </w:pPr>
            <w:r>
              <w:rPr>
                <w:rFonts w:ascii="仿宋_GB2312" w:hAnsi="仿宋_GB2312" w:cs="仿宋_GB2312" w:eastAsia="仿宋_GB2312"/>
                <w:sz w:val="24"/>
              </w:rPr>
              <w:t>7、平台上不得存储未经数据商授权的商业元数据和全文数据，无版权风险和隐患。</w:t>
            </w:r>
          </w:p>
          <w:p>
            <w:pPr>
              <w:pStyle w:val="null3"/>
              <w:jc w:val="both"/>
            </w:pPr>
            <w:r>
              <w:rPr>
                <w:rFonts w:ascii="仿宋_GB2312" w:hAnsi="仿宋_GB2312" w:cs="仿宋_GB2312" w:eastAsia="仿宋_GB2312"/>
                <w:sz w:val="24"/>
              </w:rPr>
              <w:t>8、产品取得了国家版权局颁发的计算机软件著作权证书。</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 365 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 365 日</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 365 日</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自合同签订之日起 365 日</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自合同签订之日起 365 日</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自合同签订之日起 365 日</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自合同签订之日起 365 日</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自合同签订之日起 365 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安康学院</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安康学院</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安康学院</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安康学院</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安康学院</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安康学院</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安康学院</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安康学院</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双方在合同签订后，资源开通完毕并经终验合格，收到供应商开具全额发票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双方在合同签订后，资源开通完毕并经终验合格，收到供应商开具全额发票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双方在合同签订后，资源开通完毕并经终验合格，收到供应商开具全额发票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双方在合同签订后，资源开通完毕并经终验合格，收到供应商开具全额发票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双方在合同签订后，资源开通完毕并经终验合格，收到供应商开具全额发票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双方在合同签订后，资源开通完毕并经终验合格，收到供应商开具全额发票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双方在合同签订后，资源开通完毕并经终验合格，收到供应商开具全额发票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采购包8：</w:t>
      </w:r>
      <w:r>
        <w:rPr>
          <w:rFonts w:ascii="仿宋_GB2312" w:hAnsi="仿宋_GB2312" w:cs="仿宋_GB2312" w:eastAsia="仿宋_GB2312"/>
        </w:rPr>
        <w:t xml:space="preserve"> 付款条件说明： </w:t>
      </w:r>
      <w:r>
        <w:rPr>
          <w:rFonts w:ascii="仿宋_GB2312" w:hAnsi="仿宋_GB2312" w:cs="仿宋_GB2312" w:eastAsia="仿宋_GB2312"/>
        </w:rPr>
        <w:t>双方在合同签订后，资源开通完毕并经终验合格，收到供应商开具全额发票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安康学院图书馆组成验收小组进行初验，验收小组对供应商提供的数据库名称、技术性能、数量、服务承诺等，对照政府采购合同、供应商投标（响应）文件等逐项进行核对和验收。 验收流程安康学院图书馆初步验收合格后向国资处提交初验报告单，由国资处组织验收小组进行终验。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验收标准：安康学院图书馆组成验收小组进行初验，验收小组对供应商提供的数据库名称、技术性能、数量、服务承诺等，对照政府采购合同、供应商投标（响应）文件等逐项进行核对和验收。 验收流程：安康学院图书馆初步验收合格后向国资处提交初验报告单，由国资处组织验收小组进行终验。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验收标准：安康学院图书馆组成验收小组进行初验，验收小组对供应商提供的数据库名称、技术性能、数量、服务承诺等，对照政府采购合同、供应商投标（响应）文件等逐项进行核对和验收。 验收流程：安康学院图书馆初步验收合格后向国资处提交初验报告单，由国资处组织验收小组进行终验。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验收标准：安康学院图书馆组成验收小组进行初验，验收小组对供应商提供的数据库名称、技术性能、数量、服务承诺等，对照政府采购合同、供应商投标（响应）文件等逐项进行核对和验收。 验收流程：安康学院图书馆初步验收合格后向国资处提交初验报告单，由国资处组织验收小组进行终验。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验收标准：安康学院图书馆组成验收小组进行初验，验收小组对供应商提供的数据库名称、技术性能、数量、服务承诺等，对照政府采购合同、供应商投标（响应）文件等逐项进行核对和验收。 验收流程：安康学院图书馆初步验收合格后向国资处提交初验报告单，由国资处组织验收小组进行终验。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验收标准：安康学院图书馆组成验收小组进行初验，验收小组对供应商提供的数据库名称、技术性能、数量、服务承诺等，对照政府采购合同、供应商投标（响应）文件等逐项进行核对和验收。 验收流程：安康学院图书馆初步验收合格后向国资处提交初验报告单，由国资处组织验收小组进行终验。</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验收标准：安康学院图书馆组成验收小组进行初验，验收小组对供应商提供的数据库名称、技术性能、数量、服务承诺等，对照政府采购合同、供应商投标（响应）文件等逐项进行核对和验收。 验收流程：安康学院图书馆初步验收合格后向国资处提交初验报告单，由国资处组织验收小组进行终验。</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验收标准：安康学院图书馆组成验收小组进行初验，验收小组对供应商提供的数据库名称、技术性能、数量、服务承诺等，对照政府采购合同、供应商投标（响应）文件等逐项进行核对和验收。 验收流程：安康学院图书馆初步验收合格后向国资处提交初验报告单，由国资处组织验收小组进行终验。</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按《民法典》等国家相关法律法规执行，或按双方约定。如有纠纷，双方友好协商解决，协商不成时应向安康市人民法院起诉 。</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按《民法典》等国家相关法律法规执行，或按双方约定。如有纠纷，双方友好协商解决，协商不成时应向安康市人民法院起诉 。</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按《民法典》等国家相关法律法规执行，或按双方约定。如有纠纷，双方友好协商解决，协商不成时应向安康市人民法院起诉 。</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按《民法典》等国家相关法律法规执行，或按双方约定。如有纠纷，双方友好协商解决，协商不成时应向安康市人民法院起诉 。</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按《民法典》等国家相关法律法规执行，或按双方约定。如有纠纷，双方友好协商解决，协商不成时应向安康市人民法院起诉 。</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按《民法典》等国家相关法律法规执行，或按双方约定。如有纠纷，双方友好协商解决，协商不成时应向安康市人民法院起诉 。</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按《民法典》等国家相关法律法规执行，或按双方约定。如有纠纷，双方友好协商解决，协商不成时应向安康市人民法院起诉 。</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按《民法典》等国家相关法律法规执行，或按双方约定。如有纠纷，双方友好协商解决，协商不成时应向安康市人民法院起诉 。</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1、供应商需要在线提交所有通过电子化交易平台实施的政府采购项目的响应文件。同时，编辑目录和页码，线下提交纸质响应文件正本壹份、副本贰份、电子版壹份（U盘壹份）。 2、纸质响应文件正副本分别胶装，标明供应商名称密封递交（响应文件采用双面打印）。 3、线下纸质文件递交截止时间：同在线递交电子响应文件截止时间一致；线下纸质文件递交地点：西安市雁展路1111号莱安中心T6-15层。如需邮寄响应文件，仅接受顺丰速运（联系人：温虎、联系电话：029-81206622-820）。</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1、供应商需要在线提交所有通过电子化交易平台实施的政府采购项目的响应文件。同时，编辑目录和页码，线下提交纸质响应文件正本壹份、副本贰份、电子版壹份（U盘壹份）。 2、纸质响应文件正副本分别胶装，标明供应商名称密封递交（响应文件采用双面打印）。 3、线下纸质文件递交截止时间：同在线递交电子响应文件截止时间一致；线下纸质文件递交地点：西安市雁展路1111号莱安中心T6-15层。如需邮寄响应文件，仅接受顺丰速运（联系人：温虎、联系电话：029-81206622-820）。</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1、供应商需要在线提交所有通过电子化交易平台实施的政府采购项目的响应文件。同时，编辑目录和页码，线下提交纸质响应文件正本壹份、副本贰份、电子版壹份（U盘壹份）。 2、纸质响应文件正副本分别胶装，标明供应商名称密封递交（响应文件采用双面打印）。 3、线下纸质文件递交截止时间：同在线递交电子响应文件截止时间一致；线下纸质文件递交地点：西安市雁展路1111号莱安中心T6-15层。如需邮寄响应文件，仅接受顺丰速运（联系人：温虎、联系电话：029-81206622-820）。</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1、供应商需要在线提交所有通过电子化交易平台实施的政府采购项目的响应文件。同时，编辑目录和页码，线下提交纸质响应文件正本壹份、副本贰份、电子版壹份（U盘壹份）。 2、纸质响应文件正副本分别胶装，标明供应商名称密封递交（响应文件采用双面打印）。 3、线下纸质文件递交截止时间：同在线递交电子响应文件截止时间一致；线下纸质文件递交地点：西安市雁展路1111号莱安中心T6-15层。如需邮寄响应文件，仅接受顺丰速运（联系人：温虎、联系电话：029-81206622-820）。</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1、供应商需要在线提交所有通过电子化交易平台实施的政府采购项目的响应文件。同时，编辑目录和页码，线下提交纸质响应文件正本壹份、副本贰份、电子版壹份（U盘壹份）。 2、纸质响应文件正副本分别胶装，标明供应商名称密封递交（响应文件采用双面打印）。 3、线下纸质文件递交截止时间：同在线递交电子响应文件截止时间一致；线下纸质文件递交地点：西安市雁展路1111号莱安中心T6-15层。如需邮寄响应文件，仅接受顺丰速运（联系人：温虎、联系电话：029-81206622-820）。</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1、供应商需要在线提交所有通过电子化交易平台实施的政府采购项目的响应文件。同时，编辑目录和页码，线下提交纸质响应文件正本壹份、副本贰份、电子版壹份（U盘壹份）。 2、纸质响应文件正副本分别胶装，标明供应商名称密封递交（响应文件采用双面打印）。 3、线下纸质文件递交截止时间：同在线递交电子响应文件截止时间一致；线下纸质文件递交地点：西安市雁展路1111号莱安中心T6-15层。如需邮寄响应文件，仅接受顺丰速运（联系人：温虎、联系电话：029-81206622-820）。</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1、供应商需要在线提交所有通过电子化交易平台实施的政府采购项目的响应文件。同时，编辑目录和页码，线下提交纸质响应文件正本壹份、副本贰份、电子版壹份（U盘壹份）。 2、纸质响应文件正副本分别胶装，标明供应商名称密封递交（响应文件采用双面打印）。 3、线下纸质文件递交截止时间：同在线递交电子响应文件截止时间一致；线下纸质文件递交地点：西安市雁展路1111号莱安中心T6-15层。如需邮寄响应文件，仅接受顺丰速运（联系人：温虎、联系电话：029-81206622-820）。</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1、供应商需要在线提交所有通过电子化交易平台实施的政府采购项目的响应文件。同时，编辑目录和页码，线下提交纸质响应文件正本壹份、副本贰份、电子版壹份（U盘壹份）。 2、纸质响应文件正副本分别胶装，标明供应商名称密封递交（响应文件采用双面打印）。 3、线下纸质文件递交截止时间：同在线递交电子响应文件截止时间一致；线下纸质文件递交地点：西安市雁展路1111号莱安中心T6-15层。如需邮寄响应文件，仅接受顺丰速运（联系人：温虎、联系电话：029-81206622-820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提供2024年度完整的财务审计报告，或开标时间前六个月内银行出具的资信证明。其他组织和自然人提供银行出具的资信证明。（以上两种形式的资料提供任何一种即可）</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提供2024年7月至今已缴存的至少一个月的依法缴纳税款的相关凭据（时间以税款所属日期为准），凭据应有税务机关或代收机关的公章或业务专用章。依法免税或无须缴纳税款的投标人，应提供相关证明文件。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提供2024年7月至今已缴存的至少一个月的社会保障资金缴存单据或社保机构开具的社会保险参保缴费情况证明，依法不需要缴纳社会保障资金的单位应提供相关证明材料。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法定代表人授权书及被授权人身份证明。（法定代表人直接谈判只须提交其身份证明）</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提供2024年度完整的财务审计报告，或开标时间前六个月内银行出具的资信证明。其他组织和自然人提供银行出具的资信证明。（以上两种形式的资料提供任何一种即可）</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提供2024年7月至今已缴存的至少一个月的依法缴纳税款的相关凭据（时间以税款所属日期为准），凭据应有税务机关或代收机关的公章或业务专用章。依法免税或无须缴纳税款的投标人，应提供相关证明文件。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提供2024年7月至今已缴存的至少一个月的社会保障资金缴存单据或社保机构开具的社会保险参保缴费情况证明，依法不需要缴纳社会保障资金的单位应提供相关证明材料。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法定代表人授权书及被授权人身份证明。（法定代表人直接谈判只须提交其身份证明）</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提供2024年度完整的财务审计报告，或开标时间前六个月内银行出具的资信证明。其他组织和自然人提供银行出具的资信证明。（以上两种形式的资料提供任何一种即可）</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提供2024年7月至今已缴存的至少一个月的依法缴纳税款的相关凭据（时间以税款所属日期为准），凭据应有税务机关或代收机关的公章或业务专用章。依法免税或无须缴纳税款的投标人，应提供相关证明文件。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提供2024年7月至今已缴存的至少一个月的社会保障资金缴存单据或社保机构开具的社会保险参保缴费情况证明，依法不需要缴纳社会保障资金的单位应提供相关证明材料。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法定代表人授权书及被授权人身份证明。（法定代表人直接谈判只须提交其身份证明）</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提供2024年度完整的财务审计报告，或开标时间前六个月内银行出具的资信证明。其他组织和自然人提供银行出具的资信证明。（以上两种形式的资料提供任何一种即可）</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提供2024年7月至今已缴存的至少一个月的依法缴纳税款的相关凭据（时间以税款所属日期为准），凭据应有税务机关或代收机关的公章或业务专用章。依法免税或无须缴纳税款的投标人，应提供相关证明文件。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提供2024年7月至今已缴存的至少一个月的社会保障资金缴存单据或社保机构开具的社会保险参保缴费情况证明，依法不需要缴纳社会保障资金的单位应提供相关证明材料。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法定代表人授权书及被授权人身份证明。（法定代表人直接谈判只须提交其身份证明）</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提供2024年度完整的财务审计报告，或开标时间前六个月内银行出具的资信证明。其他组织和自然人提供银行出具的资信证明。（以上两种形式的资料提供任何一种即可）</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提供2024年7月至今已缴存的至少一个月的依法缴纳税款的相关凭据（时间以税款所属日期为准），凭据应有税务机关或代收机关的公章或业务专用章。依法免税或无须缴纳税款的投标人，应提供相关证明文件。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提供2024年7月至今已缴存的至少一个月的社会保障资金缴存单据或社保机构开具的社会保险参保缴费情况证明，依法不需要缴纳社会保障资金的单位应提供相关证明材料。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法定代表人授权书及被授权人身份证明。（法定代表人直接谈判只须提交其身份证明）</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提供2024年度完整的财务审计报告，或开标时间前六个月内银行出具的资信证明。其他组织和自然人提供银行出具的资信证明。（以上两种形式的资料提供任何一种即可）</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提供2024年7月至今已缴存的至少一个月的依法缴纳税款的相关凭据（时间以税款所属日期为准），凭据应有税务机关或代收机关的公章或业务专用章。依法免税或无须缴纳税款的投标人，应提供相关证明文件。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提供2024年7月至今已缴存的至少一个月的社会保障资金缴存单据或社保机构开具的社会保险参保缴费情况证明，依法不需要缴纳社会保障资金的单位应提供相关证明材料。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法定代表人授权书及被授权人身份证明。（法定代表人直接谈判只须提交其身份证明）</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提供2024年度完整的财务审计报告，或开标时间前六个月内银行出具的资信证明。其他组织和自然人提供银行出具的资信证明。（以上两种形式的资料提供任何一种即可）</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提供2024年7月至今已缴存的至少一个月的依法缴纳税款的相关凭据（时间以税款所属日期为准），凭据应有税务机关或代收机关的公章或业务专用章。依法免税或无须缴纳税款的投标人，应提供相关证明文件。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提供2024年7月至今已缴存的至少一个月的社会保障资金缴存单据或社保机构开具的社会保险参保缴费情况证明，依法不需要缴纳社会保障资金的单位应提供相关证明材料。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法定代表人授权书及被授权人身份证明。（法定代表人直接谈判只须提交其身份证明）</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提供2024年度完整的财务审计报告，或开标时间前六个月内银行出具的资信证明。其他组织和自然人提供银行出具的资信证明。（以上两种形式的资料提供任何一种即可）</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提供2024年7月至今已缴存的至少一个月的依法缴纳税款的相关凭据（时间以税款所属日期为准），凭据应有税务机关或代收机关的公章或业务专用章。依法免税或无须缴纳税款的投标人，应提供相关证明文件。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提供2024年7月至今已缴存的至少一个月的社会保障资金缴存单据或社保机构开具的社会保险参保缴费情况证明，依法不需要缴纳社会保障资金的单位应提供相关证明材料。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法定代表人授权书及被授权人身份证明。（法定代表人直接谈判只须提交其身份证明）</w:t>
            </w:r>
          </w:p>
        </w:tc>
        <w:tc>
          <w:tcPr>
            <w:tcW w:type="dxa" w:w="1661"/>
          </w:tcPr>
          <w:p>
            <w:pPr>
              <w:pStyle w:val="null3"/>
            </w:pPr>
            <w:r>
              <w:rPr>
                <w:rFonts w:ascii="仿宋_GB2312" w:hAnsi="仿宋_GB2312" w:cs="仿宋_GB2312" w:eastAsia="仿宋_GB2312"/>
              </w:rPr>
              <w:t>供应商资格证明文件.docx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响应文件封面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开标过程中，评标委员会认为供应商报价，有可能影响项目质量或者不能诚信履约的，评标委员会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评标委员会要求的时间内通过项目电子化交易系统进行提交，否则提交的相关证明材料无效。供应商不能证明其报价合理性的，评标委员会应当将其响应文件作为无效处理。</w:t>
            </w:r>
          </w:p>
        </w:tc>
        <w:tc>
          <w:tcPr>
            <w:tcW w:type="dxa" w:w="1661"/>
          </w:tcPr>
          <w:p>
            <w:pPr>
              <w:pStyle w:val="null3"/>
            </w:pPr>
            <w:r>
              <w:rPr>
                <w:rFonts w:ascii="仿宋_GB2312" w:hAnsi="仿宋_GB2312" w:cs="仿宋_GB2312" w:eastAsia="仿宋_GB2312"/>
              </w:rPr>
              <w:t>分项报价表.docx 标的清单 报价表 报价表.docx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响应文件按单一来源采购文件要求签字盖章</w:t>
            </w:r>
          </w:p>
        </w:tc>
        <w:tc>
          <w:tcPr>
            <w:tcW w:type="dxa" w:w="1661"/>
          </w:tcPr>
          <w:p>
            <w:pPr>
              <w:pStyle w:val="null3"/>
            </w:pPr>
            <w:r>
              <w:rPr>
                <w:rFonts w:ascii="仿宋_GB2312" w:hAnsi="仿宋_GB2312" w:cs="仿宋_GB2312" w:eastAsia="仿宋_GB2312"/>
              </w:rPr>
              <w:t>响应方案说明.docx 中小企业声明函 报价表 供应商承诺书.docx 商务条款响应说明.docx 响应文件封面 分项报价表.docx 残疾人福利性单位声明函 标的清单 服务内容及服务要求应答表.docx 供应商资格证明文件.docx 响应函 报价表.docx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谈判有效期达到单一来源采购文件要求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符合法律、法规和单一来源采购文件中规定的其他实质性要求</w:t>
            </w:r>
          </w:p>
        </w:tc>
        <w:tc>
          <w:tcPr>
            <w:tcW w:type="dxa" w:w="1661"/>
          </w:tcPr>
          <w:p>
            <w:pPr>
              <w:pStyle w:val="null3"/>
            </w:pPr>
            <w:r>
              <w:rPr>
                <w:rFonts w:ascii="仿宋_GB2312" w:hAnsi="仿宋_GB2312" w:cs="仿宋_GB2312" w:eastAsia="仿宋_GB2312"/>
              </w:rPr>
              <w:t>响应方案说明.docx 中小企业声明函 报价表 供应商承诺书.docx 商务条款响应说明.docx 响应文件封面 分项报价表.docx 残疾人福利性单位声明函 标的清单 服务内容及服务要求应答表.docx 供应商资格证明文件.docx 报价表.docx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响应文件封面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开标过程中，评标委员会认为供应商报价，有可能影响项目质量或者不能诚信履约的，评标委员会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评标委员会要求的时间内通过项目电子化交易系统进行提交，否则提交的相关证明材料无效。供应商不能证明其报价合理性的，评标委员会应当将其响应文件作为无效处理。</w:t>
            </w:r>
          </w:p>
        </w:tc>
        <w:tc>
          <w:tcPr>
            <w:tcW w:type="dxa" w:w="1661"/>
          </w:tcPr>
          <w:p>
            <w:pPr>
              <w:pStyle w:val="null3"/>
            </w:pPr>
            <w:r>
              <w:rPr>
                <w:rFonts w:ascii="仿宋_GB2312" w:hAnsi="仿宋_GB2312" w:cs="仿宋_GB2312" w:eastAsia="仿宋_GB2312"/>
              </w:rPr>
              <w:t>分项报价表.docx 标的清单 报价表 响应函 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响应文件按单一来源采购文件要求签字盖章。</w:t>
            </w:r>
          </w:p>
        </w:tc>
        <w:tc>
          <w:tcPr>
            <w:tcW w:type="dxa" w:w="1661"/>
          </w:tcPr>
          <w:p>
            <w:pPr>
              <w:pStyle w:val="null3"/>
            </w:pPr>
            <w:r>
              <w:rPr>
                <w:rFonts w:ascii="仿宋_GB2312" w:hAnsi="仿宋_GB2312" w:cs="仿宋_GB2312" w:eastAsia="仿宋_GB2312"/>
              </w:rPr>
              <w:t>响应方案说明.docx 中小企业声明函 报价表 供应商承诺书.docx 商务条款响应说明.docx 响应文件封面 分项报价表.docx 残疾人福利性单位声明函 标的清单 服务内容及服务要求应答表.docx 供应商资格证明文件.docx 响应函 报价表.docx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谈判有效期达到单一来源采购文件要求。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符合法律、法规和单一来源采购文件中规定的其他实质性要求。</w:t>
            </w:r>
          </w:p>
        </w:tc>
        <w:tc>
          <w:tcPr>
            <w:tcW w:type="dxa" w:w="1661"/>
          </w:tcPr>
          <w:p>
            <w:pPr>
              <w:pStyle w:val="null3"/>
            </w:pPr>
            <w:r>
              <w:rPr>
                <w:rFonts w:ascii="仿宋_GB2312" w:hAnsi="仿宋_GB2312" w:cs="仿宋_GB2312" w:eastAsia="仿宋_GB2312"/>
              </w:rPr>
              <w:t>响应方案说明.docx 中小企业声明函 报价表 供应商承诺书.docx 商务条款响应说明.docx 响应文件封面 分项报价表.docx 残疾人福利性单位声明函 标的清单 服务内容及服务要求应答表.docx 供应商资格证明文件.docx 响应函 报价表.docx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响应文件封面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开标过程中，评标委员会认为供应商报价，有可能影响项目质量或者不能诚信履约的，评标委员会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评标委员会要求的时间内通过项目电子化交易系统进行提交，否则提交的相关证明材料无效。供应商不能证明其报价合理性的，评标委员会应当将其响应文件作为无效处理。</w:t>
            </w:r>
          </w:p>
        </w:tc>
        <w:tc>
          <w:tcPr>
            <w:tcW w:type="dxa" w:w="1661"/>
          </w:tcPr>
          <w:p>
            <w:pPr>
              <w:pStyle w:val="null3"/>
            </w:pPr>
            <w:r>
              <w:rPr>
                <w:rFonts w:ascii="仿宋_GB2312" w:hAnsi="仿宋_GB2312" w:cs="仿宋_GB2312" w:eastAsia="仿宋_GB2312"/>
              </w:rPr>
              <w:t>分项报价表.docx 标的清单 报价表 报价表.docx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响应文件按单一来源采购文件要求签字盖章。</w:t>
            </w:r>
          </w:p>
        </w:tc>
        <w:tc>
          <w:tcPr>
            <w:tcW w:type="dxa" w:w="1661"/>
          </w:tcPr>
          <w:p>
            <w:pPr>
              <w:pStyle w:val="null3"/>
            </w:pPr>
            <w:r>
              <w:rPr>
                <w:rFonts w:ascii="仿宋_GB2312" w:hAnsi="仿宋_GB2312" w:cs="仿宋_GB2312" w:eastAsia="仿宋_GB2312"/>
              </w:rPr>
              <w:t>响应方案说明.docx 中小企业声明函 报价表 供应商承诺书.docx 商务条款响应说明.docx 响应文件封面 分项报价表.docx 残疾人福利性单位声明函 标的清单 服务内容及服务要求应答表.docx 供应商资格证明文件.docx 响应函 报价表.docx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谈判有效期达到单一来源采购文件要求。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符合法律、法规和单一来源采购文件中规定的其他实质性要求。</w:t>
            </w:r>
          </w:p>
        </w:tc>
        <w:tc>
          <w:tcPr>
            <w:tcW w:type="dxa" w:w="1661"/>
          </w:tcPr>
          <w:p>
            <w:pPr>
              <w:pStyle w:val="null3"/>
            </w:pPr>
            <w:r>
              <w:rPr>
                <w:rFonts w:ascii="仿宋_GB2312" w:hAnsi="仿宋_GB2312" w:cs="仿宋_GB2312" w:eastAsia="仿宋_GB2312"/>
              </w:rPr>
              <w:t>响应方案说明.docx 中小企业声明函 报价表 供应商承诺书.docx 商务条款响应说明.docx 响应文件封面 分项报价表.docx 残疾人福利性单位声明函 标的清单 服务内容及服务要求应答表.docx 供应商资格证明文件.docx 响应函 报价表.docx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响应文件封面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分项报价表.docx 标的清单 报价表 响应函 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响应文件按单一来源采购文件要求签字盖章。</w:t>
            </w:r>
          </w:p>
        </w:tc>
        <w:tc>
          <w:tcPr>
            <w:tcW w:type="dxa" w:w="1661"/>
          </w:tcPr>
          <w:p>
            <w:pPr>
              <w:pStyle w:val="null3"/>
            </w:pPr>
            <w:r>
              <w:rPr>
                <w:rFonts w:ascii="仿宋_GB2312" w:hAnsi="仿宋_GB2312" w:cs="仿宋_GB2312" w:eastAsia="仿宋_GB2312"/>
              </w:rPr>
              <w:t>响应方案说明.docx 中小企业声明函 报价表 供应商承诺书.docx 商务条款响应说明.docx 响应文件封面 分项报价表.docx 残疾人福利性单位声明函 标的清单 服务内容及服务要求应答表.docx 供应商资格证明文件.docx 响应函 报价表.docx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谈判有效期达到单一来源采购文件要求。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符合法律、法规和单一来源采购文件中规定的其他实质性要求。</w:t>
            </w:r>
          </w:p>
        </w:tc>
        <w:tc>
          <w:tcPr>
            <w:tcW w:type="dxa" w:w="1661"/>
          </w:tcPr>
          <w:p>
            <w:pPr>
              <w:pStyle w:val="null3"/>
            </w:pPr>
            <w:r>
              <w:rPr>
                <w:rFonts w:ascii="仿宋_GB2312" w:hAnsi="仿宋_GB2312" w:cs="仿宋_GB2312" w:eastAsia="仿宋_GB2312"/>
              </w:rPr>
              <w:t>响应方案说明.docx 中小企业声明函 报价表 供应商承诺书.docx 商务条款响应说明.docx 响应文件封面 分项报价表.docx 残疾人福利性单位声明函 标的清单 服务内容及服务要求应答表.docx 供应商资格证明文件.docx 报价表.docx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响应文件封面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开标过程中，评标委员会认为供应商报价，有可能影响项目质量或者不能诚信履约的，评标委员会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评标委员会要求的时间内通过项目电子化交易系统进行提交，否则提交的相关证明材料无效。供应商不能证明其报价合理性的，评标委员会应当将其响应文件作为无效处理。</w:t>
            </w:r>
          </w:p>
        </w:tc>
        <w:tc>
          <w:tcPr>
            <w:tcW w:type="dxa" w:w="1661"/>
          </w:tcPr>
          <w:p>
            <w:pPr>
              <w:pStyle w:val="null3"/>
            </w:pPr>
            <w:r>
              <w:rPr>
                <w:rFonts w:ascii="仿宋_GB2312" w:hAnsi="仿宋_GB2312" w:cs="仿宋_GB2312" w:eastAsia="仿宋_GB2312"/>
              </w:rPr>
              <w:t>分项报价表.docx 标的清单 报价表 响应函 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响应文件按单一来源采购文件要求签字盖章。</w:t>
            </w:r>
          </w:p>
        </w:tc>
        <w:tc>
          <w:tcPr>
            <w:tcW w:type="dxa" w:w="1661"/>
          </w:tcPr>
          <w:p>
            <w:pPr>
              <w:pStyle w:val="null3"/>
            </w:pPr>
            <w:r>
              <w:rPr>
                <w:rFonts w:ascii="仿宋_GB2312" w:hAnsi="仿宋_GB2312" w:cs="仿宋_GB2312" w:eastAsia="仿宋_GB2312"/>
              </w:rPr>
              <w:t>响应方案说明.docx 中小企业声明函 报价表 供应商承诺书.docx 商务条款响应说明.docx 响应文件封面 分项报价表.docx 残疾人福利性单位声明函 标的清单 服务内容及服务要求应答表.docx 供应商资格证明文件.docx 响应函 报价表.docx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谈判有效期达到单一来源采购文件要求。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符合法律、法规和单一来源采购文件中规定的其他实质性要求。</w:t>
            </w:r>
          </w:p>
        </w:tc>
        <w:tc>
          <w:tcPr>
            <w:tcW w:type="dxa" w:w="1661"/>
          </w:tcPr>
          <w:p>
            <w:pPr>
              <w:pStyle w:val="null3"/>
            </w:pPr>
            <w:r>
              <w:rPr>
                <w:rFonts w:ascii="仿宋_GB2312" w:hAnsi="仿宋_GB2312" w:cs="仿宋_GB2312" w:eastAsia="仿宋_GB2312"/>
              </w:rPr>
              <w:t>响应方案说明.docx 中小企业声明函 报价表 供应商承诺书.docx 商务条款响应说明.docx 响应文件封面 分项报价表.docx 残疾人福利性单位声明函 标的清单 服务内容及服务要求应答表.docx 供应商资格证明文件.docx 响应函 报价表.docx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响应文件封面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开标过程中，评标委员会认为供应商报价，有可能影响项目质量或者不能诚信履约的，评标委员会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评标委员会要求的时间内通过项目电子化交易系统进行提交，否则提交的相关证明材料无效。供应商不能证明其报价合理性的，评标委员会应当将其响应文件作为无效处理。</w:t>
            </w:r>
          </w:p>
        </w:tc>
        <w:tc>
          <w:tcPr>
            <w:tcW w:type="dxa" w:w="1661"/>
          </w:tcPr>
          <w:p>
            <w:pPr>
              <w:pStyle w:val="null3"/>
            </w:pPr>
            <w:r>
              <w:rPr>
                <w:rFonts w:ascii="仿宋_GB2312" w:hAnsi="仿宋_GB2312" w:cs="仿宋_GB2312" w:eastAsia="仿宋_GB2312"/>
              </w:rPr>
              <w:t>分项报价表.docx 标的清单 报价表 报价表.docx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响应文件按单一来源采购文件要求签字盖章。</w:t>
            </w:r>
          </w:p>
        </w:tc>
        <w:tc>
          <w:tcPr>
            <w:tcW w:type="dxa" w:w="1661"/>
          </w:tcPr>
          <w:p>
            <w:pPr>
              <w:pStyle w:val="null3"/>
            </w:pPr>
            <w:r>
              <w:rPr>
                <w:rFonts w:ascii="仿宋_GB2312" w:hAnsi="仿宋_GB2312" w:cs="仿宋_GB2312" w:eastAsia="仿宋_GB2312"/>
              </w:rPr>
              <w:t>响应方案说明.docx 中小企业声明函 报价表 供应商承诺书.docx 商务条款响应说明.docx 响应文件封面 分项报价表.docx 残疾人福利性单位声明函 标的清单 服务内容及服务要求应答表.docx 供应商资格证明文件.docx 响应函 报价表.docx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谈判有效期达到单一来源采购文件要求。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符合法律、法规和单一来源采购文件中规定的其他实质性要求。</w:t>
            </w:r>
          </w:p>
        </w:tc>
        <w:tc>
          <w:tcPr>
            <w:tcW w:type="dxa" w:w="1661"/>
          </w:tcPr>
          <w:p>
            <w:pPr>
              <w:pStyle w:val="null3"/>
            </w:pPr>
            <w:r>
              <w:rPr>
                <w:rFonts w:ascii="仿宋_GB2312" w:hAnsi="仿宋_GB2312" w:cs="仿宋_GB2312" w:eastAsia="仿宋_GB2312"/>
              </w:rPr>
              <w:t>响应方案说明.docx 中小企业声明函 报价表 供应商承诺书.docx 商务条款响应说明.docx 响应文件封面 分项报价表.docx 残疾人福利性单位声明函 标的清单 服务内容及服务要求应答表.docx 供应商资格证明文件.docx 响应函 报价表.docx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响应文件封面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开标过程中，评标委员会认为供应商报价，有可能影响项目质量或者不能诚信履约的，评标委员会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评标委员会要求的时间内通过项目电子化交易系统进行提交，否则提交的相关证明材料无效。供应商不能证明其报价合理性的，评标委员会应当将其响应文件作为无效处理。</w:t>
            </w:r>
          </w:p>
        </w:tc>
        <w:tc>
          <w:tcPr>
            <w:tcW w:type="dxa" w:w="1661"/>
          </w:tcPr>
          <w:p>
            <w:pPr>
              <w:pStyle w:val="null3"/>
            </w:pPr>
            <w:r>
              <w:rPr>
                <w:rFonts w:ascii="仿宋_GB2312" w:hAnsi="仿宋_GB2312" w:cs="仿宋_GB2312" w:eastAsia="仿宋_GB2312"/>
              </w:rPr>
              <w:t>分项报价表.docx 标的清单 报价表 供应商资格证明文件.docx 响应函 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响应文件按单一来源采购文件要求签字盖章。</w:t>
            </w:r>
          </w:p>
        </w:tc>
        <w:tc>
          <w:tcPr>
            <w:tcW w:type="dxa" w:w="1661"/>
          </w:tcPr>
          <w:p>
            <w:pPr>
              <w:pStyle w:val="null3"/>
            </w:pPr>
            <w:r>
              <w:rPr>
                <w:rFonts w:ascii="仿宋_GB2312" w:hAnsi="仿宋_GB2312" w:cs="仿宋_GB2312" w:eastAsia="仿宋_GB2312"/>
              </w:rPr>
              <w:t>响应方案说明.docx 中小企业声明函 报价表 供应商承诺书.docx 商务条款响应说明.docx 响应文件封面 分项报价表.docx 残疾人福利性单位声明函 标的清单 服务内容及服务要求应答表.docx 供应商资格证明文件.docx 响应函 报价表.docx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谈判有效期达到单一来源采购文件要求。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符合法律、法规和单一来源采购文件中规定的其他实质性要求。</w:t>
            </w:r>
          </w:p>
        </w:tc>
        <w:tc>
          <w:tcPr>
            <w:tcW w:type="dxa" w:w="1661"/>
          </w:tcPr>
          <w:p>
            <w:pPr>
              <w:pStyle w:val="null3"/>
            </w:pPr>
            <w:r>
              <w:rPr>
                <w:rFonts w:ascii="仿宋_GB2312" w:hAnsi="仿宋_GB2312" w:cs="仿宋_GB2312" w:eastAsia="仿宋_GB2312"/>
              </w:rPr>
              <w:t>响应方案说明.docx 中小企业声明函 报价表 供应商承诺书.docx 商务条款响应说明.docx 响应文件封面 分项报价表.docx 残疾人福利性单位声明函 标的清单 服务内容及服务要求应答表.docx 供应商资格证明文件.docx 响应函 报价表.docx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响应文件封面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开标过程中，评标委员会认为供应商报价，有可能影响项目质量或者不能诚信履约的，评标委员会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评标委员会要求的时间内通过项目电子化交易系统进行提交，否则提交的相关证明材料无效。供应商不能证明其报价合理性的，评标委员会应当将其响应文件作为无效处理。</w:t>
            </w:r>
          </w:p>
        </w:tc>
        <w:tc>
          <w:tcPr>
            <w:tcW w:type="dxa" w:w="1661"/>
          </w:tcPr>
          <w:p>
            <w:pPr>
              <w:pStyle w:val="null3"/>
            </w:pPr>
            <w:r>
              <w:rPr>
                <w:rFonts w:ascii="仿宋_GB2312" w:hAnsi="仿宋_GB2312" w:cs="仿宋_GB2312" w:eastAsia="仿宋_GB2312"/>
              </w:rPr>
              <w:t>分项报价表.docx 标的清单 报价表 报价表.docx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响应文件按单一来源采购文件要求签字盖章。</w:t>
            </w:r>
          </w:p>
        </w:tc>
        <w:tc>
          <w:tcPr>
            <w:tcW w:type="dxa" w:w="1661"/>
          </w:tcPr>
          <w:p>
            <w:pPr>
              <w:pStyle w:val="null3"/>
            </w:pPr>
            <w:r>
              <w:rPr>
                <w:rFonts w:ascii="仿宋_GB2312" w:hAnsi="仿宋_GB2312" w:cs="仿宋_GB2312" w:eastAsia="仿宋_GB2312"/>
              </w:rPr>
              <w:t>响应方案说明.docx 中小企业声明函 报价表 供应商承诺书.docx 商务条款响应说明.docx 响应文件封面 分项报价表.docx 残疾人福利性单位声明函 标的清单 服务内容及服务要求应答表.docx 供应商资格证明文件.docx 响应函 报价表.docx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谈判有效期达到单一来源采购文件要求。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符合法律、法规和单一来源采购文件中规定的其他实质性要求。</w:t>
            </w:r>
          </w:p>
        </w:tc>
        <w:tc>
          <w:tcPr>
            <w:tcW w:type="dxa" w:w="1661"/>
          </w:tcPr>
          <w:p>
            <w:pPr>
              <w:pStyle w:val="null3"/>
            </w:pPr>
            <w:r>
              <w:rPr>
                <w:rFonts w:ascii="仿宋_GB2312" w:hAnsi="仿宋_GB2312" w:cs="仿宋_GB2312" w:eastAsia="仿宋_GB2312"/>
              </w:rPr>
              <w:t>响应方案说明.docx 中小企业声明函 报价表 供应商承诺书.docx 商务条款响应说明.docx 响应文件封面 分项报价表.docx 残疾人福利性单位声明函 标的清单 服务内容及服务要求应答表.docx 供应商资格证明文件.docx 响应函 报价表.docx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