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EA2C0">
      <w:pPr>
        <w:pStyle w:val="6"/>
        <w:ind w:firstLine="723"/>
        <w:jc w:val="center"/>
        <w:outlineLvl w:val="0"/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bookmarkStart w:id="0" w:name="_Toc166160303"/>
      <w:bookmarkStart w:id="1" w:name="_Hlk166164151"/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  <w:bookmarkEnd w:id="0"/>
      <w:bookmarkEnd w:id="1"/>
    </w:p>
    <w:p w14:paraId="570651A7">
      <w:pPr>
        <w:pStyle w:val="6"/>
        <w:ind w:firstLine="602"/>
        <w:jc w:val="center"/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 w14:paraId="28774C76">
      <w:pPr>
        <w:pStyle w:val="2"/>
        <w:spacing w:line="480" w:lineRule="exact"/>
        <w:ind w:firstLine="480" w:firstLineChars="200"/>
        <w:rPr>
          <w:rFonts w:hint="eastAsia" w:hAnsi="宋体"/>
        </w:rPr>
      </w:pPr>
      <w:bookmarkStart w:id="2" w:name="_Hlk172310489"/>
      <w:r>
        <w:rPr>
          <w:rFonts w:hint="eastAsia" w:hAnsi="宋体"/>
        </w:rPr>
        <w:t>甲方：  安康学院                      乙方：</w:t>
      </w:r>
    </w:p>
    <w:p w14:paraId="03BD07B7">
      <w:pPr>
        <w:pStyle w:val="2"/>
        <w:spacing w:line="480" w:lineRule="exact"/>
        <w:ind w:firstLine="480" w:firstLineChars="200"/>
        <w:rPr>
          <w:rFonts w:hint="eastAsia" w:hAnsi="宋体"/>
        </w:rPr>
      </w:pPr>
    </w:p>
    <w:p w14:paraId="05DD977B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根据《中华人民共和国政府采购法》、《中华人民共和国民法典》、《中华人民共和国政府采购法实施条例》等法律法规，经双方协商，本着平等互利和诚实信用的原则，一致同意签订本合同如下：</w:t>
      </w:r>
    </w:p>
    <w:p w14:paraId="2108EC4D"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一、合同内容及金额：</w:t>
      </w:r>
    </w:p>
    <w:p w14:paraId="6E5E1CAA">
      <w:pPr>
        <w:pStyle w:val="3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</w:t>
      </w:r>
    </w:p>
    <w:p w14:paraId="2B7E85AB"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二、产品技术、数量</w:t>
      </w:r>
    </w:p>
    <w:tbl>
      <w:tblPr>
        <w:tblStyle w:val="4"/>
        <w:tblW w:w="84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469"/>
        <w:gridCol w:w="1036"/>
        <w:gridCol w:w="1077"/>
        <w:gridCol w:w="1474"/>
        <w:gridCol w:w="1227"/>
        <w:gridCol w:w="1510"/>
      </w:tblGrid>
      <w:tr w14:paraId="2378B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 w14:paraId="2FDAB7C8"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469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74C93225"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产品名称</w:t>
            </w:r>
          </w:p>
        </w:tc>
        <w:tc>
          <w:tcPr>
            <w:tcW w:w="1036" w:type="dxa"/>
            <w:tcBorders>
              <w:top w:val="single" w:color="auto" w:sz="12" w:space="0"/>
            </w:tcBorders>
            <w:vAlign w:val="center"/>
          </w:tcPr>
          <w:p w14:paraId="6595A203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数量</w:t>
            </w:r>
          </w:p>
        </w:tc>
        <w:tc>
          <w:tcPr>
            <w:tcW w:w="1077" w:type="dxa"/>
            <w:tcBorders>
              <w:top w:val="single" w:color="auto" w:sz="12" w:space="0"/>
            </w:tcBorders>
            <w:vAlign w:val="center"/>
          </w:tcPr>
          <w:p w14:paraId="38752E93"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单位</w:t>
            </w:r>
          </w:p>
        </w:tc>
        <w:tc>
          <w:tcPr>
            <w:tcW w:w="1474" w:type="dxa"/>
            <w:tcBorders>
              <w:top w:val="single" w:color="auto" w:sz="12" w:space="0"/>
            </w:tcBorders>
            <w:vAlign w:val="center"/>
          </w:tcPr>
          <w:p w14:paraId="02887CF2"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单价（元）</w:t>
            </w:r>
          </w:p>
        </w:tc>
        <w:tc>
          <w:tcPr>
            <w:tcW w:w="1227" w:type="dxa"/>
            <w:tcBorders>
              <w:top w:val="single" w:color="auto" w:sz="12" w:space="0"/>
            </w:tcBorders>
            <w:vAlign w:val="center"/>
          </w:tcPr>
          <w:p w14:paraId="492E0497"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金额（元）</w:t>
            </w:r>
          </w:p>
        </w:tc>
        <w:tc>
          <w:tcPr>
            <w:tcW w:w="1510" w:type="dxa"/>
            <w:tcBorders>
              <w:top w:val="single" w:color="auto" w:sz="12" w:space="0"/>
            </w:tcBorders>
            <w:vAlign w:val="center"/>
          </w:tcPr>
          <w:p w14:paraId="0572E2F0"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37B7B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A5CE818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940C1AE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bottom w:val="single" w:color="auto" w:sz="4" w:space="0"/>
            </w:tcBorders>
            <w:vAlign w:val="center"/>
          </w:tcPr>
          <w:p w14:paraId="1452E557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  <w:vAlign w:val="center"/>
          </w:tcPr>
          <w:p w14:paraId="4B34E5C4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4" w:type="dxa"/>
            <w:tcBorders>
              <w:bottom w:val="single" w:color="auto" w:sz="4" w:space="0"/>
            </w:tcBorders>
            <w:vAlign w:val="center"/>
          </w:tcPr>
          <w:p w14:paraId="475F5BA8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7" w:type="dxa"/>
            <w:tcBorders>
              <w:bottom w:val="single" w:color="auto" w:sz="4" w:space="0"/>
            </w:tcBorders>
            <w:vAlign w:val="center"/>
          </w:tcPr>
          <w:p w14:paraId="304C1280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0" w:type="dxa"/>
            <w:tcBorders>
              <w:bottom w:val="single" w:color="auto" w:sz="4" w:space="0"/>
            </w:tcBorders>
            <w:vAlign w:val="center"/>
          </w:tcPr>
          <w:p w14:paraId="716E8380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65FC4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2C7D5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590728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7435AA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3B9413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AC6429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8B48C4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73792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64370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1" w:type="dxa"/>
            <w:tcBorders>
              <w:top w:val="single" w:color="auto" w:sz="4" w:space="0"/>
              <w:right w:val="single" w:color="auto" w:sz="2" w:space="0"/>
            </w:tcBorders>
            <w:vAlign w:val="center"/>
          </w:tcPr>
          <w:p w14:paraId="1AD70E4F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474C9A1B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2" w:space="0"/>
            </w:tcBorders>
            <w:vAlign w:val="center"/>
          </w:tcPr>
          <w:p w14:paraId="60C0DA7E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</w:tcBorders>
            <w:vAlign w:val="center"/>
          </w:tcPr>
          <w:p w14:paraId="618B080F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</w:tcBorders>
            <w:vAlign w:val="center"/>
          </w:tcPr>
          <w:p w14:paraId="2DC1240E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</w:tcBorders>
            <w:vAlign w:val="center"/>
          </w:tcPr>
          <w:p w14:paraId="6591098C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</w:tcBorders>
            <w:vAlign w:val="center"/>
          </w:tcPr>
          <w:p w14:paraId="08281F3F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2DC690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50" w:type="dxa"/>
            <w:gridSpan w:val="2"/>
            <w:tcBorders>
              <w:bottom w:val="single" w:color="auto" w:sz="12" w:space="0"/>
              <w:right w:val="single" w:color="auto" w:sz="2" w:space="0"/>
            </w:tcBorders>
            <w:vAlign w:val="center"/>
          </w:tcPr>
          <w:p w14:paraId="64317D53">
            <w:pPr>
              <w:spacing w:line="4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合计（含税人民币）</w:t>
            </w:r>
          </w:p>
        </w:tc>
        <w:tc>
          <w:tcPr>
            <w:tcW w:w="6324" w:type="dxa"/>
            <w:gridSpan w:val="5"/>
            <w:tcBorders>
              <w:left w:val="single" w:color="auto" w:sz="2" w:space="0"/>
              <w:bottom w:val="single" w:color="auto" w:sz="12" w:space="0"/>
            </w:tcBorders>
            <w:vAlign w:val="center"/>
          </w:tcPr>
          <w:p w14:paraId="59A1C31A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</w:tbl>
    <w:p w14:paraId="35948ACC"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三、合同款项支付</w:t>
      </w:r>
    </w:p>
    <w:p w14:paraId="1E9D8629">
      <w:pPr>
        <w:tabs>
          <w:tab w:val="left" w:pos="840"/>
        </w:tabs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color w:val="000000"/>
          <w:sz w:val="24"/>
        </w:rPr>
        <w:t>（一）</w:t>
      </w:r>
      <w:r>
        <w:rPr>
          <w:rFonts w:hint="eastAsia" w:ascii="宋体" w:hAnsi="宋体" w:cs="宋体"/>
          <w:sz w:val="24"/>
        </w:rPr>
        <w:t>结算单位：采购人结算，在付款前，必须开具等额发票给采购人。</w:t>
      </w:r>
    </w:p>
    <w:p w14:paraId="1C308267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（二）付款方式：双方在合同签订后，资源开通完毕并经终验合格后，甲方于 30日内向乙方支付费用。</w:t>
      </w:r>
    </w:p>
    <w:p w14:paraId="0C07630B"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四、服务条件</w:t>
      </w:r>
    </w:p>
    <w:p w14:paraId="126F444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（一）服务地点：</w:t>
      </w:r>
      <w:r>
        <w:rPr>
          <w:rFonts w:hint="eastAsia"/>
          <w:u w:val="single"/>
        </w:rPr>
        <w:t xml:space="preserve">                </w:t>
      </w:r>
    </w:p>
    <w:p w14:paraId="519A78B5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（二）服务期限：</w:t>
      </w:r>
      <w:r>
        <w:rPr>
          <w:rFonts w:hint="eastAsia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 xml:space="preserve">               </w:t>
      </w:r>
      <w:r>
        <w:rPr>
          <w:rFonts w:ascii="宋体" w:hAnsi="宋体" w:cs="宋体"/>
          <w:sz w:val="24"/>
        </w:rPr>
        <w:t xml:space="preserve"> </w:t>
      </w:r>
    </w:p>
    <w:p w14:paraId="2E15A4B3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五、知识产权归属</w:t>
      </w:r>
    </w:p>
    <w:p w14:paraId="0F5C44EA">
      <w:pPr>
        <w:pStyle w:val="3"/>
      </w:pPr>
      <w:r>
        <w:rPr>
          <w:rFonts w:hint="eastAsia"/>
          <w:u w:val="single"/>
        </w:rPr>
        <w:t xml:space="preserve">                         </w:t>
      </w:r>
    </w:p>
    <w:p w14:paraId="61CC8F56">
      <w:pPr>
        <w:spacing w:line="500" w:lineRule="exact"/>
        <w:jc w:val="left"/>
      </w:pPr>
      <w:r>
        <w:rPr>
          <w:rFonts w:hint="eastAsia" w:ascii="宋体" w:hAnsi="宋体"/>
          <w:b/>
          <w:sz w:val="24"/>
        </w:rPr>
        <w:t>六、质量保证</w:t>
      </w:r>
    </w:p>
    <w:p w14:paraId="7FA3B745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46BADAE3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096C0405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0FE2E738">
      <w:pPr>
        <w:spacing w:line="5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</w:p>
    <w:p w14:paraId="0ECD1A0D">
      <w:pPr>
        <w:spacing w:line="5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</w:p>
    <w:p w14:paraId="6D6D1BDE">
      <w:pPr>
        <w:pStyle w:val="2"/>
        <w:spacing w:line="480" w:lineRule="exact"/>
        <w:ind w:firstLine="241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八、双方的责任和义务</w:t>
      </w:r>
    </w:p>
    <w:p w14:paraId="0DD307DE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（一）甲方的责任和义务</w:t>
      </w:r>
    </w:p>
    <w:p w14:paraId="73E178A2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（二）乙方的责任和义务</w:t>
      </w:r>
    </w:p>
    <w:p w14:paraId="2BDDC667">
      <w:pPr>
        <w:pStyle w:val="2"/>
        <w:spacing w:line="480" w:lineRule="exact"/>
        <w:ind w:firstLine="241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九、双方的违约责任</w:t>
      </w:r>
    </w:p>
    <w:p w14:paraId="76113874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Ansi="宋体"/>
        </w:rPr>
        <w:t>1</w:t>
      </w:r>
      <w:r>
        <w:rPr>
          <w:rFonts w:hint="eastAsia" w:hAnsi="宋体"/>
        </w:rPr>
        <w:t>、按《中华人民共和国民法典》中的相关条款执行。</w:t>
      </w:r>
    </w:p>
    <w:p w14:paraId="0DAFAE95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2、未按合同要求提供服务，甲方有权终止合同，并保留追究乙方违约责任的权利。</w:t>
      </w:r>
    </w:p>
    <w:p w14:paraId="27C94819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Ansi="宋体"/>
        </w:rPr>
        <w:t>3</w:t>
      </w:r>
      <w:r>
        <w:rPr>
          <w:rFonts w:hint="eastAsia" w:hAnsi="宋体"/>
        </w:rPr>
        <w:t>、时间延迟的，每延迟一天，违约方按照合同总金额的1‰向对方支付违约金。</w:t>
      </w:r>
    </w:p>
    <w:p w14:paraId="6FDFA2DF">
      <w:pPr>
        <w:pStyle w:val="2"/>
        <w:spacing w:line="480" w:lineRule="exact"/>
        <w:ind w:firstLine="241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十、争议解决方式</w:t>
      </w:r>
    </w:p>
    <w:p w14:paraId="71784343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Ansi="宋体"/>
        </w:rPr>
        <w:t>1</w:t>
      </w:r>
      <w:r>
        <w:rPr>
          <w:rFonts w:hint="eastAsia" w:hAnsi="宋体"/>
        </w:rPr>
        <w:t>、</w:t>
      </w:r>
      <w:r>
        <w:rPr>
          <w:rFonts w:hAnsi="宋体"/>
        </w:rPr>
        <w:t>合同一经签订，不得随意变更、中止或终止。对确需变更、调整或者中止、终止合同的，应按规定履行相应的手续。</w:t>
      </w:r>
    </w:p>
    <w:p w14:paraId="2DB96417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Ansi="宋体"/>
        </w:rPr>
        <w:t>2</w:t>
      </w:r>
      <w:r>
        <w:rPr>
          <w:rFonts w:hint="eastAsia" w:hAnsi="宋体"/>
        </w:rPr>
        <w:t>、合同执行中发生争议的，甲、乙双方应协商解决，协商达不成一致时，可向甲方所在地人民法院提起诉讼。</w:t>
      </w:r>
    </w:p>
    <w:p w14:paraId="3C419ED9">
      <w:pPr>
        <w:pStyle w:val="2"/>
        <w:spacing w:line="480" w:lineRule="exact"/>
        <w:ind w:firstLine="241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十一、合同生效</w:t>
      </w:r>
    </w:p>
    <w:p w14:paraId="3C77B22A">
      <w:pPr>
        <w:pStyle w:val="2"/>
        <w:spacing w:line="48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本合同正本一式陆份，经双方签字盖章后生效。</w:t>
      </w:r>
    </w:p>
    <w:p w14:paraId="56FACC19">
      <w:pPr>
        <w:spacing w:line="480" w:lineRule="exact"/>
        <w:ind w:left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合同生效时限，以双方中的一方最终签定日期为准。</w:t>
      </w:r>
    </w:p>
    <w:p w14:paraId="6E74C8ED">
      <w:pPr>
        <w:spacing w:line="480" w:lineRule="exact"/>
        <w:ind w:left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未尽事宜双方友好协商解决。</w:t>
      </w:r>
    </w:p>
    <w:p w14:paraId="114D10E1">
      <w:pPr>
        <w:pStyle w:val="2"/>
        <w:spacing w:line="480" w:lineRule="exact"/>
        <w:ind w:firstLine="241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十二、乙方收款银行信息</w:t>
      </w:r>
    </w:p>
    <w:p w14:paraId="548D470D">
      <w:pPr>
        <w:spacing w:line="48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开户名：</w:t>
      </w:r>
    </w:p>
    <w:p w14:paraId="4AEBAA38">
      <w:pPr>
        <w:spacing w:line="48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开户行：</w:t>
      </w:r>
    </w:p>
    <w:p w14:paraId="4DEE00C8">
      <w:pPr>
        <w:spacing w:line="48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帐号：</w:t>
      </w:r>
    </w:p>
    <w:p w14:paraId="3EA0DBB6">
      <w:pPr>
        <w:pStyle w:val="2"/>
        <w:spacing w:line="480" w:lineRule="exact"/>
        <w:rPr>
          <w:rFonts w:hint="eastAsia" w:hAnsi="宋体"/>
        </w:rPr>
      </w:pPr>
    </w:p>
    <w:p w14:paraId="3C19B3E7">
      <w:pPr>
        <w:pStyle w:val="2"/>
        <w:spacing w:line="480" w:lineRule="exact"/>
        <w:ind w:firstLine="120" w:firstLineChars="50"/>
        <w:rPr>
          <w:rFonts w:hint="eastAsia" w:hAnsi="宋体"/>
        </w:rPr>
      </w:pPr>
      <w:r>
        <w:rPr>
          <w:rFonts w:hint="eastAsia" w:hAnsi="宋体"/>
        </w:rPr>
        <w:t>甲方：</w:t>
      </w:r>
      <w:r>
        <w:rPr>
          <w:rFonts w:hAnsi="宋体"/>
          <w:u w:val="single"/>
        </w:rPr>
        <w:t xml:space="preserve">   </w:t>
      </w:r>
      <w:r>
        <w:rPr>
          <w:rFonts w:hint="eastAsia" w:hAnsi="宋体"/>
          <w:u w:val="single"/>
        </w:rPr>
        <w:t xml:space="preserve">      </w:t>
      </w:r>
      <w:r>
        <w:rPr>
          <w:rFonts w:hAnsi="宋体"/>
          <w:u w:val="single"/>
        </w:rPr>
        <w:t xml:space="preserve">        </w:t>
      </w:r>
      <w:r>
        <w:rPr>
          <w:rFonts w:hint="eastAsia" w:hAnsi="宋体"/>
        </w:rPr>
        <w:t>　　　</w:t>
      </w:r>
      <w:r>
        <w:rPr>
          <w:rFonts w:hAnsi="宋体"/>
        </w:rPr>
        <w:t xml:space="preserve">             </w:t>
      </w:r>
      <w:r>
        <w:rPr>
          <w:rFonts w:hint="eastAsia" w:hAnsi="宋体"/>
        </w:rPr>
        <w:t>乙方：</w:t>
      </w:r>
      <w:r>
        <w:rPr>
          <w:rFonts w:hAnsi="宋体"/>
          <w:u w:val="single"/>
        </w:rPr>
        <w:t xml:space="preserve">                          </w:t>
      </w:r>
    </w:p>
    <w:p w14:paraId="41177624">
      <w:pPr>
        <w:pStyle w:val="2"/>
        <w:spacing w:line="480" w:lineRule="exact"/>
        <w:rPr>
          <w:rFonts w:hint="eastAsia" w:hAnsi="宋体"/>
        </w:rPr>
      </w:pP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int="eastAsia" w:hAnsi="宋体"/>
        </w:rPr>
        <w:t>（签</w:t>
      </w:r>
      <w:r>
        <w:rPr>
          <w:rFonts w:hAnsi="宋体"/>
        </w:rPr>
        <w:t xml:space="preserve">  </w:t>
      </w:r>
      <w:r>
        <w:rPr>
          <w:rFonts w:hint="eastAsia" w:hAnsi="宋体"/>
        </w:rPr>
        <w:t>章）</w:t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 xml:space="preserve">      </w:t>
      </w:r>
      <w:r>
        <w:rPr>
          <w:rFonts w:hint="eastAsia" w:hAnsi="宋体"/>
        </w:rPr>
        <w:t>（签</w:t>
      </w:r>
      <w:r>
        <w:rPr>
          <w:rFonts w:hAnsi="宋体"/>
        </w:rPr>
        <w:t xml:space="preserve">  </w:t>
      </w:r>
      <w:r>
        <w:rPr>
          <w:rFonts w:hint="eastAsia" w:hAnsi="宋体"/>
        </w:rPr>
        <w:t>章）</w:t>
      </w:r>
    </w:p>
    <w:p w14:paraId="3C1C1905">
      <w:pPr>
        <w:pStyle w:val="2"/>
        <w:spacing w:line="480" w:lineRule="exact"/>
        <w:rPr>
          <w:rFonts w:hint="eastAsia" w:hAnsi="宋体"/>
          <w:u w:val="single"/>
        </w:rPr>
      </w:pPr>
      <w:r>
        <w:rPr>
          <w:rFonts w:hint="eastAsia" w:hAnsi="宋体"/>
        </w:rPr>
        <w:t>签字：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　　　　　　　　　</w:t>
      </w:r>
      <w:r>
        <w:rPr>
          <w:rFonts w:hint="eastAsia" w:hAnsi="宋体"/>
        </w:rPr>
        <w:t>　　</w:t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 xml:space="preserve">        </w:t>
      </w:r>
      <w:r>
        <w:rPr>
          <w:rFonts w:hint="eastAsia" w:hAnsi="宋体"/>
        </w:rPr>
        <w:t>签字：</w:t>
      </w:r>
      <w:r>
        <w:rPr>
          <w:rFonts w:hint="eastAsia" w:hAnsi="宋体"/>
          <w:u w:val="single"/>
        </w:rPr>
        <w:t xml:space="preserve">　　　　　　　　　 </w:t>
      </w:r>
      <w:r>
        <w:rPr>
          <w:rFonts w:hAnsi="宋体"/>
          <w:u w:val="single"/>
        </w:rPr>
        <w:t xml:space="preserve">       </w:t>
      </w:r>
    </w:p>
    <w:p w14:paraId="1CF8BBC5">
      <w:r>
        <w:rPr>
          <w:rFonts w:hint="eastAsia" w:hAnsi="宋体"/>
          <w:sz w:val="24"/>
        </w:rPr>
        <w:t>日</w:t>
      </w:r>
      <w:r>
        <w:rPr>
          <w:rFonts w:hAnsi="宋体"/>
          <w:sz w:val="24"/>
        </w:rPr>
        <w:t xml:space="preserve">  </w:t>
      </w:r>
      <w:r>
        <w:rPr>
          <w:rFonts w:hint="eastAsia" w:hAnsi="宋体"/>
          <w:sz w:val="24"/>
        </w:rPr>
        <w:t>期：</w:t>
      </w:r>
      <w:r>
        <w:rPr>
          <w:rFonts w:hAnsi="宋体"/>
          <w:sz w:val="24"/>
          <w:u w:val="single"/>
        </w:rPr>
        <w:t xml:space="preserve">     </w:t>
      </w:r>
      <w:r>
        <w:rPr>
          <w:rFonts w:hint="eastAsia" w:hAnsi="宋体"/>
          <w:sz w:val="24"/>
        </w:rPr>
        <w:t>年</w:t>
      </w:r>
      <w:r>
        <w:rPr>
          <w:rFonts w:hAnsi="宋体"/>
          <w:sz w:val="24"/>
          <w:u w:val="single"/>
        </w:rPr>
        <w:t xml:space="preserve">    </w:t>
      </w:r>
      <w:r>
        <w:rPr>
          <w:rFonts w:hint="eastAsia" w:hAnsi="宋体"/>
          <w:sz w:val="24"/>
        </w:rPr>
        <w:t>月</w:t>
      </w:r>
      <w:r>
        <w:rPr>
          <w:rFonts w:hAnsi="宋体"/>
          <w:sz w:val="24"/>
          <w:u w:val="single"/>
        </w:rPr>
        <w:t xml:space="preserve">    </w:t>
      </w:r>
      <w:r>
        <w:rPr>
          <w:rFonts w:hint="eastAsia" w:hAnsi="宋体"/>
          <w:sz w:val="24"/>
        </w:rPr>
        <w:t>日　　　　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>日</w:t>
      </w:r>
      <w:r>
        <w:rPr>
          <w:rFonts w:hAnsi="宋体"/>
          <w:sz w:val="24"/>
        </w:rPr>
        <w:t xml:space="preserve">  </w:t>
      </w:r>
      <w:r>
        <w:rPr>
          <w:rFonts w:hint="eastAsia" w:hAnsi="宋体"/>
          <w:sz w:val="24"/>
        </w:rPr>
        <w:t>期：</w:t>
      </w:r>
      <w:r>
        <w:rPr>
          <w:rFonts w:hAnsi="宋体"/>
          <w:sz w:val="24"/>
          <w:u w:val="single"/>
        </w:rPr>
        <w:t xml:space="preserve">    </w:t>
      </w:r>
      <w:r>
        <w:rPr>
          <w:rFonts w:hint="eastAsia" w:hAnsi="宋体"/>
          <w:sz w:val="24"/>
        </w:rPr>
        <w:t>年</w:t>
      </w:r>
      <w:r>
        <w:rPr>
          <w:rFonts w:hAnsi="宋体"/>
          <w:sz w:val="24"/>
          <w:u w:val="single"/>
        </w:rPr>
        <w:t xml:space="preserve">   </w:t>
      </w:r>
      <w:r>
        <w:rPr>
          <w:rFonts w:hint="eastAsia" w:hAnsi="宋体"/>
          <w:sz w:val="24"/>
        </w:rPr>
        <w:t>月</w:t>
      </w:r>
      <w:r>
        <w:rPr>
          <w:rFonts w:hAnsi="宋体"/>
          <w:sz w:val="24"/>
          <w:u w:val="single"/>
        </w:rPr>
        <w:t xml:space="preserve">     </w:t>
      </w:r>
      <w:r>
        <w:rPr>
          <w:rFonts w:hint="eastAsia" w:hAnsi="宋体"/>
          <w:sz w:val="24"/>
        </w:rPr>
        <w:t>日</w:t>
      </w:r>
      <w:bookmarkEnd w:id="2"/>
    </w:p>
    <w:p w14:paraId="7FC78E72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61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BA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Body Text 2"/>
    <w:basedOn w:val="1"/>
    <w:unhideWhenUsed/>
    <w:qFormat/>
    <w:uiPriority w:val="0"/>
    <w:pPr>
      <w:spacing w:after="120" w:line="480" w:lineRule="auto"/>
    </w:pPr>
    <w:rPr>
      <w:rFonts w:ascii="Calibri" w:hAnsi="Calibri" w:cs="Calibri"/>
      <w:szCs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2025-08-13T05:09:23Z</dcterms:created>
  <dc:creator>Administrator</dc:creator>
  <cp:lastModifiedBy>开源</cp:lastModifiedBy>
  <dcterms:modified xsi:type="dcterms:W3CDTF">2025-08-13T05:09:35Z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2B6E3DCBF2F545CD9B2B09C352CC3552_12</vt:lpwstr>
  </property>
</Properties>
</file>