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版本号：0617--2523HZ167120250704001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网络安全加固项目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0617--2523HZ1671</w:t>
      </w:r>
      <w:r>
        <w:br/>
      </w:r>
      <w:r>
        <w:br/>
      </w:r>
      <w:r>
        <w:br/>
      </w:r>
    </w:p>
    <w:p>
      <w:pPr>
        <w:pStyle w:val="null3"/>
        <w:jc w:val="center"/>
        <w:outlineLvl w:val="2"/>
      </w:pPr>
      <w:r>
        <w:rPr>
          <w:rFonts w:ascii="仿宋_GB2312" w:hAnsi="仿宋_GB2312" w:cs="仿宋_GB2312" w:eastAsia="仿宋_GB2312"/>
          <w:sz w:val="28"/>
          <w:b/>
        </w:rPr>
        <w:t>中国西安人才市场管理委员会办公室</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中国西安人才市场管理委员会办公室</w:t>
      </w:r>
      <w:r>
        <w:rPr>
          <w:rFonts w:ascii="仿宋_GB2312" w:hAnsi="仿宋_GB2312" w:cs="仿宋_GB2312" w:eastAsia="仿宋_GB2312"/>
        </w:rPr>
        <w:t>委托，拟对</w:t>
      </w:r>
      <w:r>
        <w:rPr>
          <w:rFonts w:ascii="仿宋_GB2312" w:hAnsi="仿宋_GB2312" w:cs="仿宋_GB2312" w:eastAsia="仿宋_GB2312"/>
        </w:rPr>
        <w:t>网络安全加固项目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0617--2523HZ1671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网络安全加固项目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为满足采购人实际工作需要，现对网络安全加固项目进行采购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中国西安人才市场管理委员会办公室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西安市莲湖区习武园39号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85215990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秦进、贾楠希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说明：收取合同总额5%，履约保证期（3年）结束后无息退还。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代理服务费收费标准：采购代理服务费的金额以中标金额为基数参照原《国家计委关于印发&lt;招 标代理服务收费管理暂行办法&gt; 的通知》（计价格【2002】1980号）执行。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中国西安人才市场管理委员会办公室</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中国西安人才市场管理委员会办公室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中国西安人才市场管理委员会办公室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具体内容详见本项目采购合同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地址：西安市南二环成长大厦12层1203室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18"/>
          <w:color w:val="000000"/>
        </w:rPr>
        <w:t>一、项目背景</w:t>
      </w:r>
    </w:p>
    <w:p>
      <w:pPr>
        <w:pStyle w:val="null3"/>
        <w:ind w:firstLine="360"/>
        <w:jc w:val="left"/>
      </w:pPr>
      <w:r>
        <w:rPr>
          <w:rFonts w:ascii="仿宋_GB2312" w:hAnsi="仿宋_GB2312" w:cs="仿宋_GB2312" w:eastAsia="仿宋_GB2312"/>
          <w:sz w:val="18"/>
          <w:color w:val="000000"/>
        </w:rPr>
        <w:t>为提升中国西安人才市场管理委员会办公室（陕西省人才交流服务中心）网络系统的安全性、可靠性和连续性，根据人社部《网络与数据安全专项行动实施方案》部署，按照省人社厅</w:t>
      </w:r>
      <w:r>
        <w:rPr>
          <w:rFonts w:ascii="仿宋_GB2312" w:hAnsi="仿宋_GB2312" w:cs="仿宋_GB2312" w:eastAsia="仿宋_GB2312"/>
          <w:sz w:val="18"/>
          <w:color w:val="000000"/>
        </w:rPr>
        <w:t>“三项清单”和安全生产工作有关要求，对现有网络架构、安全设备及管理流程进行全面优化与加固，构建多层次、立体化的安全防护体系。</w:t>
      </w:r>
    </w:p>
    <w:p>
      <w:pPr>
        <w:pStyle w:val="null3"/>
        <w:ind w:firstLine="360"/>
        <w:jc w:val="left"/>
      </w:pPr>
      <w:r>
        <w:rPr>
          <w:rFonts w:ascii="仿宋_GB2312" w:hAnsi="仿宋_GB2312" w:cs="仿宋_GB2312" w:eastAsia="仿宋_GB2312"/>
          <w:sz w:val="18"/>
          <w:color w:val="000000"/>
        </w:rPr>
        <w:t>二、建设目标</w:t>
      </w:r>
      <w:r>
        <w:rPr>
          <w:rFonts w:ascii="仿宋_GB2312" w:hAnsi="仿宋_GB2312" w:cs="仿宋_GB2312" w:eastAsia="仿宋_GB2312"/>
          <w:sz w:val="18"/>
          <w:color w:val="000000"/>
        </w:rPr>
        <w:t xml:space="preserve">  </w:t>
      </w:r>
    </w:p>
    <w:p>
      <w:pPr>
        <w:pStyle w:val="null3"/>
        <w:ind w:firstLine="360"/>
        <w:jc w:val="left"/>
      </w:pPr>
      <w:r>
        <w:rPr>
          <w:rFonts w:ascii="仿宋_GB2312" w:hAnsi="仿宋_GB2312" w:cs="仿宋_GB2312" w:eastAsia="仿宋_GB2312"/>
          <w:sz w:val="18"/>
          <w:color w:val="000000"/>
        </w:rPr>
        <w:t xml:space="preserve">1.实现关键设备冗余备份，保障网络高可用性。  </w:t>
      </w:r>
    </w:p>
    <w:p>
      <w:pPr>
        <w:pStyle w:val="null3"/>
        <w:ind w:firstLine="360"/>
        <w:jc w:val="left"/>
      </w:pPr>
      <w:r>
        <w:rPr>
          <w:rFonts w:ascii="仿宋_GB2312" w:hAnsi="仿宋_GB2312" w:cs="仿宋_GB2312" w:eastAsia="仿宋_GB2312"/>
          <w:sz w:val="18"/>
          <w:color w:val="000000"/>
        </w:rPr>
        <w:t xml:space="preserve">2.强化内外网边界安全隔离与访问控制。  </w:t>
      </w:r>
    </w:p>
    <w:p>
      <w:pPr>
        <w:pStyle w:val="null3"/>
        <w:ind w:firstLine="360"/>
        <w:jc w:val="left"/>
      </w:pPr>
      <w:r>
        <w:rPr>
          <w:rFonts w:ascii="仿宋_GB2312" w:hAnsi="仿宋_GB2312" w:cs="仿宋_GB2312" w:eastAsia="仿宋_GB2312"/>
          <w:sz w:val="18"/>
          <w:color w:val="000000"/>
        </w:rPr>
        <w:t xml:space="preserve">3.完善日志审计、存储与容灾备份机制，满足合规性要求，日志保存周期≥180天，符合《中华人民共和国网络安全法》第二十一条要求。  </w:t>
      </w:r>
    </w:p>
    <w:p>
      <w:pPr>
        <w:pStyle w:val="null3"/>
        <w:ind w:firstLine="360"/>
        <w:jc w:val="left"/>
      </w:pPr>
      <w:r>
        <w:rPr>
          <w:rFonts w:ascii="仿宋_GB2312" w:hAnsi="仿宋_GB2312" w:cs="仿宋_GB2312" w:eastAsia="仿宋_GB2312"/>
          <w:sz w:val="18"/>
          <w:color w:val="000000"/>
        </w:rPr>
        <w:t xml:space="preserve">4.优化网络架构，提升无线认证及线路安全性。  </w:t>
      </w:r>
    </w:p>
    <w:p>
      <w:pPr>
        <w:pStyle w:val="null3"/>
        <w:ind w:firstLine="360"/>
        <w:jc w:val="left"/>
      </w:pPr>
      <w:r>
        <w:rPr>
          <w:rFonts w:ascii="仿宋_GB2312" w:hAnsi="仿宋_GB2312" w:cs="仿宋_GB2312" w:eastAsia="仿宋_GB2312"/>
          <w:sz w:val="18"/>
          <w:color w:val="000000"/>
        </w:rPr>
        <w:t>5.支持国产化加密标准，确保远程接入安全。</w:t>
      </w:r>
    </w:p>
    <w:p>
      <w:pPr>
        <w:pStyle w:val="null3"/>
        <w:ind w:firstLine="360"/>
        <w:jc w:val="left"/>
      </w:pPr>
      <w:r>
        <w:rPr>
          <w:rFonts w:ascii="仿宋_GB2312" w:hAnsi="仿宋_GB2312" w:cs="仿宋_GB2312" w:eastAsia="仿宋_GB2312"/>
          <w:sz w:val="18"/>
          <w:color w:val="000000"/>
        </w:rPr>
        <w:t>6.配置网络设备备件，保证网络故障快速恢复。</w:t>
      </w:r>
    </w:p>
    <w:p>
      <w:pPr>
        <w:pStyle w:val="null3"/>
        <w:ind w:firstLine="360"/>
        <w:jc w:val="left"/>
      </w:pPr>
      <w:r>
        <w:rPr>
          <w:rFonts w:ascii="仿宋_GB2312" w:hAnsi="仿宋_GB2312" w:cs="仿宋_GB2312" w:eastAsia="仿宋_GB2312"/>
          <w:sz w:val="18"/>
          <w:color w:val="000000"/>
        </w:rPr>
        <w:t>三、网络系统现状</w:t>
      </w:r>
    </w:p>
    <w:p>
      <w:pPr>
        <w:pStyle w:val="null3"/>
        <w:ind w:firstLine="360"/>
        <w:jc w:val="left"/>
      </w:pPr>
      <w:r>
        <w:rPr>
          <w:rFonts w:ascii="仿宋_GB2312" w:hAnsi="仿宋_GB2312" w:cs="仿宋_GB2312" w:eastAsia="仿宋_GB2312"/>
          <w:sz w:val="18"/>
          <w:color w:val="000000"/>
        </w:rPr>
        <w:t>中国西安人才市场管理委员会办公室（陕西省人才交流服务中心）现有电子政务网和办公互联网</w:t>
      </w:r>
      <w:r>
        <w:rPr>
          <w:rFonts w:ascii="仿宋_GB2312" w:hAnsi="仿宋_GB2312" w:cs="仿宋_GB2312" w:eastAsia="仿宋_GB2312"/>
          <w:sz w:val="18"/>
          <w:color w:val="000000"/>
        </w:rPr>
        <w:t>2套网络。</w:t>
      </w:r>
    </w:p>
    <w:p>
      <w:pPr>
        <w:pStyle w:val="null3"/>
        <w:ind w:firstLine="360"/>
        <w:jc w:val="left"/>
      </w:pPr>
      <w:r>
        <w:rPr>
          <w:rFonts w:ascii="仿宋_GB2312" w:hAnsi="仿宋_GB2312" w:cs="仿宋_GB2312" w:eastAsia="仿宋_GB2312"/>
          <w:sz w:val="18"/>
          <w:color w:val="000000"/>
        </w:rPr>
        <w:t>（一）电子政务网方面。</w:t>
      </w:r>
      <w:r>
        <w:rPr>
          <w:rFonts w:ascii="仿宋_GB2312" w:hAnsi="仿宋_GB2312" w:cs="仿宋_GB2312" w:eastAsia="仿宋_GB2312"/>
          <w:sz w:val="18"/>
          <w:color w:val="000000"/>
        </w:rPr>
        <w:t>1条100M电路通过省信息化中心接入电子政务外网，1条50M电路通过省金保工程数据中心接入电子政务内网，并设置1条20M备线，同时一条20M电路下联分支机构；接入边界为一台H3C SecPath F1000系列防火墙，配置入侵防御系统；网络系统按照二层架构部署，接入层到核心层采用光缆传输，按楼层划分若干虚拟局域网；网内部署EDR、Zabbix、排队叫号、财务管理等服务，不对外提供服务。</w:t>
      </w:r>
    </w:p>
    <w:p>
      <w:pPr>
        <w:pStyle w:val="null3"/>
        <w:ind w:firstLine="360"/>
        <w:jc w:val="left"/>
      </w:pPr>
      <w:r>
        <w:rPr>
          <w:rFonts w:ascii="仿宋_GB2312" w:hAnsi="仿宋_GB2312" w:cs="仿宋_GB2312" w:eastAsia="仿宋_GB2312"/>
        </w:rPr>
        <w:t>附图</w:t>
      </w:r>
      <w:r>
        <w:rPr>
          <w:rFonts w:ascii="仿宋_GB2312" w:hAnsi="仿宋_GB2312" w:cs="仿宋_GB2312" w:eastAsia="仿宋_GB2312"/>
        </w:rPr>
        <w:t>1</w:t>
      </w:r>
    </w:p>
    <w:p>
      <w:pPr>
        <w:pStyle w:val="null3"/>
        <w:ind w:firstLine="360"/>
        <w:jc w:val="left"/>
      </w:pPr>
      <w:r>
        <w:rPr>
          <w:rFonts w:ascii="仿宋_GB2312" w:hAnsi="仿宋_GB2312" w:cs="仿宋_GB2312" w:eastAsia="仿宋_GB2312"/>
          <w:sz w:val="18"/>
          <w:color w:val="000000"/>
        </w:rPr>
        <w:t>（二）办公互联网方面。</w:t>
      </w:r>
      <w:r>
        <w:rPr>
          <w:rFonts w:ascii="仿宋_GB2312" w:hAnsi="仿宋_GB2312" w:cs="仿宋_GB2312" w:eastAsia="仿宋_GB2312"/>
          <w:sz w:val="18"/>
          <w:color w:val="000000"/>
        </w:rPr>
        <w:t>2条100M互联网专线接入互联网，采用策略路由实现有线网络与无线网络分流；接入边界为一台H3C SecPath F1000系列防火墙，配置入侵防御系统和上网行为管理系统；网络系统按照二层架构部署，接入层到核心层采用光缆传输，按楼层划分若干虚拟局域网，无线网络与有线网络逻辑隔离；网内部署EDR、Zabbix等服务，不对外提供服务。</w:t>
      </w:r>
    </w:p>
    <w:p>
      <w:pPr>
        <w:pStyle w:val="null3"/>
        <w:ind w:firstLine="360"/>
        <w:jc w:val="left"/>
      </w:pPr>
      <w:r>
        <w:rPr>
          <w:rFonts w:ascii="仿宋_GB2312" w:hAnsi="仿宋_GB2312" w:cs="仿宋_GB2312" w:eastAsia="仿宋_GB2312"/>
        </w:rPr>
        <w:t>附图</w:t>
      </w:r>
      <w:r>
        <w:rPr>
          <w:rFonts w:ascii="仿宋_GB2312" w:hAnsi="仿宋_GB2312" w:cs="仿宋_GB2312" w:eastAsia="仿宋_GB2312"/>
        </w:rPr>
        <w:t>2</w:t>
      </w:r>
    </w:p>
    <w:p>
      <w:pPr>
        <w:pStyle w:val="null3"/>
        <w:ind w:firstLine="360"/>
        <w:jc w:val="left"/>
      </w:pPr>
      <w:r>
        <w:rPr>
          <w:rFonts w:ascii="仿宋_GB2312" w:hAnsi="仿宋_GB2312" w:cs="仿宋_GB2312" w:eastAsia="仿宋_GB2312"/>
          <w:sz w:val="18"/>
          <w:color w:val="000000"/>
        </w:rPr>
        <w:t>（三）存在的问题。</w:t>
      </w:r>
    </w:p>
    <w:p>
      <w:pPr>
        <w:pStyle w:val="null3"/>
        <w:ind w:firstLine="360"/>
        <w:jc w:val="left"/>
      </w:pPr>
      <w:r>
        <w:rPr>
          <w:rFonts w:ascii="仿宋_GB2312" w:hAnsi="仿宋_GB2312" w:cs="仿宋_GB2312" w:eastAsia="仿宋_GB2312"/>
          <w:sz w:val="18"/>
          <w:color w:val="000000"/>
        </w:rPr>
        <w:t>1.内外网完全物理隔离，内网设备及系统无法自动升级，外网设备配置备份、外网系统备份、外网系统日志分析与备份无法自动完成，存在安全隐患；</w:t>
      </w:r>
    </w:p>
    <w:p>
      <w:pPr>
        <w:pStyle w:val="null3"/>
        <w:ind w:firstLine="360"/>
        <w:jc w:val="left"/>
      </w:pPr>
      <w:r>
        <w:rPr>
          <w:rFonts w:ascii="仿宋_GB2312" w:hAnsi="仿宋_GB2312" w:cs="仿宋_GB2312" w:eastAsia="仿宋_GB2312"/>
          <w:sz w:val="18"/>
          <w:color w:val="000000"/>
        </w:rPr>
        <w:t>2.办公互联网户口防火墙单台设备，因办公互联网接入终端数量大，支撑大部分办公应用场景，存在单点故障安全隐患；</w:t>
      </w:r>
    </w:p>
    <w:p>
      <w:pPr>
        <w:pStyle w:val="null3"/>
        <w:ind w:firstLine="360"/>
        <w:jc w:val="left"/>
      </w:pPr>
      <w:r>
        <w:rPr>
          <w:rFonts w:ascii="仿宋_GB2312" w:hAnsi="仿宋_GB2312" w:cs="仿宋_GB2312" w:eastAsia="仿宋_GB2312"/>
          <w:sz w:val="18"/>
          <w:color w:val="000000"/>
        </w:rPr>
        <w:t>3.根据人力资源社会保障网络和数据安全防护“零容忍”清单，中心网络缺少安全日志审计、存储系统和灾备系统，网络及数据安全风险较高；</w:t>
      </w:r>
    </w:p>
    <w:p>
      <w:pPr>
        <w:pStyle w:val="null3"/>
        <w:ind w:firstLine="360"/>
        <w:jc w:val="left"/>
      </w:pPr>
      <w:r>
        <w:rPr>
          <w:rFonts w:ascii="仿宋_GB2312" w:hAnsi="仿宋_GB2312" w:cs="仿宋_GB2312" w:eastAsia="仿宋_GB2312"/>
          <w:sz w:val="18"/>
          <w:color w:val="000000"/>
        </w:rPr>
        <w:t>4.无线网络使用加密密码登录后接入，缺少实名认证机制，存在个人隐私泄露、网络犯罪、设备劫持、信息盗用以及其他法律风险；</w:t>
      </w:r>
    </w:p>
    <w:p>
      <w:pPr>
        <w:pStyle w:val="null3"/>
        <w:ind w:firstLine="360"/>
        <w:jc w:val="left"/>
      </w:pPr>
      <w:r>
        <w:rPr>
          <w:rFonts w:ascii="仿宋_GB2312" w:hAnsi="仿宋_GB2312" w:cs="仿宋_GB2312" w:eastAsia="仿宋_GB2312"/>
          <w:sz w:val="18"/>
          <w:color w:val="000000"/>
        </w:rPr>
        <w:t>5.缺少远程接入设备，目前使用厅数网中心网络远程接入设备，该设备支撑全省人社系统远程接入应用，用户数大，存在接入性能不稳定，用户管理不便等问题。</w:t>
      </w:r>
    </w:p>
    <w:p>
      <w:pPr>
        <w:pStyle w:val="null3"/>
        <w:ind w:firstLine="360"/>
        <w:jc w:val="left"/>
      </w:pPr>
      <w:r>
        <w:rPr>
          <w:rFonts w:ascii="仿宋_GB2312" w:hAnsi="仿宋_GB2312" w:cs="仿宋_GB2312" w:eastAsia="仿宋_GB2312"/>
          <w:sz w:val="18"/>
          <w:color w:val="000000"/>
        </w:rPr>
        <w:t>6.中心有17台2013—2016年的网络交换设备，存在较大的交换设备故障隐患。</w:t>
      </w:r>
    </w:p>
    <w:p>
      <w:pPr>
        <w:pStyle w:val="null3"/>
        <w:ind w:firstLine="360"/>
        <w:jc w:val="left"/>
      </w:pPr>
      <w:r>
        <w:rPr>
          <w:rFonts w:ascii="仿宋_GB2312" w:hAnsi="仿宋_GB2312" w:cs="仿宋_GB2312" w:eastAsia="仿宋_GB2312"/>
          <w:sz w:val="18"/>
          <w:color w:val="000000"/>
        </w:rPr>
        <w:t>三、建设内容及实施要求</w:t>
      </w:r>
      <w:r>
        <w:rPr>
          <w:rFonts w:ascii="仿宋_GB2312" w:hAnsi="仿宋_GB2312" w:cs="仿宋_GB2312" w:eastAsia="仿宋_GB2312"/>
          <w:sz w:val="18"/>
          <w:color w:val="000000"/>
        </w:rPr>
        <w:t xml:space="preserve">  </w:t>
      </w:r>
    </w:p>
    <w:p>
      <w:pPr>
        <w:pStyle w:val="null3"/>
        <w:ind w:firstLine="360"/>
        <w:jc w:val="left"/>
      </w:pPr>
      <w:r>
        <w:rPr>
          <w:rFonts w:ascii="仿宋_GB2312" w:hAnsi="仿宋_GB2312" w:cs="仿宋_GB2312" w:eastAsia="仿宋_GB2312"/>
          <w:sz w:val="18"/>
          <w:color w:val="000000"/>
        </w:rPr>
        <w:t>根据省委平安办</w:t>
      </w:r>
      <w:r>
        <w:rPr>
          <w:rFonts w:ascii="仿宋_GB2312" w:hAnsi="仿宋_GB2312" w:cs="仿宋_GB2312" w:eastAsia="仿宋_GB2312"/>
          <w:sz w:val="18"/>
          <w:color w:val="000000"/>
        </w:rPr>
        <w:t>“三项风险清单”中的安全生产风险清单和人社安全生产工作要求，按照人社部网络与数据安全专项行动方案，结合中心网络系统现存的安全风险隐患实际，本项目建设内容包括办公互联网出口防火墙双机热备、内外网安全隔离与信息交换系统、网络安全日志审计系统、数据安全容灾备份系统、远程安全接入虚拟专用网络系统以及网络拓扑架构安全优化，同时为保障中心网络交换设备故障时网络中断最小化，配置4台网络交换机备件。</w:t>
      </w:r>
    </w:p>
    <w:p>
      <w:pPr>
        <w:pStyle w:val="null3"/>
        <w:ind w:firstLine="360"/>
        <w:jc w:val="left"/>
      </w:pPr>
      <w:r>
        <w:rPr>
          <w:rFonts w:ascii="仿宋_GB2312" w:hAnsi="仿宋_GB2312" w:cs="仿宋_GB2312" w:eastAsia="仿宋_GB2312"/>
          <w:sz w:val="21"/>
          <w:color w:val="000000"/>
        </w:rPr>
        <w:t>附图</w:t>
      </w:r>
      <w:r>
        <w:rPr>
          <w:rFonts w:ascii="仿宋_GB2312" w:hAnsi="仿宋_GB2312" w:cs="仿宋_GB2312" w:eastAsia="仿宋_GB2312"/>
          <w:sz w:val="21"/>
          <w:color w:val="000000"/>
        </w:rPr>
        <w:t>3</w:t>
      </w:r>
    </w:p>
    <w:p>
      <w:pPr>
        <w:pStyle w:val="null3"/>
        <w:ind w:firstLine="360"/>
        <w:jc w:val="left"/>
      </w:pPr>
      <w:r>
        <w:rPr>
          <w:rFonts w:ascii="仿宋_GB2312" w:hAnsi="仿宋_GB2312" w:cs="仿宋_GB2312" w:eastAsia="仿宋_GB2312"/>
          <w:sz w:val="18"/>
          <w:color w:val="000000"/>
        </w:rPr>
        <w:t>采购清单</w:t>
      </w:r>
    </w:p>
    <w:tbl>
      <w:tblPr>
        <w:tblW w:w="0" w:type="auto"/>
        <w:tblBorders>
          <w:top w:val="none" w:color="000000" w:sz="4"/>
          <w:left w:val="none" w:color="000000" w:sz="4"/>
          <w:bottom w:val="none" w:color="000000" w:sz="4"/>
          <w:right w:val="none" w:color="000000" w:sz="4"/>
          <w:insideH w:val="none"/>
          <w:insideV w:val="none"/>
        </w:tblBorders>
      </w:tblPr>
      <w:tblGrid>
        <w:gridCol w:w="2046"/>
        <w:gridCol w:w="767"/>
        <w:gridCol w:w="5492"/>
      </w:tblGrid>
      <w:tr>
        <w:tc>
          <w:tcPr>
            <w:tcW w:type="dxa" w:w="2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w:t>
            </w:r>
          </w:p>
        </w:tc>
        <w:tc>
          <w:tcPr>
            <w:tcW w:type="dxa" w:w="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5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基本内容</w:t>
            </w:r>
          </w:p>
        </w:tc>
      </w:tr>
      <w:tr>
        <w:tc>
          <w:tcPr>
            <w:tcW w:type="dxa" w:w="2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互联网出口防火墙</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防火墙硬件设备，全特征库授权，</w:t>
            </w:r>
            <w:r>
              <w:rPr>
                <w:rFonts w:ascii="仿宋_GB2312" w:hAnsi="仿宋_GB2312" w:cs="仿宋_GB2312" w:eastAsia="仿宋_GB2312"/>
                <w:sz w:val="18"/>
                <w:color w:val="000000"/>
              </w:rPr>
              <w:t>3年质保（含特征库授权，现场技术支持服务）；</w:t>
            </w:r>
          </w:p>
        </w:tc>
      </w:tr>
      <w:tr>
        <w:tc>
          <w:tcPr>
            <w:tcW w:type="dxa" w:w="2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防火墙服务</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1项</w:t>
            </w: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现有防火墙</w:t>
            </w:r>
            <w:r>
              <w:rPr>
                <w:rFonts w:ascii="仿宋_GB2312" w:hAnsi="仿宋_GB2312" w:cs="仿宋_GB2312" w:eastAsia="仿宋_GB2312"/>
                <w:sz w:val="18"/>
                <w:color w:val="000000"/>
              </w:rPr>
              <w:t>3年全特征库授权；</w:t>
            </w:r>
          </w:p>
        </w:tc>
      </w:tr>
      <w:tr>
        <w:tc>
          <w:tcPr>
            <w:tcW w:type="dxa" w:w="2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安全隔离与信息交换系统（网闸）</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硬件设备，</w:t>
            </w:r>
            <w:r>
              <w:rPr>
                <w:rFonts w:ascii="仿宋_GB2312" w:hAnsi="仿宋_GB2312" w:cs="仿宋_GB2312" w:eastAsia="仿宋_GB2312"/>
                <w:sz w:val="18"/>
                <w:color w:val="000000"/>
              </w:rPr>
              <w:t>5年质保（含软件升级，现场技术支持服务）；</w:t>
            </w:r>
          </w:p>
        </w:tc>
      </w:tr>
      <w:tr>
        <w:tc>
          <w:tcPr>
            <w:tcW w:type="dxa" w:w="2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网络安全日志审计</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硬件设备、审计软件、</w:t>
            </w:r>
            <w:r>
              <w:rPr>
                <w:rFonts w:ascii="仿宋_GB2312" w:hAnsi="仿宋_GB2312" w:cs="仿宋_GB2312" w:eastAsia="仿宋_GB2312"/>
                <w:sz w:val="18"/>
                <w:color w:val="000000"/>
              </w:rPr>
              <w:t>3年质保（含软件升级，现场技术支持服务）；</w:t>
            </w:r>
          </w:p>
        </w:tc>
      </w:tr>
      <w:tr>
        <w:tc>
          <w:tcPr>
            <w:tcW w:type="dxa" w:w="2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数据安全容灾备份</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硬件设备，备份软件，</w:t>
            </w:r>
            <w:r>
              <w:rPr>
                <w:rFonts w:ascii="仿宋_GB2312" w:hAnsi="仿宋_GB2312" w:cs="仿宋_GB2312" w:eastAsia="仿宋_GB2312"/>
                <w:sz w:val="18"/>
                <w:color w:val="000000"/>
              </w:rPr>
              <w:t>3年质保（含软件升级，现场技术支持服务）；</w:t>
            </w:r>
          </w:p>
        </w:tc>
      </w:tr>
      <w:tr>
        <w:tc>
          <w:tcPr>
            <w:tcW w:type="dxa" w:w="2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远程安全接入</w:t>
            </w:r>
            <w:r>
              <w:rPr>
                <w:rFonts w:ascii="仿宋_GB2312" w:hAnsi="仿宋_GB2312" w:cs="仿宋_GB2312" w:eastAsia="仿宋_GB2312"/>
                <w:sz w:val="18"/>
                <w:color w:val="000000"/>
              </w:rPr>
              <w:t>VPN</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硬件设备，</w:t>
            </w:r>
            <w:r>
              <w:rPr>
                <w:rFonts w:ascii="仿宋_GB2312" w:hAnsi="仿宋_GB2312" w:cs="仿宋_GB2312" w:eastAsia="仿宋_GB2312"/>
                <w:sz w:val="18"/>
                <w:color w:val="000000"/>
              </w:rPr>
              <w:t>vpn软件，3年质保（含软件升级，现场技术支持）；</w:t>
            </w:r>
          </w:p>
        </w:tc>
      </w:tr>
      <w:tr>
        <w:tc>
          <w:tcPr>
            <w:tcW w:type="dxa" w:w="2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交换</w:t>
            </w:r>
            <w:r>
              <w:rPr>
                <w:rFonts w:ascii="仿宋_GB2312" w:hAnsi="仿宋_GB2312" w:cs="仿宋_GB2312" w:eastAsia="仿宋_GB2312"/>
                <w:sz w:val="18"/>
                <w:color w:val="000000"/>
              </w:rPr>
              <w:t>机</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4台</w:t>
            </w: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包转发率</w:t>
            </w:r>
            <w:r>
              <w:rPr>
                <w:rFonts w:ascii="仿宋_GB2312" w:hAnsi="仿宋_GB2312" w:cs="仿宋_GB2312" w:eastAsia="仿宋_GB2312"/>
                <w:sz w:val="18"/>
                <w:color w:val="000000"/>
              </w:rPr>
              <w:t>≥171Mpps， ≥48个10/100/1000Base-T自适应以太网端口，≥6个1/10GE SFP+口，</w:t>
            </w:r>
            <w:r>
              <w:rPr>
                <w:rFonts w:ascii="仿宋_GB2312" w:hAnsi="仿宋_GB2312" w:cs="仿宋_GB2312" w:eastAsia="仿宋_GB2312"/>
                <w:sz w:val="18"/>
                <w:color w:val="000000"/>
              </w:rPr>
              <w:t>3</w:t>
            </w:r>
            <w:r>
              <w:rPr>
                <w:rFonts w:ascii="仿宋_GB2312" w:hAnsi="仿宋_GB2312" w:cs="仿宋_GB2312" w:eastAsia="仿宋_GB2312"/>
                <w:sz w:val="18"/>
                <w:color w:val="000000"/>
              </w:rPr>
              <w:t>年质保</w:t>
            </w:r>
          </w:p>
        </w:tc>
      </w:tr>
      <w:tr>
        <w:tc>
          <w:tcPr>
            <w:tcW w:type="dxa" w:w="2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网络架构安全优化</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1项</w:t>
            </w: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审查网络拓扑架构，分析性能瓶颈和安全风险隐患；重构分层架构（核心</w:t>
            </w:r>
            <w:r>
              <w:rPr>
                <w:rFonts w:ascii="仿宋_GB2312" w:hAnsi="仿宋_GB2312" w:cs="仿宋_GB2312" w:eastAsia="仿宋_GB2312"/>
                <w:sz w:val="18"/>
                <w:color w:val="000000"/>
              </w:rPr>
              <w:t>-汇聚-接入），审查并强化安全配置;网关下移，路由优化;无线网络安全认证；物理链路安全加固和性能优化（链路检测、故障更换、线缆标识、配线架整理）</w:t>
            </w: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互联网出口防火墙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安全隔离与信息交换系统（网闸）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141,000.00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数据安全容灾备份</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网络安全日志审计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87,000.00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远程安全接入VPN</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交换机</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标的名称：互联网出口防火墙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（一）互联网出口防火墙双机热备</w:t>
            </w:r>
            <w:r>
              <w:rPr>
                <w:rFonts w:ascii="仿宋_GB2312" w:hAnsi="仿宋_GB2312" w:cs="仿宋_GB2312" w:eastAsia="仿宋_GB2312"/>
                <w:sz w:val="18"/>
                <w:color w:val="000000"/>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154"/>
              <w:gridCol w:w="154"/>
              <w:gridCol w:w="2245"/>
            </w:tblGrid>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参数要求</w:t>
                  </w:r>
                </w:p>
              </w:tc>
            </w:tr>
            <w:tr>
              <w:tc>
                <w:tcPr>
                  <w:tcW w:type="dxa" w:w="15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互联网出口防火墙</w:t>
                  </w:r>
                </w:p>
              </w:tc>
              <w:tc>
                <w:tcPr>
                  <w:tcW w:type="dxa" w:w="15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配置要求：</w:t>
                  </w:r>
                  <w:r>
                    <w:rPr>
                      <w:rFonts w:ascii="仿宋_GB2312" w:hAnsi="仿宋_GB2312" w:cs="仿宋_GB2312" w:eastAsia="仿宋_GB2312"/>
                      <w:sz w:val="18"/>
                      <w:color w:val="000000"/>
                    </w:rPr>
                    <w:t>接口配置</w:t>
                  </w:r>
                  <w:r>
                    <w:rPr>
                      <w:rFonts w:ascii="仿宋_GB2312" w:hAnsi="仿宋_GB2312" w:cs="仿宋_GB2312" w:eastAsia="仿宋_GB2312"/>
                      <w:sz w:val="18"/>
                      <w:color w:val="000000"/>
                    </w:rPr>
                    <w:t>≥1个配置口（CON），≥2个USB接口，≥1个MGMT接口，≥16个千兆以太电口，≥6个千兆以太光口，≥2个万兆以太光口，≥2个扩展插槽，≥2个可插拔交直流冗余电源模块，≥2个冗余风扇；</w:t>
                  </w:r>
                </w:p>
              </w:tc>
            </w:tr>
            <w:tr>
              <w:tc>
                <w:tcPr>
                  <w:tcW w:type="dxa" w:w="154"/>
                  <w:vMerge/>
                  <w:tcBorders>
                    <w:top w:val="none" w:color="000000" w:sz="4"/>
                    <w:left w:val="single" w:color="000000" w:sz="4"/>
                    <w:bottom w:val="none" w:color="000000" w:sz="4"/>
                    <w:right w:val="single" w:color="000000" w:sz="4"/>
                  </w:tcBorders>
                </w:tcPr>
                <w:p/>
              </w:tc>
              <w:tc>
                <w:tcPr>
                  <w:tcW w:type="dxa" w:w="154"/>
                  <w:vMerge/>
                  <w:tcBorders>
                    <w:top w:val="none" w:color="000000" w:sz="4"/>
                    <w:left w:val="none" w:color="000000" w:sz="4"/>
                    <w:bottom w:val="none" w:color="000000" w:sz="4"/>
                    <w:right w:val="single" w:color="000000" w:sz="4"/>
                  </w:tcBorders>
                </w:tcP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性能要求：</w:t>
                  </w:r>
                  <w:r>
                    <w:rPr>
                      <w:rFonts w:ascii="仿宋_GB2312" w:hAnsi="仿宋_GB2312" w:cs="仿宋_GB2312" w:eastAsia="仿宋_GB2312"/>
                      <w:sz w:val="18"/>
                      <w:color w:val="000000"/>
                    </w:rPr>
                    <w:t>并发连接数</w:t>
                  </w:r>
                  <w:r>
                    <w:rPr>
                      <w:rFonts w:ascii="仿宋_GB2312" w:hAnsi="仿宋_GB2312" w:cs="仿宋_GB2312" w:eastAsia="仿宋_GB2312"/>
                      <w:sz w:val="18"/>
                      <w:color w:val="000000"/>
                    </w:rPr>
                    <w:t>≥500万，新建连接数≥50000/s，整机吞吐量≥6Gbps;</w:t>
                  </w:r>
                </w:p>
              </w:tc>
            </w:tr>
            <w:tr>
              <w:tc>
                <w:tcPr>
                  <w:tcW w:type="dxa" w:w="154"/>
                  <w:vMerge/>
                  <w:tcBorders>
                    <w:top w:val="none" w:color="000000" w:sz="4"/>
                    <w:left w:val="single" w:color="000000" w:sz="4"/>
                    <w:bottom w:val="none" w:color="000000" w:sz="4"/>
                    <w:right w:val="single" w:color="000000" w:sz="4"/>
                  </w:tcBorders>
                </w:tcPr>
                <w:p/>
              </w:tc>
              <w:tc>
                <w:tcPr>
                  <w:tcW w:type="dxa" w:w="154"/>
                  <w:vMerge/>
                  <w:tcBorders>
                    <w:top w:val="none" w:color="000000" w:sz="4"/>
                    <w:left w:val="none" w:color="000000" w:sz="4"/>
                    <w:bottom w:val="none" w:color="000000" w:sz="4"/>
                    <w:right w:val="single" w:color="000000" w:sz="4"/>
                  </w:tcBorders>
                </w:tcP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功能要求：</w:t>
                  </w:r>
                  <w:r>
                    <w:br/>
                  </w:r>
                  <w:r>
                    <w:rPr>
                      <w:rFonts w:ascii="仿宋_GB2312" w:hAnsi="仿宋_GB2312" w:cs="仿宋_GB2312" w:eastAsia="仿宋_GB2312"/>
                      <w:sz w:val="18"/>
                      <w:color w:val="000000"/>
                    </w:rPr>
                    <w:t>1.支持路由模式、透明模式、混杂模式等运行模式；支持IEEE802.1Q、VLAN透传功能；</w:t>
                  </w:r>
                </w:p>
                <w:p>
                  <w:pPr>
                    <w:pStyle w:val="null3"/>
                    <w:jc w:val="left"/>
                  </w:pPr>
                  <w:r>
                    <w:rPr>
                      <w:rFonts w:ascii="仿宋_GB2312" w:hAnsi="仿宋_GB2312" w:cs="仿宋_GB2312" w:eastAsia="仿宋_GB2312"/>
                      <w:sz w:val="18"/>
                      <w:color w:val="000000"/>
                    </w:rPr>
                    <w:t>2.▲支持虚拟防火墙技术；支持多虚一虚拟化，支持双机状态热备、双机配置同步、VRRP 等；</w:t>
                  </w:r>
                  <w:r>
                    <w:br/>
                  </w:r>
                  <w:r>
                    <w:rPr>
                      <w:rFonts w:ascii="仿宋_GB2312" w:hAnsi="仿宋_GB2312" w:cs="仿宋_GB2312" w:eastAsia="仿宋_GB2312"/>
                      <w:sz w:val="18"/>
                      <w:color w:val="000000"/>
                    </w:rPr>
                    <w:t>3.支持但不限于Land、Smurf、Fraggle、Ping of Death、Tear Drop、IP Spoofing、IP分片报文、ARP欺骗、ARP主动反向查询、超大ICMP报文、地址扫描、端口扫描、SYN Flood、UPD Flood、ICMP Flood、DNS Flood等多种恶意攻击的有效防御；支持ASPF应用层报文过滤；支持HTTP、FTP、SMTP、POP3、IMAP协议等报文流处理模式；支持静态和动态黑名单功能；</w:t>
                  </w:r>
                  <w:r>
                    <w:br/>
                  </w:r>
                  <w:r>
                    <w:rPr>
                      <w:rFonts w:ascii="仿宋_GB2312" w:hAnsi="仿宋_GB2312" w:cs="仿宋_GB2312" w:eastAsia="仿宋_GB2312"/>
                      <w:sz w:val="18"/>
                      <w:color w:val="000000"/>
                    </w:rPr>
                    <w:t>4.支持基础和扩展的访问控制列表、基于时间段的访问控制列表、基于用户/应用的访问控制列表等，支持MAC和IP绑定；</w:t>
                  </w:r>
                  <w:r>
                    <w:br/>
                  </w:r>
                  <w:r>
                    <w:rPr>
                      <w:rFonts w:ascii="仿宋_GB2312" w:hAnsi="仿宋_GB2312" w:cs="仿宋_GB2312" w:eastAsia="仿宋_GB2312"/>
                      <w:sz w:val="18"/>
                      <w:color w:val="000000"/>
                    </w:rPr>
                    <w:t>5.支持基于病毒特征进行检测，支持病毒库手动和自动升级；支持病毒日志和报表；</w:t>
                  </w:r>
                  <w:r>
                    <w:br/>
                  </w:r>
                  <w:r>
                    <w:rPr>
                      <w:rFonts w:ascii="仿宋_GB2312" w:hAnsi="仿宋_GB2312" w:cs="仿宋_GB2312" w:eastAsia="仿宋_GB2312"/>
                      <w:sz w:val="18"/>
                      <w:color w:val="000000"/>
                    </w:rPr>
                    <w:t>6.▲支持多种模式的NAT，支持可配置地址转换的有效时间，支持多种NAT ALG，包括但不限于DNS、FTP、H.323、ILS、MSN、NBT、PPTP、SIP等，支持DNS映射功能；</w:t>
                  </w:r>
                  <w:r>
                    <w:br/>
                  </w:r>
                  <w:r>
                    <w:rPr>
                      <w:rFonts w:ascii="仿宋_GB2312" w:hAnsi="仿宋_GB2312" w:cs="仿宋_GB2312" w:eastAsia="仿宋_GB2312"/>
                      <w:sz w:val="18"/>
                      <w:color w:val="000000"/>
                    </w:rPr>
                    <w:t>7.支持基于命令行的配置管理，支持Web方式进行远程配置管理，支持标准网管 SNMPv3，并且兼容SNMP v1和v2；</w:t>
                  </w:r>
                </w:p>
              </w:tc>
            </w:tr>
            <w:tr>
              <w:tc>
                <w:tcPr>
                  <w:tcW w:type="dxa" w:w="154"/>
                  <w:vMerge/>
                  <w:tcBorders>
                    <w:top w:val="none" w:color="000000" w:sz="4"/>
                    <w:left w:val="single" w:color="000000" w:sz="4"/>
                    <w:bottom w:val="none" w:color="000000" w:sz="4"/>
                    <w:right w:val="single" w:color="000000" w:sz="4"/>
                  </w:tcBorders>
                </w:tcPr>
                <w:p/>
              </w:tc>
              <w:tc>
                <w:tcPr>
                  <w:tcW w:type="dxa" w:w="154"/>
                  <w:vMerge/>
                  <w:tcBorders>
                    <w:top w:val="none" w:color="000000" w:sz="4"/>
                    <w:left w:val="none" w:color="000000" w:sz="4"/>
                    <w:bottom w:val="none" w:color="000000" w:sz="4"/>
                    <w:right w:val="single" w:color="000000" w:sz="4"/>
                  </w:tcBorders>
                </w:tcP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产品证书：提供《计算机软件著作权登记证书》、《商用密码产品认证证书》、《信息系统业务安全服务资质》；所提供的产品在《网络关键设备和网络安全专用产品目录》内。</w:t>
                  </w:r>
                </w:p>
              </w:tc>
            </w:tr>
            <w:tr>
              <w:tc>
                <w:tcPr>
                  <w:tcW w:type="dxa" w:w="154"/>
                  <w:vMerge/>
                  <w:tcBorders>
                    <w:top w:val="none" w:color="000000" w:sz="4"/>
                    <w:left w:val="single" w:color="000000" w:sz="4"/>
                    <w:bottom w:val="none" w:color="000000" w:sz="4"/>
                    <w:right w:val="single" w:color="000000" w:sz="4"/>
                  </w:tcBorders>
                </w:tcPr>
                <w:p/>
              </w:tc>
              <w:tc>
                <w:tcPr>
                  <w:tcW w:type="dxa" w:w="154"/>
                  <w:vMerge/>
                  <w:tcBorders>
                    <w:top w:val="none" w:color="000000" w:sz="4"/>
                    <w:left w:val="none" w:color="000000" w:sz="4"/>
                    <w:bottom w:val="none" w:color="000000" w:sz="4"/>
                    <w:right w:val="single" w:color="000000" w:sz="4"/>
                  </w:tcBorders>
                </w:tcP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服务保障：在质保期内无条件提供</w:t>
                  </w:r>
                  <w:r>
                    <w:rPr>
                      <w:rFonts w:ascii="仿宋_GB2312" w:hAnsi="仿宋_GB2312" w:cs="仿宋_GB2312" w:eastAsia="仿宋_GB2312"/>
                      <w:sz w:val="18"/>
                      <w:color w:val="000000"/>
                    </w:rPr>
                    <w:t>≥3年原厂服务，≥3年全特征库授权；包括软件、硬件质保、现场技术支持（含全特征库升级），完成与现有防火墙的双机热备部署。</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防火墙服务</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1项</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已有防火墙</w:t>
                  </w:r>
                  <w:r>
                    <w:rPr>
                      <w:rFonts w:ascii="仿宋_GB2312" w:hAnsi="仿宋_GB2312" w:cs="仿宋_GB2312" w:eastAsia="仿宋_GB2312"/>
                      <w:sz w:val="18"/>
                      <w:color w:val="000000"/>
                    </w:rPr>
                    <w:t>≥3年特征库授权，包括但不限于AV、ACG/APP、深度IPS、URL等模块,支持对常见攻击的防范和防御。</w:t>
                  </w:r>
                </w:p>
              </w:tc>
            </w:tr>
          </w:tbl>
          <w:p/>
        </w:tc>
      </w:tr>
    </w:tbl>
    <w:p>
      <w:pPr>
        <w:pStyle w:val="null3"/>
      </w:pPr>
      <w:r>
        <w:rPr>
          <w:rFonts w:ascii="仿宋_GB2312" w:hAnsi="仿宋_GB2312" w:cs="仿宋_GB2312" w:eastAsia="仿宋_GB2312"/>
        </w:rPr>
        <w:t>标的名称：安全隔离与信息交换系统（网闸）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（二）安全隔离与信息交换系统（网闸）</w:t>
            </w: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225"/>
              <w:gridCol w:w="154"/>
              <w:gridCol w:w="2174"/>
            </w:tblGrid>
            <w:tr>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参数要求</w:t>
                  </w:r>
                </w:p>
              </w:tc>
            </w:tr>
            <w:tr>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安全隔离与信息交换系统（网闸）</w:t>
                  </w:r>
                </w:p>
              </w:tc>
              <w:tc>
                <w:tcPr>
                  <w:tcW w:type="dxa" w:w="15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硬件配置：</w:t>
                  </w:r>
                  <w:r>
                    <w:rPr>
                      <w:rFonts w:ascii="仿宋_GB2312" w:hAnsi="仿宋_GB2312" w:cs="仿宋_GB2312" w:eastAsia="仿宋_GB2312"/>
                      <w:sz w:val="18"/>
                      <w:color w:val="000000"/>
                    </w:rPr>
                    <w:t>尺寸标准机架式、带导轨等配件，电源</w:t>
                  </w:r>
                  <w:r>
                    <w:rPr>
                      <w:rFonts w:ascii="仿宋_GB2312" w:hAnsi="仿宋_GB2312" w:cs="仿宋_GB2312" w:eastAsia="仿宋_GB2312"/>
                      <w:sz w:val="18"/>
                      <w:color w:val="000000"/>
                    </w:rPr>
                    <w:t>≥2个，内网接口：配置≥4个10/100/1000M Base-TX网络接口、配置≥4个千兆光口、配置≥2个万兆光口，满配光模块；外网接口：配置≥4个千兆光口、配置≥2个万兆光口，满配光模块；配置≥1个管理口。</w:t>
                  </w:r>
                </w:p>
              </w:tc>
            </w:tr>
            <w:tr>
              <w:tc>
                <w:tcPr>
                  <w:tcW w:type="dxa" w:w="225"/>
                  <w:vMerge/>
                  <w:tcBorders>
                    <w:top w:val="none" w:color="000000" w:sz="4"/>
                    <w:left w:val="single" w:color="000000" w:sz="4"/>
                    <w:bottom w:val="single" w:color="000000" w:sz="4"/>
                    <w:right w:val="single" w:color="000000" w:sz="4"/>
                  </w:tcBorders>
                </w:tcPr>
                <w:p/>
              </w:tc>
              <w:tc>
                <w:tcPr>
                  <w:tcW w:type="dxa" w:w="154"/>
                  <w:vMerge/>
                  <w:tcBorders>
                    <w:top w:val="none" w:color="000000" w:sz="4"/>
                    <w:left w:val="none" w:color="000000" w:sz="4"/>
                    <w:bottom w:val="none" w:color="000000" w:sz="4"/>
                    <w:right w:val="single" w:color="000000" w:sz="4"/>
                  </w:tcBorders>
                </w:tcP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性能要求：</w:t>
                  </w:r>
                  <w:r>
                    <w:rPr>
                      <w:rFonts w:ascii="仿宋_GB2312" w:hAnsi="仿宋_GB2312" w:cs="仿宋_GB2312" w:eastAsia="仿宋_GB2312"/>
                      <w:sz w:val="18"/>
                      <w:color w:val="000000"/>
                    </w:rPr>
                    <w:t>吞吐量</w:t>
                  </w:r>
                  <w:r>
                    <w:rPr>
                      <w:rFonts w:ascii="仿宋_GB2312" w:hAnsi="仿宋_GB2312" w:cs="仿宋_GB2312" w:eastAsia="仿宋_GB2312"/>
                      <w:sz w:val="18"/>
                      <w:color w:val="000000"/>
                    </w:rPr>
                    <w:t>≥</w:t>
                  </w:r>
                  <w:r>
                    <w:rPr>
                      <w:rFonts w:ascii="仿宋_GB2312" w:hAnsi="仿宋_GB2312" w:cs="仿宋_GB2312" w:eastAsia="仿宋_GB2312"/>
                      <w:sz w:val="18"/>
                      <w:color w:val="000000"/>
                    </w:rPr>
                    <w:t>700M</w:t>
                  </w:r>
                  <w:r>
                    <w:rPr>
                      <w:rFonts w:ascii="仿宋_GB2312" w:hAnsi="仿宋_GB2312" w:cs="仿宋_GB2312" w:eastAsia="仿宋_GB2312"/>
                      <w:sz w:val="18"/>
                      <w:color w:val="000000"/>
                    </w:rPr>
                    <w:t>bps；并发数≥</w:t>
                  </w:r>
                  <w:r>
                    <w:rPr>
                      <w:rFonts w:ascii="仿宋_GB2312" w:hAnsi="仿宋_GB2312" w:cs="仿宋_GB2312" w:eastAsia="仿宋_GB2312"/>
                      <w:sz w:val="18"/>
                      <w:color w:val="000000"/>
                    </w:rPr>
                    <w:t>1</w:t>
                  </w:r>
                  <w:r>
                    <w:rPr>
                      <w:rFonts w:ascii="仿宋_GB2312" w:hAnsi="仿宋_GB2312" w:cs="仿宋_GB2312" w:eastAsia="仿宋_GB2312"/>
                      <w:sz w:val="18"/>
                      <w:color w:val="000000"/>
                    </w:rPr>
                    <w:t>00000</w:t>
                  </w:r>
                </w:p>
              </w:tc>
            </w:tr>
            <w:tr>
              <w:tc>
                <w:tcPr>
                  <w:tcW w:type="dxa" w:w="225"/>
                  <w:vMerge/>
                  <w:tcBorders>
                    <w:top w:val="none" w:color="000000" w:sz="4"/>
                    <w:left w:val="single" w:color="000000" w:sz="4"/>
                    <w:bottom w:val="single" w:color="000000" w:sz="4"/>
                    <w:right w:val="single" w:color="000000" w:sz="4"/>
                  </w:tcBorders>
                </w:tcPr>
                <w:p/>
              </w:tc>
              <w:tc>
                <w:tcPr>
                  <w:tcW w:type="dxa" w:w="154"/>
                  <w:vMerge/>
                  <w:tcBorders>
                    <w:top w:val="none" w:color="000000" w:sz="4"/>
                    <w:left w:val="none" w:color="000000" w:sz="4"/>
                    <w:bottom w:val="none" w:color="000000" w:sz="4"/>
                    <w:right w:val="single" w:color="000000" w:sz="4"/>
                  </w:tcBorders>
                </w:tcP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功能要求：</w:t>
                  </w:r>
                  <w:r>
                    <w:br/>
                  </w:r>
                  <w:r>
                    <w:rPr>
                      <w:rFonts w:ascii="仿宋_GB2312" w:hAnsi="仿宋_GB2312" w:cs="仿宋_GB2312" w:eastAsia="仿宋_GB2312"/>
                      <w:sz w:val="18"/>
                      <w:color w:val="000000"/>
                    </w:rPr>
                    <w:t xml:space="preserve">1.内外网主机系统分别支持双系统引导，支持启动顺序可配置，支持系统(包括配置)备份，支持设备重要信息监控； </w:t>
                  </w:r>
                  <w:r>
                    <w:br/>
                  </w:r>
                  <w:r>
                    <w:rPr>
                      <w:rFonts w:ascii="仿宋_GB2312" w:hAnsi="仿宋_GB2312" w:cs="仿宋_GB2312" w:eastAsia="仿宋_GB2312"/>
                      <w:sz w:val="18"/>
                      <w:color w:val="000000"/>
                    </w:rPr>
                    <w:t>2.支持IPV6/IPV4双栈接入；内、外端机之间支持专用硬件和专用协议进行连接，不可编程；</w:t>
                  </w:r>
                  <w:r>
                    <w:br/>
                  </w:r>
                  <w:r>
                    <w:rPr>
                      <w:rFonts w:ascii="仿宋_GB2312" w:hAnsi="仿宋_GB2312" w:cs="仿宋_GB2312" w:eastAsia="仿宋_GB2312"/>
                      <w:sz w:val="18"/>
                      <w:color w:val="000000"/>
                    </w:rPr>
                    <w:t>3.▲支持轮询、热备、链路聚合等接口冗余模式，支持隧道；</w:t>
                  </w:r>
                  <w:r>
                    <w:br/>
                  </w:r>
                  <w:r>
                    <w:rPr>
                      <w:rFonts w:ascii="仿宋_GB2312" w:hAnsi="仿宋_GB2312" w:cs="仿宋_GB2312" w:eastAsia="仿宋_GB2312"/>
                      <w:sz w:val="18"/>
                      <w:color w:val="000000"/>
                    </w:rPr>
                    <w:t>4.支持WEB认证方式和专用客户端两种认证方式；支持基于动态令牌的双因子认证方式；</w:t>
                  </w:r>
                  <w:r>
                    <w:br/>
                  </w:r>
                  <w:r>
                    <w:rPr>
                      <w:rFonts w:ascii="仿宋_GB2312" w:hAnsi="仿宋_GB2312" w:cs="仿宋_GB2312" w:eastAsia="仿宋_GB2312"/>
                      <w:sz w:val="18"/>
                      <w:color w:val="000000"/>
                    </w:rPr>
                    <w:t xml:space="preserve">5.支持断点续传，支持增量传输，发送后删除，改名传输等发送策略； </w:t>
                  </w:r>
                  <w:r>
                    <w:br/>
                  </w:r>
                  <w:r>
                    <w:rPr>
                      <w:rFonts w:ascii="仿宋_GB2312" w:hAnsi="仿宋_GB2312" w:cs="仿宋_GB2312" w:eastAsia="仿宋_GB2312"/>
                      <w:sz w:val="18"/>
                      <w:color w:val="000000"/>
                    </w:rPr>
                    <w:t>6.支持上传/下载文件类型的黑白名单控制；支持对邮件附件大小进行控制；支持附件类型过滤等，支持数据库SQL语句过滤功能。</w:t>
                  </w:r>
                  <w:r>
                    <w:br/>
                  </w:r>
                  <w:r>
                    <w:rPr>
                      <w:rFonts w:ascii="仿宋_GB2312" w:hAnsi="仿宋_GB2312" w:cs="仿宋_GB2312" w:eastAsia="仿宋_GB2312"/>
                      <w:sz w:val="18"/>
                      <w:color w:val="000000"/>
                    </w:rPr>
                    <w:t>7.▲支持HTTP/HTTPS/FTP/SMTP/POP3等应用协议；支持对特定TCP、UDP协议的数据隔离交换，支持针对特定协议的安全检测，支持黑白名单控制、关键字过滤等；</w:t>
                  </w:r>
                  <w:r>
                    <w:br/>
                  </w:r>
                  <w:r>
                    <w:rPr>
                      <w:rFonts w:ascii="仿宋_GB2312" w:hAnsi="仿宋_GB2312" w:cs="仿宋_GB2312" w:eastAsia="仿宋_GB2312"/>
                      <w:sz w:val="18"/>
                      <w:color w:val="000000"/>
                    </w:rPr>
                    <w:t>8.支持身份认证、访问用户控制、通信加密、数据传输模式、时间控制策略、内容过滤控制、访问控制等；</w:t>
                  </w:r>
                  <w:r>
                    <w:br/>
                  </w:r>
                  <w:r>
                    <w:rPr>
                      <w:rFonts w:ascii="仿宋_GB2312" w:hAnsi="仿宋_GB2312" w:cs="仿宋_GB2312" w:eastAsia="仿宋_GB2312"/>
                      <w:sz w:val="18"/>
                      <w:color w:val="000000"/>
                    </w:rPr>
                    <w:t>9.支持抗DDOS攻击；</w:t>
                  </w:r>
                  <w:r>
                    <w:br/>
                  </w:r>
                  <w:r>
                    <w:rPr>
                      <w:rFonts w:ascii="仿宋_GB2312" w:hAnsi="仿宋_GB2312" w:cs="仿宋_GB2312" w:eastAsia="仿宋_GB2312"/>
                      <w:sz w:val="18"/>
                      <w:color w:val="000000"/>
                    </w:rPr>
                    <w:t>10.支持syslog协议外发日志;支持同时发送多个远程syslog 服务;支持日志自动备份存档，可实现每天、每周、每月自动存档备份数据；</w:t>
                  </w:r>
                </w:p>
              </w:tc>
            </w:tr>
            <w:tr>
              <w:tc>
                <w:tcPr>
                  <w:tcW w:type="dxa" w:w="225"/>
                  <w:vMerge/>
                  <w:tcBorders>
                    <w:top w:val="none" w:color="000000" w:sz="4"/>
                    <w:left w:val="singl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产品证书：</w:t>
                  </w:r>
                  <w:r>
                    <w:rPr>
                      <w:rFonts w:ascii="仿宋_GB2312" w:hAnsi="仿宋_GB2312" w:cs="仿宋_GB2312" w:eastAsia="仿宋_GB2312"/>
                      <w:sz w:val="18"/>
                      <w:color w:val="000000"/>
                    </w:rPr>
                    <w:t>提供《计算机软件著作权登记证书》、《商用密码产品认证证书》；所提供产品在《网络关键设备和网络安全专用产品目录》内</w:t>
                  </w:r>
                </w:p>
              </w:tc>
            </w:tr>
            <w:tr>
              <w:tc>
                <w:tcPr>
                  <w:tcW w:type="dxa" w:w="225"/>
                  <w:vMerge/>
                  <w:tcBorders>
                    <w:top w:val="none" w:color="000000" w:sz="4"/>
                    <w:left w:val="singl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服务保障</w:t>
                  </w:r>
                  <w:r>
                    <w:rPr>
                      <w:rFonts w:ascii="仿宋_GB2312" w:hAnsi="仿宋_GB2312" w:cs="仿宋_GB2312" w:eastAsia="仿宋_GB2312"/>
                      <w:sz w:val="18"/>
                      <w:color w:val="000000"/>
                    </w:rPr>
                    <w:t>：在质保期内无条件提供</w:t>
                  </w:r>
                  <w:r>
                    <w:rPr>
                      <w:rFonts w:ascii="仿宋_GB2312" w:hAnsi="仿宋_GB2312" w:cs="仿宋_GB2312" w:eastAsia="仿宋_GB2312"/>
                      <w:sz w:val="18"/>
                      <w:color w:val="000000"/>
                    </w:rPr>
                    <w:t>≥3年原厂服务，≥3年全特征库授权；包括软件、硬件质保、现场技术支持（含特征库升级）。</w:t>
                  </w:r>
                </w:p>
              </w:tc>
            </w:tr>
          </w:tbl>
          <w:p/>
        </w:tc>
      </w:tr>
    </w:tbl>
    <w:p>
      <w:pPr>
        <w:pStyle w:val="null3"/>
      </w:pPr>
      <w:r>
        <w:rPr>
          <w:rFonts w:ascii="仿宋_GB2312" w:hAnsi="仿宋_GB2312" w:cs="仿宋_GB2312" w:eastAsia="仿宋_GB2312"/>
        </w:rPr>
        <w:t>标的名称：数据安全容灾备份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（三）数据安全容灾备份</w:t>
            </w:r>
          </w:p>
          <w:tbl>
            <w:tblPr>
              <w:tblInd w:type="dxa" w:w="120"/>
              <w:tblBorders>
                <w:top w:val="none" w:color="000000" w:sz="4"/>
                <w:left w:val="none" w:color="000000" w:sz="4"/>
                <w:bottom w:val="none" w:color="000000" w:sz="4"/>
                <w:right w:val="none" w:color="000000" w:sz="4"/>
                <w:insideH w:val="none"/>
                <w:insideV w:val="none"/>
              </w:tblBorders>
            </w:tblPr>
            <w:tblGrid>
              <w:gridCol w:w="155"/>
              <w:gridCol w:w="155"/>
              <w:gridCol w:w="2243"/>
            </w:tblGrid>
            <w:tr>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参数要求</w:t>
                  </w:r>
                </w:p>
              </w:tc>
            </w:tr>
            <w:tr>
              <w:tc>
                <w:tcPr>
                  <w:tcW w:type="dxa" w:w="1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数据安全容灾备份</w:t>
                  </w:r>
                </w:p>
              </w:tc>
              <w:tc>
                <w:tcPr>
                  <w:tcW w:type="dxa" w:w="15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2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硬件配置：</w:t>
                  </w:r>
                  <w:r>
                    <w:rPr>
                      <w:rFonts w:ascii="仿宋_GB2312" w:hAnsi="仿宋_GB2312" w:cs="仿宋_GB2312" w:eastAsia="仿宋_GB2312"/>
                      <w:sz w:val="18"/>
                      <w:color w:val="000000"/>
                    </w:rPr>
                    <w:t>CPU≥2*12核，≥128GB DDR4内存，≥2*480G SSD，配置SAS热插拔盘位数≥12个，数据盘≥4块4T，有效数据存储容量≥10T；配置Cache阵列卡及掉电保护；≥2个千兆网口，≥4个万兆光口（含模块），冗余电源。</w:t>
                  </w:r>
                </w:p>
              </w:tc>
            </w:tr>
            <w:tr>
              <w:tc>
                <w:tcPr>
                  <w:tcW w:type="dxa" w:w="155"/>
                  <w:vMerge/>
                  <w:tcBorders>
                    <w:top w:val="none" w:color="000000" w:sz="4"/>
                    <w:left w:val="single" w:color="000000" w:sz="4"/>
                    <w:bottom w:val="single" w:color="000000" w:sz="4"/>
                    <w:right w:val="single" w:color="000000" w:sz="4"/>
                  </w:tcBorders>
                </w:tcPr>
                <w:p/>
              </w:tc>
              <w:tc>
                <w:tcPr>
                  <w:tcW w:type="dxa" w:w="155"/>
                  <w:vMerge/>
                  <w:tcBorders>
                    <w:top w:val="none" w:color="000000" w:sz="4"/>
                    <w:left w:val="none" w:color="000000" w:sz="4"/>
                    <w:bottom w:val="none" w:color="000000" w:sz="4"/>
                    <w:right w:val="single" w:color="000000" w:sz="4"/>
                  </w:tcBorders>
                </w:tcPr>
                <w:p/>
              </w:tc>
              <w:tc>
                <w:tcPr>
                  <w:tcW w:type="dxa" w:w="2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性能要求：</w:t>
                  </w:r>
                  <w:r>
                    <w:rPr>
                      <w:rFonts w:ascii="仿宋_GB2312" w:hAnsi="仿宋_GB2312" w:cs="仿宋_GB2312" w:eastAsia="仿宋_GB2312"/>
                      <w:sz w:val="18"/>
                      <w:color w:val="000000"/>
                    </w:rPr>
                    <w:t>配置</w:t>
                  </w:r>
                  <w:r>
                    <w:rPr>
                      <w:rFonts w:ascii="仿宋_GB2312" w:hAnsi="仿宋_GB2312" w:cs="仿宋_GB2312" w:eastAsia="仿宋_GB2312"/>
                      <w:sz w:val="18"/>
                      <w:color w:val="000000"/>
                    </w:rPr>
                    <w:t>≥10T可用备份容量授权。</w:t>
                  </w:r>
                </w:p>
              </w:tc>
            </w:tr>
            <w:tr>
              <w:tc>
                <w:tcPr>
                  <w:tcW w:type="dxa" w:w="155"/>
                  <w:vMerge/>
                  <w:tcBorders>
                    <w:top w:val="none" w:color="000000" w:sz="4"/>
                    <w:left w:val="single" w:color="000000" w:sz="4"/>
                    <w:bottom w:val="single" w:color="000000" w:sz="4"/>
                    <w:right w:val="single" w:color="000000" w:sz="4"/>
                  </w:tcBorders>
                </w:tcPr>
                <w:p/>
              </w:tc>
              <w:tc>
                <w:tcPr>
                  <w:tcW w:type="dxa" w:w="155"/>
                  <w:vMerge/>
                  <w:tcBorders>
                    <w:top w:val="none" w:color="000000" w:sz="4"/>
                    <w:left w:val="none" w:color="000000" w:sz="4"/>
                    <w:bottom w:val="none" w:color="000000" w:sz="4"/>
                    <w:right w:val="single" w:color="000000" w:sz="4"/>
                  </w:tcBorders>
                </w:tcPr>
                <w:p/>
              </w:tc>
              <w:tc>
                <w:tcPr>
                  <w:tcW w:type="dxa" w:w="2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功能要求：</w:t>
                  </w:r>
                  <w:r>
                    <w:br/>
                  </w:r>
                  <w:r>
                    <w:rPr>
                      <w:rFonts w:ascii="仿宋_GB2312" w:hAnsi="仿宋_GB2312" w:cs="仿宋_GB2312" w:eastAsia="仿宋_GB2312"/>
                      <w:sz w:val="18"/>
                      <w:color w:val="000000"/>
                    </w:rPr>
                    <w:t>1.支持B/S架构管理方式，支持主备HA高可用、集群架构；</w:t>
                  </w:r>
                  <w:r>
                    <w:br/>
                  </w:r>
                  <w:r>
                    <w:rPr>
                      <w:rFonts w:ascii="仿宋_GB2312" w:hAnsi="仿宋_GB2312" w:cs="仿宋_GB2312" w:eastAsia="仿宋_GB2312"/>
                      <w:sz w:val="18"/>
                      <w:color w:val="000000"/>
                    </w:rPr>
                    <w:t>2.支持主控节点和介质节点分离部署，支持第三方存储扩容；</w:t>
                  </w:r>
                  <w:r>
                    <w:br/>
                  </w:r>
                  <w:r>
                    <w:rPr>
                      <w:rFonts w:ascii="仿宋_GB2312" w:hAnsi="仿宋_GB2312" w:cs="仿宋_GB2312" w:eastAsia="仿宋_GB2312"/>
                      <w:sz w:val="18"/>
                      <w:color w:val="000000"/>
                    </w:rPr>
                    <w:t>3.支持IPv4和IPv6双协议栈；配置Lan-Free功能；</w:t>
                  </w:r>
                  <w:r>
                    <w:br/>
                  </w:r>
                  <w:r>
                    <w:rPr>
                      <w:rFonts w:ascii="仿宋_GB2312" w:hAnsi="仿宋_GB2312" w:cs="仿宋_GB2312" w:eastAsia="仿宋_GB2312"/>
                      <w:sz w:val="18"/>
                      <w:color w:val="000000"/>
                    </w:rPr>
                    <w:t>4.支持Windows、Linux、麒麟、统信UOS等国内外主流操作系统的在线热备份保护；</w:t>
                  </w:r>
                  <w:r>
                    <w:br/>
                  </w:r>
                  <w:r>
                    <w:rPr>
                      <w:rFonts w:ascii="仿宋_GB2312" w:hAnsi="仿宋_GB2312" w:cs="仿宋_GB2312" w:eastAsia="仿宋_GB2312"/>
                      <w:sz w:val="18"/>
                      <w:color w:val="000000"/>
                    </w:rPr>
                    <w:t>5.支持Oracle、SQL Server、MySQL、DB2、Sybase、达梦、中电金仓、南大通用等国内外主流数据库的在线备份保护；</w:t>
                  </w:r>
                  <w:r>
                    <w:br/>
                  </w:r>
                  <w:r>
                    <w:rPr>
                      <w:rFonts w:ascii="仿宋_GB2312" w:hAnsi="仿宋_GB2312" w:cs="仿宋_GB2312" w:eastAsia="仿宋_GB2312"/>
                      <w:sz w:val="18"/>
                      <w:color w:val="000000"/>
                    </w:rPr>
                    <w:t>6.支持VMware、华为、华三、CNware、EasyStack、深信服等虚拟化平台无代理备份保护。</w:t>
                  </w:r>
                  <w:r>
                    <w:br/>
                  </w:r>
                  <w:r>
                    <w:rPr>
                      <w:rFonts w:ascii="仿宋_GB2312" w:hAnsi="仿宋_GB2312" w:cs="仿宋_GB2312" w:eastAsia="仿宋_GB2312"/>
                      <w:sz w:val="18"/>
                      <w:color w:val="000000"/>
                    </w:rPr>
                    <w:t>7.▲支持数据重删、数据加密、数据压缩等功能；支持数据自动校验；</w:t>
                  </w:r>
                  <w:r>
                    <w:br/>
                  </w:r>
                  <w:r>
                    <w:rPr>
                      <w:rFonts w:ascii="仿宋_GB2312" w:hAnsi="仿宋_GB2312" w:cs="仿宋_GB2312" w:eastAsia="仿宋_GB2312"/>
                      <w:sz w:val="18"/>
                      <w:color w:val="000000"/>
                    </w:rPr>
                    <w:t>8.支持文件备份集的定期恢复演练，并输出数据检验报告；</w:t>
                  </w:r>
                  <w:r>
                    <w:br/>
                  </w:r>
                  <w:r>
                    <w:rPr>
                      <w:rFonts w:ascii="仿宋_GB2312" w:hAnsi="仿宋_GB2312" w:cs="仿宋_GB2312" w:eastAsia="仿宋_GB2312"/>
                      <w:sz w:val="18"/>
                      <w:color w:val="000000"/>
                    </w:rPr>
                    <w:t>9.支持防勒索存储保护功能，避免病毒篡改、删除存储数据；</w:t>
                  </w:r>
                  <w:r>
                    <w:br/>
                  </w:r>
                  <w:r>
                    <w:rPr>
                      <w:rFonts w:ascii="仿宋_GB2312" w:hAnsi="仿宋_GB2312" w:cs="仿宋_GB2312" w:eastAsia="仿宋_GB2312"/>
                      <w:sz w:val="18"/>
                      <w:color w:val="000000"/>
                    </w:rPr>
                    <w:t>10.支持报表管理功能，可自定义选择报表统计内容。</w:t>
                  </w:r>
                  <w:r>
                    <w:br/>
                  </w:r>
                  <w:r>
                    <w:rPr>
                      <w:rFonts w:ascii="仿宋_GB2312" w:hAnsi="仿宋_GB2312" w:cs="仿宋_GB2312" w:eastAsia="仿宋_GB2312"/>
                      <w:sz w:val="18"/>
                      <w:color w:val="000000"/>
                    </w:rPr>
                    <w:t>11.提供图形化配置防火墙，支持基于MAC地址、端口、IP等进行配置。</w:t>
                  </w:r>
                  <w:r>
                    <w:br/>
                  </w:r>
                  <w:r>
                    <w:rPr>
                      <w:rFonts w:ascii="仿宋_GB2312" w:hAnsi="仿宋_GB2312" w:cs="仿宋_GB2312" w:eastAsia="仿宋_GB2312"/>
                      <w:sz w:val="18"/>
                      <w:color w:val="000000"/>
                    </w:rPr>
                    <w:t>12.▲通过S3协议联动现有离线备份系统，实现数据本地备份和离线存储。</w:t>
                  </w:r>
                </w:p>
              </w:tc>
            </w:tr>
            <w:tr>
              <w:tc>
                <w:tcPr>
                  <w:tcW w:type="dxa" w:w="155"/>
                  <w:vMerge/>
                  <w:tcBorders>
                    <w:top w:val="none" w:color="000000" w:sz="4"/>
                    <w:left w:val="single" w:color="000000" w:sz="4"/>
                    <w:bottom w:val="single" w:color="000000" w:sz="4"/>
                    <w:right w:val="single" w:color="000000" w:sz="4"/>
                  </w:tcBorders>
                </w:tcPr>
                <w:p/>
              </w:tc>
              <w:tc>
                <w:tcPr>
                  <w:tcW w:type="dxa" w:w="155"/>
                  <w:vMerge/>
                  <w:tcBorders>
                    <w:top w:val="none" w:color="000000" w:sz="4"/>
                    <w:left w:val="none" w:color="000000" w:sz="4"/>
                    <w:bottom w:val="none" w:color="000000" w:sz="4"/>
                    <w:right w:val="single" w:color="000000" w:sz="4"/>
                  </w:tcBorders>
                </w:tcPr>
                <w:p/>
              </w:tc>
              <w:tc>
                <w:tcPr>
                  <w:tcW w:type="dxa" w:w="2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产品证书：</w:t>
                  </w:r>
                  <w:r>
                    <w:rPr>
                      <w:rFonts w:ascii="仿宋_GB2312" w:hAnsi="仿宋_GB2312" w:cs="仿宋_GB2312" w:eastAsia="仿宋_GB2312"/>
                      <w:sz w:val="18"/>
                      <w:color w:val="000000"/>
                    </w:rPr>
                    <w:t>提供《计算机软件著作权登记证书》、《信息系统灾难备份与恢复（</w:t>
                  </w:r>
                  <w:r>
                    <w:rPr>
                      <w:rFonts w:ascii="仿宋_GB2312" w:hAnsi="仿宋_GB2312" w:cs="仿宋_GB2312" w:eastAsia="仿宋_GB2312"/>
                      <w:sz w:val="18"/>
                      <w:color w:val="000000"/>
                    </w:rPr>
                    <w:t>B）二级》；所提供产品在《网络关键设备和网络安全专用产品目录》内</w:t>
                  </w:r>
                </w:p>
              </w:tc>
            </w:tr>
            <w:tr>
              <w:tc>
                <w:tcPr>
                  <w:tcW w:type="dxa" w:w="155"/>
                  <w:vMerge/>
                  <w:tcBorders>
                    <w:top w:val="none" w:color="000000" w:sz="4"/>
                    <w:left w:val="single" w:color="000000" w:sz="4"/>
                    <w:bottom w:val="single" w:color="000000" w:sz="4"/>
                    <w:right w:val="single" w:color="000000" w:sz="4"/>
                  </w:tcBorders>
                </w:tcPr>
                <w:p/>
              </w:tc>
              <w:tc>
                <w:tcPr>
                  <w:tcW w:type="dxa" w:w="155"/>
                  <w:vMerge/>
                  <w:tcBorders>
                    <w:top w:val="none" w:color="000000" w:sz="4"/>
                    <w:left w:val="none" w:color="000000" w:sz="4"/>
                    <w:bottom w:val="none" w:color="000000" w:sz="4"/>
                    <w:right w:val="single" w:color="000000" w:sz="4"/>
                  </w:tcBorders>
                </w:tcPr>
                <w:p/>
              </w:tc>
              <w:tc>
                <w:tcPr>
                  <w:tcW w:type="dxa" w:w="2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服务保障</w:t>
                  </w:r>
                  <w:r>
                    <w:rPr>
                      <w:rFonts w:ascii="仿宋_GB2312" w:hAnsi="仿宋_GB2312" w:cs="仿宋_GB2312" w:eastAsia="仿宋_GB2312"/>
                      <w:sz w:val="18"/>
                      <w:color w:val="000000"/>
                    </w:rPr>
                    <w:t>：在质保期内无条件提供提供</w:t>
                  </w:r>
                  <w:r>
                    <w:rPr>
                      <w:rFonts w:ascii="仿宋_GB2312" w:hAnsi="仿宋_GB2312" w:cs="仿宋_GB2312" w:eastAsia="仿宋_GB2312"/>
                      <w:sz w:val="18"/>
                      <w:color w:val="000000"/>
                    </w:rPr>
                    <w:t>≥3年原厂服务，包括软件、硬件质保、现场技术支持。</w:t>
                  </w:r>
                </w:p>
              </w:tc>
            </w:tr>
          </w:tbl>
          <w:p/>
        </w:tc>
      </w:tr>
    </w:tbl>
    <w:p>
      <w:pPr>
        <w:pStyle w:val="null3"/>
      </w:pPr>
      <w:r>
        <w:rPr>
          <w:rFonts w:ascii="仿宋_GB2312" w:hAnsi="仿宋_GB2312" w:cs="仿宋_GB2312" w:eastAsia="仿宋_GB2312"/>
        </w:rPr>
        <w:t>标的名称：网络安全日志审计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（四）网络安全日志审计</w:t>
            </w:r>
            <w:r>
              <w:rPr>
                <w:rFonts w:ascii="仿宋_GB2312" w:hAnsi="仿宋_GB2312" w:cs="仿宋_GB2312" w:eastAsia="仿宋_GB2312"/>
                <w:sz w:val="18"/>
                <w:color w:val="000000"/>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155"/>
              <w:gridCol w:w="155"/>
              <w:gridCol w:w="2243"/>
            </w:tblGrid>
            <w:tr>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参数要求</w:t>
                  </w:r>
                </w:p>
              </w:tc>
            </w:tr>
            <w:tr>
              <w:tc>
                <w:tcPr>
                  <w:tcW w:type="dxa" w:w="1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网络安全日志审计</w:t>
                  </w:r>
                </w:p>
              </w:tc>
              <w:tc>
                <w:tcPr>
                  <w:tcW w:type="dxa" w:w="15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1台</w:t>
                  </w:r>
                </w:p>
              </w:tc>
              <w:tc>
                <w:tcPr>
                  <w:tcW w:type="dxa" w:w="2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硬件配置：</w:t>
                  </w:r>
                  <w:r>
                    <w:rPr>
                      <w:rFonts w:ascii="仿宋_GB2312" w:hAnsi="仿宋_GB2312" w:cs="仿宋_GB2312" w:eastAsia="仿宋_GB2312"/>
                      <w:sz w:val="18"/>
                      <w:color w:val="000000"/>
                    </w:rPr>
                    <w:t>标准机架式设备；内存</w:t>
                  </w:r>
                  <w:r>
                    <w:rPr>
                      <w:rFonts w:ascii="仿宋_GB2312" w:hAnsi="仿宋_GB2312" w:cs="仿宋_GB2312" w:eastAsia="仿宋_GB2312"/>
                      <w:sz w:val="18"/>
                      <w:color w:val="000000"/>
                    </w:rPr>
                    <w:t>≥16G，有效存储容量≥2TB，配置≥6千兆电口，配置≥2千兆光口，满配光模块，配置≥1个扩展板卡插槽，配置≥1个专用管理口，配置≥2个USB接口。</w:t>
                  </w:r>
                </w:p>
              </w:tc>
            </w:tr>
            <w:tr>
              <w:tc>
                <w:tcPr>
                  <w:tcW w:type="dxa" w:w="155"/>
                  <w:vMerge/>
                  <w:tcBorders>
                    <w:top w:val="none" w:color="000000" w:sz="4"/>
                    <w:left w:val="single" w:color="000000" w:sz="4"/>
                    <w:bottom w:val="single" w:color="000000" w:sz="4"/>
                    <w:right w:val="single" w:color="000000" w:sz="4"/>
                  </w:tcBorders>
                </w:tcPr>
                <w:p/>
              </w:tc>
              <w:tc>
                <w:tcPr>
                  <w:tcW w:type="dxa" w:w="155"/>
                  <w:vMerge/>
                  <w:tcBorders>
                    <w:top w:val="none" w:color="000000" w:sz="4"/>
                    <w:left w:val="none" w:color="000000" w:sz="4"/>
                    <w:bottom w:val="none" w:color="000000" w:sz="4"/>
                    <w:right w:val="single" w:color="000000" w:sz="4"/>
                  </w:tcBorders>
                </w:tcPr>
                <w:p/>
              </w:tc>
              <w:tc>
                <w:tcPr>
                  <w:tcW w:type="dxa" w:w="2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性能要求：</w:t>
                  </w:r>
                  <w:r>
                    <w:rPr>
                      <w:rFonts w:ascii="仿宋_GB2312" w:hAnsi="仿宋_GB2312" w:cs="仿宋_GB2312" w:eastAsia="仿宋_GB2312"/>
                      <w:sz w:val="18"/>
                      <w:color w:val="000000"/>
                    </w:rPr>
                    <w:t>日志处理速度</w:t>
                  </w:r>
                  <w:r>
                    <w:rPr>
                      <w:rFonts w:ascii="仿宋_GB2312" w:hAnsi="仿宋_GB2312" w:cs="仿宋_GB2312" w:eastAsia="仿宋_GB2312"/>
                      <w:sz w:val="18"/>
                      <w:color w:val="000000"/>
                    </w:rPr>
                    <w:t>≥2500EPS，专用硬件平台（非服务器），配置≥100个日志源授权;</w:t>
                  </w:r>
                </w:p>
              </w:tc>
            </w:tr>
            <w:tr>
              <w:tc>
                <w:tcPr>
                  <w:tcW w:type="dxa" w:w="155"/>
                  <w:vMerge/>
                  <w:tcBorders>
                    <w:top w:val="none" w:color="000000" w:sz="4"/>
                    <w:left w:val="single" w:color="000000" w:sz="4"/>
                    <w:bottom w:val="single" w:color="000000" w:sz="4"/>
                    <w:right w:val="single" w:color="000000" w:sz="4"/>
                  </w:tcBorders>
                </w:tcPr>
                <w:p/>
              </w:tc>
              <w:tc>
                <w:tcPr>
                  <w:tcW w:type="dxa" w:w="155"/>
                  <w:vMerge/>
                  <w:tcBorders>
                    <w:top w:val="none" w:color="000000" w:sz="4"/>
                    <w:left w:val="none" w:color="000000" w:sz="4"/>
                    <w:bottom w:val="none" w:color="000000" w:sz="4"/>
                    <w:right w:val="single" w:color="000000" w:sz="4"/>
                  </w:tcBorders>
                </w:tcPr>
                <w:p/>
              </w:tc>
              <w:tc>
                <w:tcPr>
                  <w:tcW w:type="dxa" w:w="2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功能要求：</w:t>
                  </w:r>
                  <w:r>
                    <w:br/>
                  </w:r>
                  <w:r>
                    <w:rPr>
                      <w:rFonts w:ascii="仿宋_GB2312" w:hAnsi="仿宋_GB2312" w:cs="仿宋_GB2312" w:eastAsia="仿宋_GB2312"/>
                      <w:sz w:val="18"/>
                      <w:color w:val="000000"/>
                    </w:rPr>
                    <w:t>1.日志采集方式支持但不限于SNMP Trap、Syslog、ODBC\JDBC、文件\文件夹、WMI、FTP、SFTP、NetBIOS、OPSEC等；</w:t>
                  </w:r>
                  <w:r>
                    <w:br/>
                  </w:r>
                  <w:r>
                    <w:rPr>
                      <w:rFonts w:ascii="仿宋_GB2312" w:hAnsi="仿宋_GB2312" w:cs="仿宋_GB2312" w:eastAsia="仿宋_GB2312"/>
                      <w:sz w:val="18"/>
                      <w:color w:val="000000"/>
                    </w:rPr>
                    <w:t>2.支持对主流数据库进行日志数据采集，包括不限于达梦、人大金仓、南大通用、神州通用等；支持动态表名模式进行数据库采集；</w:t>
                  </w:r>
                  <w:r>
                    <w:br/>
                  </w:r>
                  <w:r>
                    <w:rPr>
                      <w:rFonts w:ascii="仿宋_GB2312" w:hAnsi="仿宋_GB2312" w:cs="仿宋_GB2312" w:eastAsia="仿宋_GB2312"/>
                      <w:sz w:val="18"/>
                      <w:color w:val="000000"/>
                    </w:rPr>
                    <w:t>3.日志系统分析支持内置不同审计分析规则，支持对选中的日志提供在线/离线地图定位、视网膜图、事件拓扑图等多种分析工具；</w:t>
                  </w:r>
                  <w:r>
                    <w:br/>
                  </w:r>
                  <w:r>
                    <w:rPr>
                      <w:rFonts w:ascii="仿宋_GB2312" w:hAnsi="仿宋_GB2312" w:cs="仿宋_GB2312" w:eastAsia="仿宋_GB2312"/>
                      <w:sz w:val="18"/>
                      <w:color w:val="000000"/>
                    </w:rPr>
                    <w:t>4.▲日志存储支持日志加密压缩传输，加密方式支持SM4等国密算法，支持定时转发，支持FTP、SFTP、SMB等在线远程备份.</w:t>
                  </w:r>
                  <w:r>
                    <w:br/>
                  </w:r>
                  <w:r>
                    <w:rPr>
                      <w:rFonts w:ascii="仿宋_GB2312" w:hAnsi="仿宋_GB2312" w:cs="仿宋_GB2312" w:eastAsia="仿宋_GB2312"/>
                      <w:sz w:val="18"/>
                      <w:color w:val="000000"/>
                    </w:rPr>
                    <w:t>5.支持对单个/多个日志源批量转发，支持定时转发，可通过syslog和kafka等方式转发到第三方平台，并且支持转发原始日志和已解析日志的两种日志或通过添加外置存储(本项目容灾备份一体机)实现扩容日志审计设备存储空间；</w:t>
                  </w:r>
                  <w:r>
                    <w:br/>
                  </w:r>
                  <w:r>
                    <w:rPr>
                      <w:rFonts w:ascii="仿宋_GB2312" w:hAnsi="仿宋_GB2312" w:cs="仿宋_GB2312" w:eastAsia="仿宋_GB2312"/>
                      <w:sz w:val="18"/>
                      <w:color w:val="000000"/>
                    </w:rPr>
                    <w:t>6.支持内置网络安全法报表、合规报表、默认报表、告警报表等报表模版，支持报表模版自定义；</w:t>
                  </w:r>
                  <w:r>
                    <w:br/>
                  </w:r>
                  <w:r>
                    <w:rPr>
                      <w:rFonts w:ascii="仿宋_GB2312" w:hAnsi="仿宋_GB2312" w:cs="仿宋_GB2312" w:eastAsia="仿宋_GB2312"/>
                      <w:sz w:val="18"/>
                      <w:color w:val="000000"/>
                    </w:rPr>
                    <w:t>7.资产管理支持手动编辑、导入方式录入资产数据，支持资产标签设置，能够根据收到事件的设备地址自动识别新的资产并自动添加到资产库中；</w:t>
                  </w:r>
                  <w:r>
                    <w:br/>
                  </w:r>
                  <w:r>
                    <w:rPr>
                      <w:rFonts w:ascii="仿宋_GB2312" w:hAnsi="仿宋_GB2312" w:cs="仿宋_GB2312" w:eastAsia="仿宋_GB2312"/>
                      <w:sz w:val="18"/>
                      <w:color w:val="000000"/>
                    </w:rPr>
                    <w:t>8.支持大屏视图展示，支持事件类型TOP10分布统计、事件采集趋势走向图展示，支持资源监控展示，包括不限于日志存储占用空间、已存储天数、剩余存储天数展示等;</w:t>
                  </w:r>
                </w:p>
              </w:tc>
            </w:tr>
            <w:tr>
              <w:tc>
                <w:tcPr>
                  <w:tcW w:type="dxa" w:w="155"/>
                  <w:vMerge/>
                  <w:tcBorders>
                    <w:top w:val="none" w:color="000000" w:sz="4"/>
                    <w:left w:val="single" w:color="000000" w:sz="4"/>
                    <w:bottom w:val="single" w:color="000000" w:sz="4"/>
                    <w:right w:val="single" w:color="000000" w:sz="4"/>
                  </w:tcBorders>
                </w:tcP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产品证书：</w:t>
                  </w:r>
                  <w:r>
                    <w:rPr>
                      <w:rFonts w:ascii="仿宋_GB2312" w:hAnsi="仿宋_GB2312" w:cs="仿宋_GB2312" w:eastAsia="仿宋_GB2312"/>
                      <w:sz w:val="18"/>
                      <w:color w:val="000000"/>
                    </w:rPr>
                    <w:t>提供《计算机软件著作权登记证书》；所提供产品在《网络关键设备和网络安全专用产品目录》内</w:t>
                  </w:r>
                </w:p>
              </w:tc>
            </w:tr>
            <w:tr>
              <w:tc>
                <w:tcPr>
                  <w:tcW w:type="dxa" w:w="155"/>
                  <w:vMerge/>
                  <w:tcBorders>
                    <w:top w:val="none" w:color="000000" w:sz="4"/>
                    <w:left w:val="single" w:color="000000" w:sz="4"/>
                    <w:bottom w:val="single" w:color="000000" w:sz="4"/>
                    <w:right w:val="single" w:color="000000" w:sz="4"/>
                  </w:tcBorders>
                </w:tcP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服务保障</w:t>
                  </w:r>
                  <w:r>
                    <w:rPr>
                      <w:rFonts w:ascii="仿宋_GB2312" w:hAnsi="仿宋_GB2312" w:cs="仿宋_GB2312" w:eastAsia="仿宋_GB2312"/>
                      <w:sz w:val="18"/>
                      <w:color w:val="000000"/>
                    </w:rPr>
                    <w:t>：在质保期内无条件提供提供</w:t>
                  </w:r>
                  <w:r>
                    <w:rPr>
                      <w:rFonts w:ascii="仿宋_GB2312" w:hAnsi="仿宋_GB2312" w:cs="仿宋_GB2312" w:eastAsia="仿宋_GB2312"/>
                      <w:sz w:val="18"/>
                      <w:color w:val="000000"/>
                    </w:rPr>
                    <w:t>≥3年原厂服务，包括软件、硬件质保、现场技术支持。</w:t>
                  </w:r>
                </w:p>
              </w:tc>
            </w:tr>
          </w:tbl>
          <w:p/>
        </w:tc>
      </w:tr>
    </w:tbl>
    <w:p>
      <w:pPr>
        <w:pStyle w:val="null3"/>
      </w:pPr>
      <w:r>
        <w:rPr>
          <w:rFonts w:ascii="仿宋_GB2312" w:hAnsi="仿宋_GB2312" w:cs="仿宋_GB2312" w:eastAsia="仿宋_GB2312"/>
        </w:rPr>
        <w:t>标的名称：远程安全接入VPN</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（五）远程安全接入</w:t>
            </w:r>
            <w:r>
              <w:rPr>
                <w:rFonts w:ascii="仿宋_GB2312" w:hAnsi="仿宋_GB2312" w:cs="仿宋_GB2312" w:eastAsia="仿宋_GB2312"/>
                <w:sz w:val="18"/>
                <w:color w:val="000000"/>
              </w:rPr>
              <w:t xml:space="preserve">VPN  </w:t>
            </w:r>
          </w:p>
          <w:tbl>
            <w:tblPr>
              <w:tblInd w:type="dxa" w:w="120"/>
              <w:tblBorders>
                <w:top w:val="none" w:color="000000" w:sz="4"/>
                <w:left w:val="none" w:color="000000" w:sz="4"/>
                <w:bottom w:val="none" w:color="000000" w:sz="4"/>
                <w:right w:val="none" w:color="000000" w:sz="4"/>
                <w:insideH w:val="none"/>
                <w:insideV w:val="none"/>
              </w:tblBorders>
            </w:tblPr>
            <w:tblGrid>
              <w:gridCol w:w="155"/>
              <w:gridCol w:w="155"/>
              <w:gridCol w:w="2242"/>
            </w:tblGrid>
            <w:tr>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参数要求</w:t>
                  </w:r>
                </w:p>
              </w:tc>
            </w:tr>
            <w:tr>
              <w:tc>
                <w:tcPr>
                  <w:tcW w:type="dxa" w:w="1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数据安全容灾备份</w:t>
                  </w:r>
                </w:p>
              </w:tc>
              <w:tc>
                <w:tcPr>
                  <w:tcW w:type="dxa" w:w="15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硬件配置：</w:t>
                  </w:r>
                  <w:r>
                    <w:rPr>
                      <w:rFonts w:ascii="仿宋_GB2312" w:hAnsi="仿宋_GB2312" w:cs="仿宋_GB2312" w:eastAsia="仿宋_GB2312"/>
                      <w:sz w:val="18"/>
                      <w:color w:val="000000"/>
                    </w:rPr>
                    <w:t>国产化</w:t>
                  </w:r>
                  <w:r>
                    <w:rPr>
                      <w:rFonts w:ascii="仿宋_GB2312" w:hAnsi="仿宋_GB2312" w:cs="仿宋_GB2312" w:eastAsia="仿宋_GB2312"/>
                      <w:sz w:val="18"/>
                      <w:color w:val="000000"/>
                    </w:rPr>
                    <w:t>CPU，内存≥16GB，硬盘容量≥128G SSD，双电源，配置≥6千兆电口，配置≥4千兆光口SFP，满配光模块。</w:t>
                  </w:r>
                </w:p>
              </w:tc>
            </w:tr>
            <w:tr>
              <w:tc>
                <w:tcPr>
                  <w:tcW w:type="dxa" w:w="155"/>
                  <w:vMerge/>
                  <w:tcBorders>
                    <w:top w:val="none" w:color="000000" w:sz="4"/>
                    <w:left w:val="single" w:color="000000" w:sz="4"/>
                    <w:bottom w:val="single" w:color="000000" w:sz="4"/>
                    <w:right w:val="single" w:color="000000" w:sz="4"/>
                  </w:tcBorders>
                </w:tcPr>
                <w:p/>
              </w:tc>
              <w:tc>
                <w:tcPr>
                  <w:tcW w:type="dxa" w:w="155"/>
                  <w:vMerge/>
                  <w:tcBorders>
                    <w:top w:val="none" w:color="000000" w:sz="4"/>
                    <w:left w:val="none" w:color="000000" w:sz="4"/>
                    <w:bottom w:val="none" w:color="000000" w:sz="4"/>
                    <w:right w:val="single" w:color="000000" w:sz="4"/>
                  </w:tcBorders>
                </w:tcP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性能要求：</w:t>
                  </w:r>
                  <w:r>
                    <w:rPr>
                      <w:rFonts w:ascii="仿宋_GB2312" w:hAnsi="仿宋_GB2312" w:cs="仿宋_GB2312" w:eastAsia="仿宋_GB2312"/>
                      <w:sz w:val="18"/>
                      <w:color w:val="000000"/>
                    </w:rPr>
                    <w:t>加密最大流量</w:t>
                  </w:r>
                  <w:r>
                    <w:rPr>
                      <w:rFonts w:ascii="仿宋_GB2312" w:hAnsi="仿宋_GB2312" w:cs="仿宋_GB2312" w:eastAsia="仿宋_GB2312"/>
                      <w:sz w:val="18"/>
                      <w:color w:val="000000"/>
                    </w:rPr>
                    <w:t>≥100Mbps，理论并发隧道数≥1000；SSL最大理论加密流量≥300Mbps，接入授权数量≥150</w:t>
                  </w:r>
                </w:p>
              </w:tc>
            </w:tr>
            <w:tr>
              <w:tc>
                <w:tcPr>
                  <w:tcW w:type="dxa" w:w="155"/>
                  <w:vMerge/>
                  <w:tcBorders>
                    <w:top w:val="none" w:color="000000" w:sz="4"/>
                    <w:left w:val="single" w:color="000000" w:sz="4"/>
                    <w:bottom w:val="single" w:color="000000" w:sz="4"/>
                    <w:right w:val="single" w:color="000000" w:sz="4"/>
                  </w:tcBorders>
                </w:tcPr>
                <w:p/>
              </w:tc>
              <w:tc>
                <w:tcPr>
                  <w:tcW w:type="dxa" w:w="155"/>
                  <w:vMerge/>
                  <w:tcBorders>
                    <w:top w:val="none" w:color="000000" w:sz="4"/>
                    <w:left w:val="none" w:color="000000" w:sz="4"/>
                    <w:bottom w:val="none" w:color="000000" w:sz="4"/>
                    <w:right w:val="single" w:color="000000" w:sz="4"/>
                  </w:tcBorders>
                </w:tcP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功能要求：</w:t>
                  </w:r>
                  <w:r>
                    <w:br/>
                  </w:r>
                  <w:r>
                    <w:rPr>
                      <w:rFonts w:ascii="仿宋_GB2312" w:hAnsi="仿宋_GB2312" w:cs="仿宋_GB2312" w:eastAsia="仿宋_GB2312"/>
                      <w:sz w:val="18"/>
                      <w:color w:val="000000"/>
                    </w:rPr>
                    <w:t>1.配置国产服务器系统；</w:t>
                  </w:r>
                  <w:r>
                    <w:br/>
                  </w:r>
                  <w:r>
                    <w:rPr>
                      <w:rFonts w:ascii="仿宋_GB2312" w:hAnsi="仿宋_GB2312" w:cs="仿宋_GB2312" w:eastAsia="仿宋_GB2312"/>
                      <w:sz w:val="18"/>
                      <w:color w:val="000000"/>
                    </w:rPr>
                    <w:t>2.配置内置符合中国商用密码标准的加密卡，支持国家密码管理局颁布的SM1、SM2、SM3、SM4密码算法及其协议；</w:t>
                  </w:r>
                  <w:r>
                    <w:br/>
                  </w:r>
                  <w:r>
                    <w:rPr>
                      <w:rFonts w:ascii="仿宋_GB2312" w:hAnsi="仿宋_GB2312" w:cs="仿宋_GB2312" w:eastAsia="仿宋_GB2312"/>
                      <w:sz w:val="18"/>
                      <w:color w:val="000000"/>
                    </w:rPr>
                    <w:t>2.▲支持多种身份认证方式、细粒度访问权限控制等主要功能；</w:t>
                  </w:r>
                  <w:r>
                    <w:br/>
                  </w:r>
                  <w:r>
                    <w:rPr>
                      <w:rFonts w:ascii="仿宋_GB2312" w:hAnsi="仿宋_GB2312" w:cs="仿宋_GB2312" w:eastAsia="仿宋_GB2312"/>
                      <w:sz w:val="18"/>
                      <w:color w:val="000000"/>
                    </w:rPr>
                    <w:t>3.支持主备HA高可用、集群架构；支持分布式集群和本地集群等，支持集群授权漂移机制。</w:t>
                  </w:r>
                  <w:r>
                    <w:br/>
                  </w:r>
                  <w:r>
                    <w:rPr>
                      <w:rFonts w:ascii="仿宋_GB2312" w:hAnsi="仿宋_GB2312" w:cs="仿宋_GB2312" w:eastAsia="仿宋_GB2312"/>
                      <w:sz w:val="18"/>
                      <w:color w:val="000000"/>
                    </w:rPr>
                    <w:t>4.支持通过网络隐身、动态业务准入等实现可信访问；</w:t>
                  </w:r>
                  <w:r>
                    <w:br/>
                  </w:r>
                  <w:r>
                    <w:rPr>
                      <w:rFonts w:ascii="仿宋_GB2312" w:hAnsi="仿宋_GB2312" w:cs="仿宋_GB2312" w:eastAsia="仿宋_GB2312"/>
                      <w:sz w:val="18"/>
                      <w:color w:val="000000"/>
                    </w:rPr>
                    <w:t>5.支持用户自助查看在线或离线终端列表，并注销其他终端；支持查看同账号登录过的终端信息，包括但不限于设备名称、设备系统类型、接入地址、最后登录时间等；</w:t>
                  </w:r>
                  <w:r>
                    <w:br/>
                  </w:r>
                  <w:r>
                    <w:rPr>
                      <w:rFonts w:ascii="仿宋_GB2312" w:hAnsi="仿宋_GB2312" w:cs="仿宋_GB2312" w:eastAsia="仿宋_GB2312"/>
                      <w:sz w:val="18"/>
                      <w:color w:val="000000"/>
                    </w:rPr>
                    <w:t>6.支持为接入系统的终端设置标签或者管理员自定义新增标签，支持通过终端标签来配置特殊的上线准入策略及应用访问策略；支持用户在PC端和手机端的登录页面均可通过点击忘记密码来重置密码；</w:t>
                  </w:r>
                  <w:r>
                    <w:br/>
                  </w:r>
                  <w:r>
                    <w:rPr>
                      <w:rFonts w:ascii="仿宋_GB2312" w:hAnsi="仿宋_GB2312" w:cs="仿宋_GB2312" w:eastAsia="仿宋_GB2312"/>
                      <w:sz w:val="18"/>
                      <w:color w:val="000000"/>
                    </w:rPr>
                    <w:t>7.▲支持配置在触发异常环境的条件时，需完成增强认证才可登录。可配置的异常环境包括但不限于：账号首次登录、账号在该终端首次登录、账号在该地点首次登录、账号在新地点登录、账号在非常用地点登录、闲置账号登录、弱密码登录、异常时间登录等；</w:t>
                  </w:r>
                  <w:r>
                    <w:br/>
                  </w:r>
                  <w:r>
                    <w:rPr>
                      <w:rFonts w:ascii="仿宋_GB2312" w:hAnsi="仿宋_GB2312" w:cs="仿宋_GB2312" w:eastAsia="仿宋_GB2312"/>
                      <w:sz w:val="18"/>
                      <w:color w:val="000000"/>
                    </w:rPr>
                    <w:t>8.▲支持通过威胁诱捕实现主动防御功能，管理员可创建多种不同协议特征的蜜罐用于欺骗攻击者，且不响应攻击者交互命令。</w:t>
                  </w:r>
                  <w:r>
                    <w:br/>
                  </w:r>
                  <w:r>
                    <w:rPr>
                      <w:rFonts w:ascii="仿宋_GB2312" w:hAnsi="仿宋_GB2312" w:cs="仿宋_GB2312" w:eastAsia="仿宋_GB2312"/>
                      <w:sz w:val="18"/>
                      <w:color w:val="000000"/>
                    </w:rPr>
                    <w:t>9.▲支持内置常见攻击工具进程黑名单，管理员可基于内置的名单进行增减，匹配上此名单的进程访问零信任系统时会被打上标签，以方便快速定位排查问题终端。</w:t>
                  </w:r>
                  <w:r>
                    <w:br/>
                  </w:r>
                  <w:r>
                    <w:rPr>
                      <w:rFonts w:ascii="仿宋_GB2312" w:hAnsi="仿宋_GB2312" w:cs="仿宋_GB2312" w:eastAsia="仿宋_GB2312"/>
                      <w:sz w:val="18"/>
                      <w:color w:val="000000"/>
                    </w:rPr>
                    <w:t>10.支持远程登录后，不断开本地网络。</w:t>
                  </w:r>
                </w:p>
              </w:tc>
            </w:tr>
            <w:tr>
              <w:tc>
                <w:tcPr>
                  <w:tcW w:type="dxa" w:w="155"/>
                  <w:vMerge/>
                  <w:tcBorders>
                    <w:top w:val="none" w:color="000000" w:sz="4"/>
                    <w:left w:val="single" w:color="000000" w:sz="4"/>
                    <w:bottom w:val="single" w:color="000000" w:sz="4"/>
                    <w:right w:val="single" w:color="000000" w:sz="4"/>
                  </w:tcBorders>
                </w:tcPr>
                <w:p/>
              </w:tc>
              <w:tc>
                <w:tcPr>
                  <w:tcW w:type="dxa" w:w="155"/>
                  <w:vMerge/>
                  <w:tcBorders>
                    <w:top w:val="none" w:color="000000" w:sz="4"/>
                    <w:left w:val="none" w:color="000000" w:sz="4"/>
                    <w:bottom w:val="none" w:color="000000" w:sz="4"/>
                    <w:right w:val="single" w:color="000000" w:sz="4"/>
                  </w:tcBorders>
                </w:tcP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产品证书：</w:t>
                  </w:r>
                  <w:r>
                    <w:rPr>
                      <w:rFonts w:ascii="仿宋_GB2312" w:hAnsi="仿宋_GB2312" w:cs="仿宋_GB2312" w:eastAsia="仿宋_GB2312"/>
                      <w:sz w:val="18"/>
                      <w:color w:val="000000"/>
                    </w:rPr>
                    <w:t>提供《计算机软件著作权登记证书》、《商用密码产品认证证书》、《信息系统业务安全服务资质》；所提供产品在《网络关键设备和网络安全专用产品目录》内</w:t>
                  </w:r>
                </w:p>
              </w:tc>
            </w:tr>
            <w:tr>
              <w:tc>
                <w:tcPr>
                  <w:tcW w:type="dxa" w:w="155"/>
                  <w:vMerge/>
                  <w:tcBorders>
                    <w:top w:val="none" w:color="000000" w:sz="4"/>
                    <w:left w:val="single" w:color="000000" w:sz="4"/>
                    <w:bottom w:val="single" w:color="000000" w:sz="4"/>
                    <w:right w:val="single" w:color="000000" w:sz="4"/>
                  </w:tcBorders>
                </w:tcPr>
                <w:p/>
              </w:tc>
              <w:tc>
                <w:tcPr>
                  <w:tcW w:type="dxa" w:w="155"/>
                  <w:vMerge/>
                  <w:tcBorders>
                    <w:top w:val="none" w:color="000000" w:sz="4"/>
                    <w:left w:val="none" w:color="000000" w:sz="4"/>
                    <w:bottom w:val="none" w:color="000000" w:sz="4"/>
                    <w:right w:val="single" w:color="000000" w:sz="4"/>
                  </w:tcBorders>
                </w:tcP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服务保障</w:t>
                  </w:r>
                  <w:r>
                    <w:rPr>
                      <w:rFonts w:ascii="仿宋_GB2312" w:hAnsi="仿宋_GB2312" w:cs="仿宋_GB2312" w:eastAsia="仿宋_GB2312"/>
                      <w:sz w:val="18"/>
                      <w:color w:val="000000"/>
                    </w:rPr>
                    <w:t>：在质保期内无条件提供提供</w:t>
                  </w:r>
                  <w:r>
                    <w:rPr>
                      <w:rFonts w:ascii="仿宋_GB2312" w:hAnsi="仿宋_GB2312" w:cs="仿宋_GB2312" w:eastAsia="仿宋_GB2312"/>
                      <w:sz w:val="18"/>
                      <w:color w:val="000000"/>
                    </w:rPr>
                    <w:t>≥3年原厂服务，包括软件（含升级）、硬件质保、现场技术支持</w:t>
                  </w:r>
                </w:p>
              </w:tc>
            </w:tr>
          </w:tbl>
          <w:p/>
        </w:tc>
      </w:tr>
    </w:tbl>
    <w:p>
      <w:pPr>
        <w:pStyle w:val="null3"/>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6"/>
              <w:gridCol w:w="155"/>
              <w:gridCol w:w="2152"/>
            </w:tblGrid>
            <w:tr>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交换</w:t>
                  </w:r>
                  <w:r>
                    <w:rPr>
                      <w:rFonts w:ascii="仿宋_GB2312" w:hAnsi="仿宋_GB2312" w:cs="仿宋_GB2312" w:eastAsia="仿宋_GB2312"/>
                      <w:sz w:val="18"/>
                      <w:color w:val="000000"/>
                    </w:rPr>
                    <w:t>机</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4台</w:t>
                  </w:r>
                </w:p>
              </w:tc>
              <w:tc>
                <w:tcPr>
                  <w:tcW w:type="dxa" w:w="2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包转发率</w:t>
                  </w:r>
                  <w:r>
                    <w:rPr>
                      <w:rFonts w:ascii="仿宋_GB2312" w:hAnsi="仿宋_GB2312" w:cs="仿宋_GB2312" w:eastAsia="仿宋_GB2312"/>
                      <w:sz w:val="18"/>
                      <w:color w:val="000000"/>
                    </w:rPr>
                    <w:t>≥171Mpps， ≥48个10/100/1000Base-T自适应以太网端口，≥6个1/10GE SFP+口</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自合同签订之日起3个月完成交货、安装、调试，其中包含试运行1个月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自合同签订一个月内支付合同金额的60%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货物验收后支付合同金额的40%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项目交付物与验收标准 （一）交付物。采购要求中的货物，包含供货的过程资料、货物的相关证书和授权文件；系统集成的所有过程资料及结论性资料，包含但不限于实施方案、进度计划、设计文档、施工文档、测试文档、验证文档等；采购要求中服务的过程文档和产出文档等，包括但不限于实施方案、检测文档、辅料配件清单、设计文档、配置文档、测试文档等。上述交付物经采购方认可确认。 （二）验收标准。设备的文档完整准确，并与采购要求、货物完全一致；有完整的项目实施方案，包含但不限于人员保障、进度计划、质量保证、安全保障、风险防控、实施工序、操作规程，设计文档、配置文档、测试文档、检测验证文档等；完整、完全完成采购内容和实施方案的所有工作，项目文档完整清晰，产品性能、安全性、可靠性符合国家标准，安全设备在《网络关键设备和网络安全专用产品目录》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详见本项目采购清单</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具体内容详见本项目采购合同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（六）网络拓扑架构安全优化 网络拓扑架构安全优化目标是提升网络性能与可靠性，消除单点故障；合理规划流量路径，减少跨层传输，提升传输效率和安全性。主要实施内容包括但不限于以下： 1.绘制现有拓扑图，审查网络拓扑架构，分析性能瓶颈和安全风险隐患，出具人才中心认可的整改意见清单。 2.依据业务实际和现有资源，重构分层架构（核心-汇聚-接入），确保冗余链路；审查并强化安全配置，实施无线网络接入实名制和认证，保障网络安全。同时给出中心网络拓扑演进方案，保障网络在安全可靠的前提下，合理科学演进。 3.网关下移，将网关从核心交换机迁移至汇聚层，分散压力。配置OSPF等路由协议优化路径选择。 4.无线网络升级。实施无线网络认证，支持但不限于 Portal认证、MAC白名单（需现有设备支持）。主要实施内容包括但不限于配置AC（无线控制器）、划分访客/员工SSID，设置VLAN隔离等。 5.物理链路安全加固和性能优化。 ①链路检测：使用电缆测试仪检测双绞线/光纤的连通性、衰减值；重点排查机房至配线间主干链路和配线间到终端点位的接入链路（含AP）。 ②故障更换：故障模块更换RJ45模块（符合Cat6A标准）。跳线/光纤优先选用OM3多模或OS2单模光纤（根据距离选择），故障AP更换。 ③线缆标识：对机房、弱电间采用统一标签规范（如A1-24→SW1-G1/0/24），使用防水标签机打印。 ④配线架整理：逐一端口测试，记录损坏端口编号；重新端接松动模块，整理冗余线缆（使用理线器）；符合TIA-568-C.2打线标准，确保端接损耗＜0.5dB。 （七）部署实施要求 网络安全设备集成项目的部署工作需遵循规范要求，确保项目的系统性、安全性和可维护性。 1.需求分析与规划。明确业务需求、网络架构特点及潜在安全风险，通过流量分析、资产识别等手段确定关键防护节点。制定详细的部署计划，涵盖设备选型、放置位置（如核心层、汇聚层）、网络连接方式及时间表，确保与现有网络兼容并预留扩展空间。 2.设备安装与配置。按网络拓扑设计（分层架构、安全区域划分）进行物理安装，确保设备物理安全（如访问控制、环境监控）。初始化配置包括管理IP设置、安全策略及日志管理等，需结合自动化工具提高效率。 3.系统集成与测试。验证设备间的接口兼容性及数据流协同，如内网设备与日志审计系统的日志对接，内外网设备配置、运行日志、业务数据等数据与灾备一体机的对接等。执行多维度测试，功能测试验证访问控制、威胁检测等核心功能；性能测试模拟高负载场景下的稳定性及延迟表现；安全测试通过渗透测试、漏洞扫描验证防护有效性。 4.培训与文档管理。对运维团队开展针对性培训，涵盖设备操作、应急响应（如DDoS处置等）及策略优化方法；建立完整的文档体系，包括但不限于网络拓扑图、配置手册、测试报告等，并定期更新归档。 5.持续监控与优化。持续/实时追踪设备状态（如CPU利用率、威胁告警），进行异常行为检测；定期更新设备固件、安全策略及威胁特征库，并通过风险评估（如季度审计）调整防护措施。 6.项目管理要求。遵循项目管理流程（立项→计划→执行→验收），明确各阶段责任分工及里程碑节点；确保符合法律法规及行业标准，在投标方案中明确供应商的技术支持条款。 （八）售后服务要求 项目验收合格后，中标单位需提供3年无条件售后服务。产品要求的原厂服务不等同于中标单位的售后服务。 1.技术支持服务：售后服务期间，要求提供7*24小时技术支持服务，重保期间提供7*24网络安全监控服务，每月对设备进行现场巡检1次。所有技术支持服务须为原厂服务。 2.应急响应服务：售后服务期间，提供应急响应服务，要求30分钟响应，1小时到场，24小时解决故障。 3.备件备品服务：提供西安本地备件备品服务，要求当设备发生故障，8小时内不能恢复时，3小时内提供不低于故障设备技术要求的备件备品到场，保障业务连续。 4.技术培训服务：要求对采购单位技术人员开展技术培训，保障采购单位技术人员全面掌握设备的安装配置、日常运维。 本项目核心产品为：互联网出口防火墙，因系统原因，本项目概况中附图1、附图2、附图3详见投标文件格式“技术商务部分”。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 凭证（营业执照、其他组织经营的合法凭证、 自然人提供身份证明）； 2）具有良好的商业信 誉和健全的财务会计制度 ①2023或2024年度经审计的 财务报告，包括四表一注，即资产负债表、利润表、现金流量表、所有者权益变动表及其附 注；如为事业法人，提供部门决算报告；②或在 开标日期前六个月内其基本开户银行出具的资 信证明（附《基本存款账户信息》或《银行开户许可证》复印件）；③或财政部门认可的政府 采购专业担保机构出具的担保函；（以上三种形式的资料提供任何一种即可）； 3）具有履行 合同所必需的设备和专业技术能力 提供声明文 件。 4）具有依法缴纳税收的良好记录 提供缴 费所属日期为投标截止时间前12个月内任一月 份（投标截止时间当月不计入）的增值税或所得税缴费凭据或税务机关出具的完税证明；/在 法规范围内不需提供的应出具书面说明和证明文件； 5）具有依法缴纳社会保障资金的良好记 录 提供缴费所属日期为投标截止时间前12个月 内任一月份（投标商截止时间当月不计入）的缴费凭据或社保机关出具的缴费证明/在法规范 围内不需提供的应出具书面说明和证明文件； 6 ) 参加政府采购活动前3年内在经营活动中没有 重大违法记录的书面声明； 7）法人代表授权书 ； 注：供应商需在项目电子化交易系统中按要 求上传相应证明文件并进行电子签章。</w:t>
            </w:r>
          </w:p>
        </w:tc>
        <w:tc>
          <w:tcPr>
            <w:tcW w:type="dxa" w:w="1661"/>
          </w:tcPr>
          <w:p>
            <w:pPr>
              <w:pStyle w:val="null3"/>
            </w:pPr>
            <w:r>
              <w:rPr>
                <w:rFonts w:ascii="仿宋_GB2312" w:hAnsi="仿宋_GB2312" w:cs="仿宋_GB2312" w:eastAsia="仿宋_GB2312"/>
              </w:rPr>
              <w:t>投标函 资格部分.docx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符合性检查</w:t>
            </w:r>
          </w:p>
        </w:tc>
        <w:tc>
          <w:tcPr>
            <w:tcW w:type="dxa" w:w="3322"/>
          </w:tcPr>
          <w:p>
            <w:pPr>
              <w:pStyle w:val="null3"/>
            </w:pPr>
            <w:r>
              <w:rPr>
                <w:rFonts w:ascii="仿宋_GB2312" w:hAnsi="仿宋_GB2312" w:cs="仿宋_GB2312" w:eastAsia="仿宋_GB2312"/>
              </w:rPr>
              <w:t>1、投标文件的完整性审查。 投标文件是否按照 招标文件要求的格式编写； 2、投标文件的有效 性审查。 投标文件的签署、加盖印章是否有效 。 3、投标文件的响应性审查。 （1）投标报价 是否超过采购预算或最高限价； （2）投标报价 有效期是否符合招标文件的要求；</w:t>
            </w:r>
          </w:p>
        </w:tc>
        <w:tc>
          <w:tcPr>
            <w:tcW w:type="dxa" w:w="1661"/>
          </w:tcPr>
          <w:p>
            <w:pPr>
              <w:pStyle w:val="null3"/>
            </w:pPr>
            <w:r>
              <w:rPr>
                <w:rFonts w:ascii="仿宋_GB2312" w:hAnsi="仿宋_GB2312" w:cs="仿宋_GB2312" w:eastAsia="仿宋_GB2312"/>
              </w:rPr>
              <w:t>技术商务部分.docx 开标一览表 投标函 中小企业声明函 残疾人福利性单位声明函 标的清单 投标文件封面 资格部分.docx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技术、商务的响应程度</w:t>
            </w:r>
          </w:p>
        </w:tc>
        <w:tc>
          <w:tcPr>
            <w:tcW w:type="dxa" w:w="2492"/>
          </w:tcPr>
          <w:p>
            <w:pPr>
              <w:pStyle w:val="null3"/>
            </w:pPr>
            <w:r>
              <w:rPr>
                <w:rFonts w:ascii="仿宋_GB2312" w:hAnsi="仿宋_GB2312" w:cs="仿宋_GB2312" w:eastAsia="仿宋_GB2312"/>
              </w:rPr>
              <w:t>供应商所投产品、商务要求及其他要求中，商务及其他要求满足或优于招标文件要求；技术参数清楚、明确，无重大偏离，技术资料齐全。（供应商须提供的证明材料可以使用生产厂家官方网站截图或产品白皮书或第三方机构检验报告/测试报告或其他相关证明材料作为技术评审依据，未提供有效证明材料或证明材料中内容与所填报指标不一致的，该指标按不满足处理），完全满足技术参数要求及响应商务或其他要求，得20分。若任意一项标注“▲”号的指标不满足招标文件要求，每项扣2分；若任意一项未标注“▲”号的指标不满足招标文件要求，每项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提出针对于本项目的总体服务方案，内容包括：1、明确项目的建设要求和目标（包含上架、迁移、优化等内容）；2、体现设备拓扑图并明确所有采购设备部署位置和关系映射。 二、评审标准 1、完整性：方案须全面，对评审内容中的各项要求有详细描述； 2、可实施性：切合本项目实际情况，实施步骤清晰、合理； 3、针对性：方案能够紧扣项目实际情况，内容科学合理。 三、赋分标准（满分9分） 1、明确项目的建设要求和目标：一个评审标准计0-1.5分，满分4.5分，未提供不得分； 2、体现设备拓扑图并明确所有采购设备部署位置和关系映射:一个评审标准计0-1.5分，满分4.5分，未提供不得分。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供应商需针对本项目提供完整的项目实施方案。内容包含：1、供货组织安排；2、实施计划及进度计划；3、安装调试及验收方案；4、物力调配及保障措施。 二、评审标准 1、完整性：方案应全面完整，合理安排工序及进度，描述条理清晰； 2、可实施性：切合本项目实际情况，实施步骤清晰、合理； 3、针对性：方案能够紧扣项目实际情况，内容科学合理。 三、赋分依据（满分12分） 1、供货组织安排：一个评审标准计1分，满分3分，未提供不得分； 2、实施计划及进度计划:一个评审标准计0-1分，满分3分，未提供不得分； 3、安装调试及验收方案:一个评审标准计0-1分，满分3分，未提供不得分； 4、物力调配及保障措施：一个评审标准计0-1分，满分3分，未提供不得分。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根据本标段实际需求，提供质量保证方案。内容包含：1、产品选型、功能配置；2、质量管理体系及目标；3、质量保证措施。 二、评审标准 1、完整性：方案应全面完整，对评审内容中的各项要求有详细描述； 2、可实施性：切合本项目实际情况，实施步骤清晰、合理； 3、针对性：方案能够紧扣项目实际情况，内容科学合理。 三、赋分依据（满分4.5分） 1、产品性能：一个评审标准计0-0.5分，满分1.5分，未提供不得分； 2、质量管理体系及目标:一个评审标准计0-0.5分，满分1.5分，未提供不得分； 3、质量保证措施:一个评审标准计0-0.5分，满分1.5分，未提供不得分。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针对本标段采购需求及特点制定培训方案，内容包括：1、培训目标及计划；2、培训内容及方式。 二、评审标准 1、完整性：方案应全面完整，对评审内容中的各项要求有详细描述； 2、可实施性：切合本项目实际情况，实施步骤清晰、合理； 3、针对性：方案能够紧扣项目实际情况，内容科学合理。 三、赋分标准（满分3分） 1、培训目标及计划：一个评审标准计0-0.5分，满分1.5分，未提供不得分； 2、培训内容及方式:一个评审标准计0-0.5分，满分1.5分，未提供不得分。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根据本标段实际需求提供售后服务方案。内容包含：1、响应时间、售后服务范围及保障措施；2、故障处理及补救措施；3、应急处理方案。 二、评审标准 1、完整性：方案应全面完整，对评审内容中的各项要求有详细描述； 2、可实施性：切合本项目实际情况，提出步骤清晰、合理的方案； 3、针对性：方案能够紧扣项目实际情况，内容科学合理。 三、赋分依据（满分4.5分） 1、响应时间、售后服务范围及保障措施：一个评审标准计0-0.5分，满分1.5分，未提供不得分； 2、故障处理及补救措施:一个评审标准计0-0.5分，满分1.5分，未提供不得分； 3、应急处理方案:一个评审标准计0-0.5分，满分1.5分，未提供不得分。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项目团队能力</w:t>
            </w:r>
          </w:p>
        </w:tc>
        <w:tc>
          <w:tcPr>
            <w:tcW w:type="dxa" w:w="2492"/>
          </w:tcPr>
          <w:p>
            <w:pPr>
              <w:pStyle w:val="null3"/>
            </w:pPr>
            <w:r>
              <w:rPr>
                <w:rFonts w:ascii="仿宋_GB2312" w:hAnsi="仿宋_GB2312" w:cs="仿宋_GB2312" w:eastAsia="仿宋_GB2312"/>
              </w:rPr>
              <w:t>1、项目经理具有有效的信息系统项目管理师证书、CISP注册信息安全工程师证书，每提供一个，计1分，满分2分； 2、项目团队人员（不含项目经理）需具有有效的系统集成项目管理工程师证书、信息安全工程师证书、CISP注册信息安全安全管理人员，每提供1项得1分，最高得3分。 注：（1）以上人员若为同一人员参评时不重复计分且以最高得分计；（2）须提供截止开标时间前前四个月内供应商为其缴纳的连续三个月社保证明等，否则以上均不计分。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1、供应商须具备ISO认证体系（ISO 9001质量管理体系认证、ISO20000 信息技术服务管理体系认证、ISO 27001 信息安全管理体系认证）证书，每提供一个计1分，满分3分。 2、供应商具有CCRC信息安全集成服务资质认证三级及以上证书计1分，没有不计分。 3、供应商具有信息系统建设和服务能力等级CS3及以上证书或ITSS信息技术服务标准运行维护能力成熟度三级及以上证书的计1分，没有不计分。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来源渠道合法证明文件及原厂售后服务承诺</w:t>
            </w:r>
          </w:p>
        </w:tc>
        <w:tc>
          <w:tcPr>
            <w:tcW w:type="dxa" w:w="2492"/>
          </w:tcPr>
          <w:p>
            <w:pPr>
              <w:pStyle w:val="null3"/>
            </w:pPr>
            <w:r>
              <w:rPr>
                <w:rFonts w:ascii="仿宋_GB2312" w:hAnsi="仿宋_GB2312" w:cs="仿宋_GB2312" w:eastAsia="仿宋_GB2312"/>
              </w:rPr>
              <w:t>1、提供招标内容中所要求产品的货物来源渠道合法证明文件（包括但不限于原厂授权、销售协议、代理协议等）的得0-1分，未提供不得分。 2、提供所响应产品原厂售后服务承诺函，根据响应情况得0-1分，未提供不得分。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供应商近3年内有类似项目业绩的，提供中标通知书或者合同，每提供一个业绩计1分，满分5分。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 注：（1）根据《关于进一步加大政府采购支持中小企业力度的通知》财库〔2022〕19号的相关规定，对小型和微型企业的价格给予10%的扣除，用扣除后的价格参与评审。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小型、微型企业和监狱企业符合财政部、民政部、中国残疾人联合会关于促进残疾人就业政府采购政策的通知，以上政策同时具备的仅对其进行一次10%的价格扣除，不重复扣除。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详见附件：供货合同.docx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