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版本号：SXWZ2025ZB-YDDX-14820250704001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采购中文数据库项目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SXWZ2025ZB-YDDX-148</w:t>
      </w:r>
      <w:r>
        <w:br/>
      </w:r>
      <w:r>
        <w:br/>
      </w:r>
      <w:r>
        <w:br/>
      </w:r>
      <w:r>
        <w:br/>
      </w:r>
      <w:r>
        <w:br/>
      </w:r>
    </w:p>
    <w:p>
      <w:pPr>
        <w:pStyle w:val="null3"/>
        <w:jc w:val="center"/>
        <w:outlineLvl w:val="5"/>
      </w:pPr>
      <w:r>
        <w:rPr>
          <w:rFonts w:ascii="仿宋_GB2312" w:hAnsi="仿宋_GB2312" w:cs="仿宋_GB2312" w:eastAsia="仿宋_GB2312"/>
          <w:sz w:val="15"/>
          <w:b/>
        </w:rPr>
        <w:t>西安邮电大学</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采购中文数据库项目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SXWZ2025ZB-YDDX-148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采购中文数据库项目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中国知网（CNKI)系列数据库平台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4、财务状况证明：提供经会计师事务所审计的2023年或2024年财务审计报告（报告须带有二维码可验证），或在开标日期前六个月内其基本开户银行出具的资信证明；</w:t>
      </w:r>
    </w:p>
    <w:p>
      <w:pPr>
        <w:pStyle w:val="null3"/>
      </w:pPr>
      <w:r>
        <w:rPr>
          <w:rFonts w:ascii="仿宋_GB2312" w:hAnsi="仿宋_GB2312" w:cs="仿宋_GB2312" w:eastAsia="仿宋_GB2312"/>
        </w:rPr>
        <w:t>5、投标代表：非法定代表人参加投标，须提供法定代表人授权委托书及被授权人身份证；法定代表人参加投标时,须提供法定代表人身份证；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6、单位信誉：供应商应出具参加本次政府采购活动前3年内在经营活动中没有重大违法违纪，以及未被列入失信被执行人、重大税收违法案件当事人名单、政府采购严重违法失信行为记录名单的书面声明；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7、是否接受联合体投标：本项目不接受联合体参与。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采购包1：365,000.00元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说明：本项目履约保证金为合同金额的5%，在合同签订前必须缴纳，履约保证金缴纳形式：成交供应商应当以支票、汇票、本票、保函等非现金形式缴纳。 （二）收款账户：中标后由采购人提供； （三）履约保证金的退付：项目服务期满后无争议，履约保证金将退还至成交供应商账户。</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 参见原国家计委颁布的《招标代理服务费收费管理暂行办法》（计价格[2002]1980号）中的收费标准收取。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中国知网（CNKI)系列数据库平台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365,000.00</w:t>
      </w:r>
    </w:p>
    <w:p>
      <w:pPr>
        <w:pStyle w:val="null3"/>
      </w:pPr>
      <w:r>
        <w:rPr>
          <w:rFonts w:ascii="仿宋_GB2312" w:hAnsi="仿宋_GB2312" w:cs="仿宋_GB2312" w:eastAsia="仿宋_GB2312"/>
        </w:rPr>
        <w:t>采购包最高限价（元）: 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学术期刊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标的名称：学术期刊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、商务要求</w:t>
            </w:r>
          </w:p>
          <w:p>
            <w:pPr>
              <w:pStyle w:val="null3"/>
              <w:ind w:firstLine="480"/>
              <w:jc w:val="both"/>
            </w:pPr>
            <w:r>
              <w:rPr>
                <w:rFonts w:ascii="仿宋_GB2312" w:hAnsi="仿宋_GB2312" w:cs="仿宋_GB2312" w:eastAsia="仿宋_GB2312"/>
                <w:sz w:val="21"/>
                <w:color w:val="000000"/>
              </w:rPr>
              <w:t>1、项目名称：西安邮电大学采购中文数据库项目；</w:t>
            </w:r>
          </w:p>
          <w:p>
            <w:pPr>
              <w:pStyle w:val="null3"/>
              <w:ind w:firstLine="480"/>
              <w:jc w:val="both"/>
            </w:pPr>
            <w:r>
              <w:rPr>
                <w:rFonts w:ascii="仿宋_GB2312" w:hAnsi="仿宋_GB2312" w:cs="仿宋_GB2312" w:eastAsia="仿宋_GB2312"/>
                <w:sz w:val="21"/>
                <w:color w:val="000000"/>
              </w:rPr>
              <w:t>2、服务期：2025/11/08-2026/11/07</w:t>
            </w:r>
          </w:p>
          <w:p>
            <w:pPr>
              <w:pStyle w:val="null3"/>
              <w:ind w:firstLine="480"/>
              <w:jc w:val="both"/>
            </w:pPr>
            <w:r>
              <w:rPr>
                <w:rFonts w:ascii="仿宋_GB2312" w:hAnsi="仿宋_GB2312" w:cs="仿宋_GB2312" w:eastAsia="仿宋_GB2312"/>
                <w:sz w:val="21"/>
                <w:color w:val="000000"/>
              </w:rPr>
              <w:t>3、服务地点：西安邮电大学指定地点；</w:t>
            </w:r>
          </w:p>
          <w:p>
            <w:pPr>
              <w:pStyle w:val="null3"/>
              <w:ind w:firstLine="480"/>
              <w:jc w:val="both"/>
            </w:pPr>
            <w:r>
              <w:rPr>
                <w:rFonts w:ascii="仿宋_GB2312" w:hAnsi="仿宋_GB2312" w:cs="仿宋_GB2312" w:eastAsia="仿宋_GB2312"/>
                <w:sz w:val="21"/>
                <w:color w:val="000000"/>
              </w:rPr>
              <w:t>4、履约保证金：供应商成交后凭成交通知书向采购人缴纳成交金额的5%作为履约保证金，待合同履约完毕后无息退还。</w:t>
            </w:r>
          </w:p>
          <w:p>
            <w:pPr>
              <w:pStyle w:val="null3"/>
              <w:ind w:firstLine="480"/>
              <w:jc w:val="both"/>
            </w:pPr>
            <w:r>
              <w:rPr>
                <w:rFonts w:ascii="仿宋_GB2312" w:hAnsi="仿宋_GB2312" w:cs="仿宋_GB2312" w:eastAsia="仿宋_GB2312"/>
                <w:sz w:val="21"/>
                <w:color w:val="000000"/>
              </w:rPr>
              <w:t>5、付款方式：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1）合同款的支付：</w:t>
            </w:r>
          </w:p>
          <w:p>
            <w:pPr>
              <w:pStyle w:val="null3"/>
              <w:ind w:firstLine="480"/>
              <w:jc w:val="both"/>
            </w:pPr>
            <w:r>
              <w:rPr>
                <w:rFonts w:ascii="仿宋_GB2312" w:hAnsi="仿宋_GB2312" w:cs="仿宋_GB2312" w:eastAsia="仿宋_GB2312"/>
                <w:sz w:val="21"/>
                <w:color w:val="000000"/>
              </w:rPr>
              <w:t>合同签订后，待所有货物到达指定地点、安装调试完成并由学校验收合格后，凭供应商开具的全额增值税发票，</w:t>
            </w:r>
            <w:r>
              <w:rPr>
                <w:rFonts w:ascii="仿宋_GB2312" w:hAnsi="仿宋_GB2312" w:cs="仿宋_GB2312" w:eastAsia="仿宋_GB2312"/>
                <w:sz w:val="21"/>
                <w:color w:val="000000"/>
              </w:rPr>
              <w:t>30日内一次性付清合同款项。</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2）结算方式：银行转账。</w:t>
            </w:r>
          </w:p>
          <w:p>
            <w:pPr>
              <w:pStyle w:val="null3"/>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、具体采购内容</w:t>
            </w:r>
          </w:p>
          <w:tbl>
            <w:tblPr>
              <w:tblInd w:type="dxa" w:w="135"/>
              <w:tblBorders>
                <w:top w:val="none" w:color="000000" w:sz="4"/>
                <w:left w:val="none" w:color="000000" w:sz="4"/>
                <w:bottom w:val="none" w:color="000000" w:sz="4"/>
                <w:right w:val="none" w:color="000000" w:sz="4"/>
                <w:insideH w:val="none"/>
                <w:insideV w:val="none"/>
              </w:tblBorders>
            </w:tblPr>
            <w:tblGrid>
              <w:gridCol w:w="362"/>
              <w:gridCol w:w="820"/>
              <w:gridCol w:w="285"/>
              <w:gridCol w:w="479"/>
              <w:gridCol w:w="587"/>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产品年度</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服务模式</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采购内容</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中国学术期刊（网络版）</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全库</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租用</w:t>
                  </w:r>
                </w:p>
              </w:tc>
            </w:tr>
          </w:tbl>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、产品的技术要求</w:t>
            </w:r>
          </w:p>
          <w:p>
            <w:pPr>
              <w:pStyle w:val="null3"/>
              <w:ind w:firstLine="482"/>
              <w:jc w:val="both"/>
            </w:pPr>
            <w:r>
              <w:rPr>
                <w:rFonts w:ascii="仿宋_GB2312" w:hAnsi="仿宋_GB2312" w:cs="仿宋_GB2312" w:eastAsia="仿宋_GB2312"/>
                <w:sz w:val="21"/>
              </w:rPr>
              <w:t>1</w:t>
            </w:r>
            <w:r>
              <w:rPr>
                <w:rFonts w:ascii="仿宋_GB2312" w:hAnsi="仿宋_GB2312" w:cs="仿宋_GB2312" w:eastAsia="仿宋_GB2312"/>
                <w:sz w:val="21"/>
              </w:rPr>
              <w:t>、所列的全文数据库内容能够在统一的平台上进行检索，相互之间可以实现知网节链接，并且可以和以往年度订购的</w:t>
            </w:r>
            <w:r>
              <w:rPr>
                <w:rFonts w:ascii="仿宋_GB2312" w:hAnsi="仿宋_GB2312" w:cs="仿宋_GB2312" w:eastAsia="仿宋_GB2312"/>
                <w:sz w:val="21"/>
              </w:rPr>
              <w:t>CNKI</w:t>
            </w:r>
            <w:r>
              <w:rPr>
                <w:rFonts w:ascii="仿宋_GB2312" w:hAnsi="仿宋_GB2312" w:cs="仿宋_GB2312" w:eastAsia="仿宋_GB2312"/>
                <w:sz w:val="21"/>
              </w:rPr>
              <w:t>系列数据库资源内容统一使用。</w:t>
            </w:r>
          </w:p>
          <w:p>
            <w:pPr>
              <w:pStyle w:val="null3"/>
              <w:ind w:firstLine="482"/>
              <w:jc w:val="both"/>
            </w:pPr>
            <w:r>
              <w:rPr>
                <w:rFonts w:ascii="仿宋_GB2312" w:hAnsi="仿宋_GB2312" w:cs="仿宋_GB2312" w:eastAsia="仿宋_GB2312"/>
                <w:sz w:val="21"/>
              </w:rPr>
              <w:t>2</w:t>
            </w:r>
            <w:r>
              <w:rPr>
                <w:rFonts w:ascii="仿宋_GB2312" w:hAnsi="仿宋_GB2312" w:cs="仿宋_GB2312" w:eastAsia="仿宋_GB2312"/>
                <w:sz w:val="21"/>
              </w:rPr>
              <w:t>、更新：网上日更新。网络出版时滞不超过纸质出版</w:t>
            </w:r>
            <w:r>
              <w:rPr>
                <w:rFonts w:ascii="仿宋_GB2312" w:hAnsi="仿宋_GB2312" w:cs="仿宋_GB2312" w:eastAsia="仿宋_GB2312"/>
                <w:sz w:val="21"/>
              </w:rPr>
              <w:t>2</w:t>
            </w:r>
            <w:r>
              <w:rPr>
                <w:rFonts w:ascii="仿宋_GB2312" w:hAnsi="仿宋_GB2312" w:cs="仿宋_GB2312" w:eastAsia="仿宋_GB2312"/>
                <w:sz w:val="21"/>
              </w:rPr>
              <w:t>个月。</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、数据库能提供完善的用户访问统计和控制功能</w:t>
            </w:r>
            <w:r>
              <w:rPr>
                <w:rFonts w:ascii="仿宋_GB2312" w:hAnsi="仿宋_GB2312" w:cs="仿宋_GB2312" w:eastAsia="仿宋_GB2312"/>
                <w:sz w:val="21"/>
              </w:rPr>
              <w:t>,</w:t>
            </w:r>
            <w:r>
              <w:rPr>
                <w:rFonts w:ascii="仿宋_GB2312" w:hAnsi="仿宋_GB2312" w:cs="仿宋_GB2312" w:eastAsia="仿宋_GB2312"/>
                <w:sz w:val="21"/>
              </w:rPr>
              <w:t>并由用户自己随时在后台进行。</w:t>
            </w:r>
          </w:p>
          <w:p>
            <w:pPr>
              <w:pStyle w:val="null3"/>
              <w:ind w:firstLine="482"/>
              <w:jc w:val="both"/>
            </w:pPr>
            <w:r>
              <w:rPr>
                <w:rFonts w:ascii="仿宋_GB2312" w:hAnsi="仿宋_GB2312" w:cs="仿宋_GB2312" w:eastAsia="仿宋_GB2312"/>
                <w:sz w:val="21"/>
              </w:rPr>
              <w:t>4</w:t>
            </w:r>
            <w:r>
              <w:rPr>
                <w:rFonts w:ascii="仿宋_GB2312" w:hAnsi="仿宋_GB2312" w:cs="仿宋_GB2312" w:eastAsia="仿宋_GB2312"/>
                <w:sz w:val="21"/>
              </w:rPr>
              <w:t>、数据库能提供完善的访问量（日志）统计功能，能按访问总数，检索、浏览、下载分别进行统计，能够按学科专辑专题进行分类统计，能够按时间进行统计。</w:t>
            </w:r>
          </w:p>
          <w:p>
            <w:pPr>
              <w:pStyle w:val="null3"/>
              <w:ind w:firstLine="482"/>
              <w:jc w:val="both"/>
            </w:pPr>
            <w:r>
              <w:rPr>
                <w:rFonts w:ascii="仿宋_GB2312" w:hAnsi="仿宋_GB2312" w:cs="仿宋_GB2312" w:eastAsia="仿宋_GB2312"/>
                <w:sz w:val="21"/>
              </w:rPr>
              <w:t>5</w:t>
            </w:r>
            <w:r>
              <w:rPr>
                <w:rFonts w:ascii="仿宋_GB2312" w:hAnsi="仿宋_GB2312" w:cs="仿宋_GB2312" w:eastAsia="仿宋_GB2312"/>
                <w:sz w:val="21"/>
              </w:rPr>
              <w:t>、要求系统平台具有完善的可升级与扩展功能，升级方式方便（如可通过网络自动检测升级）。</w:t>
            </w:r>
          </w:p>
          <w:p>
            <w:pPr>
              <w:pStyle w:val="null3"/>
              <w:ind w:firstLine="482"/>
              <w:jc w:val="both"/>
            </w:pPr>
            <w:r>
              <w:rPr>
                <w:rFonts w:ascii="仿宋_GB2312" w:hAnsi="仿宋_GB2312" w:cs="仿宋_GB2312" w:eastAsia="仿宋_GB2312"/>
                <w:sz w:val="21"/>
              </w:rPr>
              <w:t>6</w:t>
            </w:r>
            <w:r>
              <w:rPr>
                <w:rFonts w:ascii="仿宋_GB2312" w:hAnsi="仿宋_GB2312" w:cs="仿宋_GB2312" w:eastAsia="仿宋_GB2312"/>
                <w:sz w:val="21"/>
              </w:rPr>
              <w:t>、要求能够提供移动端</w:t>
            </w:r>
            <w:r>
              <w:rPr>
                <w:rFonts w:ascii="仿宋_GB2312" w:hAnsi="仿宋_GB2312" w:cs="仿宋_GB2312" w:eastAsia="仿宋_GB2312"/>
                <w:sz w:val="21"/>
              </w:rPr>
              <w:t>APP</w:t>
            </w:r>
            <w:r>
              <w:rPr>
                <w:rFonts w:ascii="仿宋_GB2312" w:hAnsi="仿宋_GB2312" w:cs="仿宋_GB2312" w:eastAsia="仿宋_GB2312"/>
                <w:sz w:val="21"/>
              </w:rPr>
              <w:t>，并能免费在移动端使用已订购</w:t>
            </w:r>
            <w:r>
              <w:rPr>
                <w:rFonts w:ascii="仿宋_GB2312" w:hAnsi="仿宋_GB2312" w:cs="仿宋_GB2312" w:eastAsia="仿宋_GB2312"/>
                <w:sz w:val="21"/>
              </w:rPr>
              <w:t>的学术期刊</w:t>
            </w:r>
            <w:r>
              <w:rPr>
                <w:rFonts w:ascii="仿宋_GB2312" w:hAnsi="仿宋_GB2312" w:cs="仿宋_GB2312" w:eastAsia="仿宋_GB2312"/>
                <w:sz w:val="21"/>
              </w:rPr>
              <w:t>内容。</w:t>
            </w:r>
          </w:p>
          <w:p>
            <w:pPr>
              <w:pStyle w:val="null3"/>
              <w:ind w:firstLine="482"/>
              <w:jc w:val="both"/>
            </w:pPr>
            <w:r>
              <w:rPr>
                <w:rFonts w:ascii="仿宋_GB2312" w:hAnsi="仿宋_GB2312" w:cs="仿宋_GB2312" w:eastAsia="仿宋_GB2312"/>
                <w:sz w:val="21"/>
              </w:rPr>
              <w:t>7</w:t>
            </w:r>
            <w:r>
              <w:rPr>
                <w:rFonts w:ascii="仿宋_GB2312" w:hAnsi="仿宋_GB2312" w:cs="仿宋_GB2312" w:eastAsia="仿宋_GB2312"/>
                <w:sz w:val="21"/>
              </w:rPr>
              <w:t>、系统能提供完备的检索功能，且对检索结果可以按照需要进行聚类和排序。</w:t>
            </w:r>
          </w:p>
          <w:p>
            <w:pPr>
              <w:pStyle w:val="null3"/>
              <w:ind w:firstLine="482"/>
              <w:jc w:val="both"/>
            </w:pPr>
            <w:r>
              <w:rPr>
                <w:rFonts w:ascii="仿宋_GB2312" w:hAnsi="仿宋_GB2312" w:cs="仿宋_GB2312" w:eastAsia="仿宋_GB2312"/>
                <w:sz w:val="21"/>
              </w:rPr>
              <w:t>8</w:t>
            </w:r>
            <w:r>
              <w:rPr>
                <w:rFonts w:ascii="仿宋_GB2312" w:hAnsi="仿宋_GB2312" w:cs="仿宋_GB2312" w:eastAsia="仿宋_GB2312"/>
                <w:sz w:val="21"/>
              </w:rPr>
              <w:t>、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ind w:firstLine="482"/>
              <w:jc w:val="both"/>
            </w:pPr>
            <w:r>
              <w:rPr>
                <w:rFonts w:ascii="仿宋_GB2312" w:hAnsi="仿宋_GB2312" w:cs="仿宋_GB2312" w:eastAsia="仿宋_GB2312"/>
                <w:sz w:val="21"/>
              </w:rPr>
              <w:t>9</w:t>
            </w:r>
            <w:r>
              <w:rPr>
                <w:rFonts w:ascii="仿宋_GB2312" w:hAnsi="仿宋_GB2312" w:cs="仿宋_GB2312" w:eastAsia="仿宋_GB2312"/>
                <w:sz w:val="21"/>
              </w:rPr>
              <w:t>、提供多级目录导航，能够快速定位到页。</w:t>
            </w:r>
          </w:p>
          <w:p>
            <w:pPr>
              <w:pStyle w:val="null3"/>
              <w:ind w:firstLine="482"/>
              <w:jc w:val="both"/>
            </w:pPr>
            <w:r>
              <w:rPr>
                <w:rFonts w:ascii="仿宋_GB2312" w:hAnsi="仿宋_GB2312" w:cs="仿宋_GB2312" w:eastAsia="仿宋_GB2312"/>
                <w:sz w:val="21"/>
              </w:rPr>
              <w:t>10</w:t>
            </w:r>
            <w:r>
              <w:rPr>
                <w:rFonts w:ascii="仿宋_GB2312" w:hAnsi="仿宋_GB2312" w:cs="仿宋_GB2312" w:eastAsia="仿宋_GB2312"/>
                <w:sz w:val="21"/>
              </w:rPr>
              <w:t>、全文信息完全的数字化，免费提供具有自主知识产权的阅读软件，能够实现期刊论文原始版面结构与样式不失真的显示与打印。</w:t>
            </w:r>
          </w:p>
          <w:p>
            <w:pPr>
              <w:pStyle w:val="null3"/>
              <w:ind w:firstLine="482"/>
              <w:jc w:val="both"/>
            </w:pPr>
            <w:r>
              <w:rPr>
                <w:rFonts w:ascii="仿宋_GB2312" w:hAnsi="仿宋_GB2312" w:cs="仿宋_GB2312" w:eastAsia="仿宋_GB2312"/>
                <w:sz w:val="21"/>
              </w:rPr>
              <w:t>11</w:t>
            </w:r>
            <w:r>
              <w:rPr>
                <w:rFonts w:ascii="仿宋_GB2312" w:hAnsi="仿宋_GB2312" w:cs="仿宋_GB2312" w:eastAsia="仿宋_GB2312"/>
                <w:sz w:val="21"/>
              </w:rPr>
              <w:t>、数据格式：自定义</w:t>
            </w:r>
            <w:r>
              <w:rPr>
                <w:rFonts w:ascii="仿宋_GB2312" w:hAnsi="仿宋_GB2312" w:cs="仿宋_GB2312" w:eastAsia="仿宋_GB2312"/>
                <w:sz w:val="21"/>
              </w:rPr>
              <w:t>CAJ</w:t>
            </w:r>
            <w:r>
              <w:rPr>
                <w:rFonts w:ascii="仿宋_GB2312" w:hAnsi="仿宋_GB2312" w:cs="仿宋_GB2312" w:eastAsia="仿宋_GB2312"/>
                <w:sz w:val="21"/>
              </w:rPr>
              <w:t>加密格式同时支持</w:t>
            </w:r>
            <w:r>
              <w:rPr>
                <w:rFonts w:ascii="仿宋_GB2312" w:hAnsi="仿宋_GB2312" w:cs="仿宋_GB2312" w:eastAsia="仿宋_GB2312"/>
                <w:sz w:val="21"/>
              </w:rPr>
              <w:t>PDF</w:t>
            </w:r>
            <w:r>
              <w:rPr>
                <w:rFonts w:ascii="仿宋_GB2312" w:hAnsi="仿宋_GB2312" w:cs="仿宋_GB2312" w:eastAsia="仿宋_GB2312"/>
                <w:sz w:val="21"/>
              </w:rPr>
              <w:t>格式。对于图像格式能实现</w:t>
            </w:r>
            <w:r>
              <w:rPr>
                <w:rFonts w:ascii="仿宋_GB2312" w:hAnsi="仿宋_GB2312" w:cs="仿宋_GB2312" w:eastAsia="仿宋_GB2312"/>
                <w:sz w:val="21"/>
              </w:rPr>
              <w:t>OCR</w:t>
            </w:r>
            <w:r>
              <w:rPr>
                <w:rFonts w:ascii="仿宋_GB2312" w:hAnsi="仿宋_GB2312" w:cs="仿宋_GB2312" w:eastAsia="仿宋_GB2312"/>
                <w:sz w:val="21"/>
              </w:rPr>
              <w:t>识别转文本。</w:t>
            </w:r>
          </w:p>
          <w:p>
            <w:pPr>
              <w:pStyle w:val="null3"/>
              <w:ind w:firstLine="482"/>
              <w:jc w:val="both"/>
            </w:pP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、学术期刊标准：</w:t>
            </w:r>
            <w:r>
              <w:rPr>
                <w:rFonts w:ascii="仿宋_GB2312" w:hAnsi="仿宋_GB2312" w:cs="仿宋_GB2312" w:eastAsia="仿宋_GB2312"/>
                <w:sz w:val="21"/>
              </w:rPr>
              <w:t>收录范围我国公开出版发行的学术期刊（含英文版）全文文献，包括基础与应用基础研究、技术研究、工程研究、工程与项目管理、技术开发、实用工程技术、行业技术发展与评论、高级科普、学科教育教学类期刊。文献总量截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r>
              <w:rPr>
                <w:rFonts w:ascii="仿宋_GB2312" w:hAnsi="仿宋_GB2312" w:cs="仿宋_GB2312" w:eastAsia="仿宋_GB2312"/>
                <w:sz w:val="21"/>
              </w:rPr>
              <w:t>底</w:t>
            </w:r>
            <w:r>
              <w:rPr>
                <w:rFonts w:ascii="仿宋_GB2312" w:hAnsi="仿宋_GB2312" w:cs="仿宋_GB2312" w:eastAsia="仿宋_GB2312"/>
                <w:sz w:val="21"/>
              </w:rPr>
              <w:t>，累计收录</w:t>
            </w:r>
            <w:r>
              <w:rPr>
                <w:rFonts w:ascii="仿宋_GB2312" w:hAnsi="仿宋_GB2312" w:cs="仿宋_GB2312" w:eastAsia="仿宋_GB2312"/>
                <w:sz w:val="21"/>
              </w:rPr>
              <w:t>8</w:t>
            </w:r>
            <w:r>
              <w:rPr>
                <w:rFonts w:ascii="仿宋_GB2312" w:hAnsi="仿宋_GB2312" w:cs="仿宋_GB2312" w:eastAsia="仿宋_GB2312"/>
                <w:sz w:val="21"/>
              </w:rPr>
              <w:t>5</w:t>
            </w:r>
            <w:r>
              <w:rPr>
                <w:rFonts w:ascii="仿宋_GB2312" w:hAnsi="仿宋_GB2312" w:cs="仿宋_GB2312" w:eastAsia="仿宋_GB2312"/>
                <w:sz w:val="21"/>
              </w:rPr>
              <w:t>00</w:t>
            </w:r>
            <w:r>
              <w:rPr>
                <w:rFonts w:ascii="仿宋_GB2312" w:hAnsi="仿宋_GB2312" w:cs="仿宋_GB2312" w:eastAsia="仿宋_GB2312"/>
                <w:sz w:val="21"/>
              </w:rPr>
              <w:t>余种期刊，</w:t>
            </w:r>
            <w:r>
              <w:rPr>
                <w:rFonts w:ascii="仿宋_GB2312" w:hAnsi="仿宋_GB2312" w:cs="仿宋_GB2312" w:eastAsia="仿宋_GB2312"/>
                <w:sz w:val="21"/>
              </w:rPr>
              <w:t>中文</w:t>
            </w:r>
            <w:r>
              <w:rPr>
                <w:rFonts w:ascii="仿宋_GB2312" w:hAnsi="仿宋_GB2312" w:cs="仿宋_GB2312" w:eastAsia="仿宋_GB2312"/>
                <w:sz w:val="21"/>
              </w:rPr>
              <w:t>全文文献总量达</w:t>
            </w:r>
            <w:r>
              <w:rPr>
                <w:rFonts w:ascii="仿宋_GB2312" w:hAnsi="仿宋_GB2312" w:cs="仿宋_GB2312" w:eastAsia="仿宋_GB2312"/>
                <w:sz w:val="21"/>
              </w:rPr>
              <w:t>6</w:t>
            </w:r>
            <w:r>
              <w:rPr>
                <w:rFonts w:ascii="仿宋_GB2312" w:hAnsi="仿宋_GB2312" w:cs="仿宋_GB2312" w:eastAsia="仿宋_GB2312"/>
                <w:sz w:val="21"/>
              </w:rPr>
              <w:t>400</w:t>
            </w:r>
            <w:r>
              <w:rPr>
                <w:rFonts w:ascii="仿宋_GB2312" w:hAnsi="仿宋_GB2312" w:cs="仿宋_GB2312" w:eastAsia="仿宋_GB2312"/>
                <w:sz w:val="21"/>
              </w:rPr>
              <w:t>余万</w:t>
            </w:r>
            <w:r>
              <w:rPr>
                <w:rFonts w:ascii="仿宋_GB2312" w:hAnsi="仿宋_GB2312" w:cs="仿宋_GB2312" w:eastAsia="仿宋_GB2312"/>
                <w:sz w:val="21"/>
              </w:rPr>
              <w:t>篇。其中，收录核心期刊</w:t>
            </w:r>
            <w:r>
              <w:rPr>
                <w:rFonts w:ascii="仿宋_GB2312" w:hAnsi="仿宋_GB2312" w:cs="仿宋_GB2312" w:eastAsia="仿宋_GB2312"/>
                <w:sz w:val="21"/>
              </w:rPr>
              <w:t>1970</w:t>
            </w:r>
            <w:r>
              <w:rPr>
                <w:rFonts w:ascii="仿宋_GB2312" w:hAnsi="仿宋_GB2312" w:cs="仿宋_GB2312" w:eastAsia="仿宋_GB2312"/>
                <w:sz w:val="21"/>
              </w:rPr>
              <w:t>余种。</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年计划出版期刊</w:t>
            </w:r>
            <w:r>
              <w:rPr>
                <w:rFonts w:ascii="仿宋_GB2312" w:hAnsi="仿宋_GB2312" w:cs="仿宋_GB2312" w:eastAsia="仿宋_GB2312"/>
                <w:sz w:val="21"/>
              </w:rPr>
              <w:t>6884</w:t>
            </w:r>
            <w:r>
              <w:rPr>
                <w:rFonts w:ascii="仿宋_GB2312" w:hAnsi="仿宋_GB2312" w:cs="仿宋_GB2312" w:eastAsia="仿宋_GB2312"/>
                <w:sz w:val="21"/>
              </w:rPr>
              <w:t>种，预计出版总文献量</w:t>
            </w:r>
            <w:r>
              <w:rPr>
                <w:rFonts w:ascii="仿宋_GB2312" w:hAnsi="仿宋_GB2312" w:cs="仿宋_GB2312" w:eastAsia="仿宋_GB2312"/>
                <w:sz w:val="21"/>
              </w:rPr>
              <w:t>1</w:t>
            </w:r>
            <w:r>
              <w:rPr>
                <w:rFonts w:ascii="仿宋_GB2312" w:hAnsi="仿宋_GB2312" w:cs="仿宋_GB2312" w:eastAsia="仿宋_GB2312"/>
                <w:sz w:val="21"/>
              </w:rPr>
              <w:t>65</w:t>
            </w:r>
            <w:r>
              <w:rPr>
                <w:rFonts w:ascii="仿宋_GB2312" w:hAnsi="仿宋_GB2312" w:cs="仿宋_GB2312" w:eastAsia="仿宋_GB2312"/>
                <w:sz w:val="21"/>
              </w:rPr>
              <w:t>万</w:t>
            </w:r>
            <w:r>
              <w:rPr>
                <w:rFonts w:ascii="仿宋_GB2312" w:hAnsi="仿宋_GB2312" w:cs="仿宋_GB2312" w:eastAsia="仿宋_GB2312"/>
                <w:sz w:val="21"/>
              </w:rPr>
              <w:t>余</w:t>
            </w:r>
            <w:r>
              <w:rPr>
                <w:rFonts w:ascii="仿宋_GB2312" w:hAnsi="仿宋_GB2312" w:cs="仿宋_GB2312" w:eastAsia="仿宋_GB2312"/>
                <w:sz w:val="21"/>
              </w:rPr>
              <w:t>篇。收录年限</w:t>
            </w:r>
            <w:r>
              <w:rPr>
                <w:rFonts w:ascii="仿宋_GB2312" w:hAnsi="仿宋_GB2312" w:cs="仿宋_GB2312" w:eastAsia="仿宋_GB2312"/>
                <w:sz w:val="21"/>
              </w:rPr>
              <w:t>1915</w:t>
            </w:r>
            <w:r>
              <w:rPr>
                <w:rFonts w:ascii="仿宋_GB2312" w:hAnsi="仿宋_GB2312" w:cs="仿宋_GB2312" w:eastAsia="仿宋_GB2312"/>
                <w:sz w:val="21"/>
              </w:rPr>
              <w:t>年至今（</w:t>
            </w:r>
            <w:r>
              <w:rPr>
                <w:rFonts w:ascii="仿宋_GB2312" w:hAnsi="仿宋_GB2312" w:cs="仿宋_GB2312" w:eastAsia="仿宋_GB2312"/>
                <w:sz w:val="21"/>
              </w:rPr>
              <w:t>4739</w:t>
            </w:r>
            <w:r>
              <w:rPr>
                <w:rFonts w:ascii="仿宋_GB2312" w:hAnsi="仿宋_GB2312" w:cs="仿宋_GB2312" w:eastAsia="仿宋_GB2312"/>
                <w:sz w:val="21"/>
              </w:rPr>
              <w:t>种期刊收录回溯至创刊）</w:t>
            </w:r>
            <w:r>
              <w:rPr>
                <w:rFonts w:ascii="仿宋_GB2312" w:hAnsi="仿宋_GB2312" w:cs="仿宋_GB2312" w:eastAsia="仿宋_GB2312"/>
                <w:sz w:val="21"/>
              </w:rPr>
              <w:t>。</w:t>
            </w:r>
            <w:r>
              <w:rPr>
                <w:rFonts w:ascii="仿宋_GB2312" w:hAnsi="仿宋_GB2312" w:cs="仿宋_GB2312" w:eastAsia="仿宋_GB2312"/>
                <w:sz w:val="21"/>
              </w:rPr>
              <w:t>期刊文献收录完整率</w:t>
            </w:r>
            <w:r>
              <w:rPr>
                <w:rFonts w:ascii="仿宋_GB2312" w:hAnsi="仿宋_GB2312" w:cs="仿宋_GB2312" w:eastAsia="仿宋_GB2312"/>
                <w:sz w:val="21"/>
              </w:rPr>
              <w:t>核心期刊、重要评价性数据库来源期刊完整率高于</w:t>
            </w:r>
            <w:r>
              <w:rPr>
                <w:rFonts w:ascii="仿宋_GB2312" w:hAnsi="仿宋_GB2312" w:cs="仿宋_GB2312" w:eastAsia="仿宋_GB2312"/>
                <w:sz w:val="21"/>
              </w:rPr>
              <w:t>9</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；文献期数收录完整率文献收录期数完整率高于</w:t>
            </w:r>
            <w:r>
              <w:rPr>
                <w:rFonts w:ascii="仿宋_GB2312" w:hAnsi="仿宋_GB2312" w:cs="仿宋_GB2312" w:eastAsia="仿宋_GB2312"/>
                <w:sz w:val="21"/>
              </w:rPr>
              <w:t>99</w:t>
            </w:r>
            <w:r>
              <w:rPr>
                <w:rFonts w:ascii="仿宋_GB2312" w:hAnsi="仿宋_GB2312" w:cs="仿宋_GB2312" w:eastAsia="仿宋_GB2312"/>
                <w:sz w:val="21"/>
              </w:rPr>
              <w:t>％。文献篇数收录完整率文献篇数收录完整率高于</w:t>
            </w:r>
            <w:r>
              <w:rPr>
                <w:rFonts w:ascii="仿宋_GB2312" w:hAnsi="仿宋_GB2312" w:cs="仿宋_GB2312" w:eastAsia="仿宋_GB2312"/>
                <w:sz w:val="21"/>
              </w:rPr>
              <w:t>99</w:t>
            </w:r>
            <w:r>
              <w:rPr>
                <w:rFonts w:ascii="仿宋_GB2312" w:hAnsi="仿宋_GB2312" w:cs="仿宋_GB2312" w:eastAsia="仿宋_GB2312"/>
                <w:sz w:val="21"/>
              </w:rPr>
              <w:t>％。出版时效网络数据实时更新。</w:t>
            </w:r>
            <w:r>
              <w:rPr>
                <w:rFonts w:ascii="仿宋_GB2312" w:hAnsi="仿宋_GB2312" w:cs="仿宋_GB2312" w:eastAsia="仿宋_GB2312"/>
                <w:sz w:val="21"/>
              </w:rPr>
              <w:t>网络首发的数字出版模式</w:t>
            </w:r>
            <w:r>
              <w:rPr>
                <w:rFonts w:ascii="仿宋_GB2312" w:hAnsi="仿宋_GB2312" w:cs="仿宋_GB2312" w:eastAsia="仿宋_GB2312"/>
                <w:sz w:val="21"/>
              </w:rPr>
              <w:t>平均提前</w:t>
            </w:r>
            <w:r>
              <w:rPr>
                <w:rFonts w:ascii="仿宋_GB2312" w:hAnsi="仿宋_GB2312" w:cs="仿宋_GB2312" w:eastAsia="仿宋_GB2312"/>
                <w:sz w:val="21"/>
              </w:rPr>
              <w:t>114</w:t>
            </w:r>
            <w:r>
              <w:rPr>
                <w:rFonts w:ascii="仿宋_GB2312" w:hAnsi="仿宋_GB2312" w:cs="仿宋_GB2312" w:eastAsia="仿宋_GB2312"/>
                <w:sz w:val="21"/>
              </w:rPr>
              <w:t>天与读者见面。</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资质及版权要求</w:t>
            </w:r>
          </w:p>
          <w:p>
            <w:pPr>
              <w:pStyle w:val="null3"/>
              <w:ind w:firstLine="482"/>
              <w:jc w:val="both"/>
            </w:pPr>
            <w:r>
              <w:rPr>
                <w:rFonts w:ascii="仿宋_GB2312" w:hAnsi="仿宋_GB2312" w:cs="仿宋_GB2312" w:eastAsia="仿宋_GB2312"/>
                <w:sz w:val="21"/>
              </w:rPr>
              <w:t>1</w:t>
            </w:r>
            <w:r>
              <w:rPr>
                <w:rFonts w:ascii="仿宋_GB2312" w:hAnsi="仿宋_GB2312" w:cs="仿宋_GB2312" w:eastAsia="仿宋_GB2312"/>
                <w:sz w:val="21"/>
              </w:rPr>
              <w:t>、供应商提供的所有资源必须为正版且彻底解决版权，数据来源合理合法，所有内容均为自有产品或者有销售该产品的合法授权。所提供数据不得是通过破解，盗窃他人数据等非法手段而来。保证</w:t>
            </w:r>
            <w:r>
              <w:rPr>
                <w:rFonts w:ascii="仿宋_GB2312" w:hAnsi="仿宋_GB2312" w:cs="仿宋_GB2312" w:eastAsia="仿宋_GB2312"/>
                <w:sz w:val="21"/>
              </w:rPr>
              <w:t>校方</w:t>
            </w:r>
            <w:r>
              <w:rPr>
                <w:rFonts w:ascii="仿宋_GB2312" w:hAnsi="仿宋_GB2312" w:cs="仿宋_GB2312" w:eastAsia="仿宋_GB2312"/>
                <w:sz w:val="21"/>
              </w:rPr>
              <w:t>今后电子资源的使用不受侵权问题的干扰。</w:t>
            </w:r>
          </w:p>
          <w:p>
            <w:pPr>
              <w:pStyle w:val="null3"/>
              <w:ind w:firstLine="482"/>
              <w:jc w:val="both"/>
            </w:pPr>
            <w:r>
              <w:rPr>
                <w:rFonts w:ascii="仿宋_GB2312" w:hAnsi="仿宋_GB2312" w:cs="仿宋_GB2312" w:eastAsia="仿宋_GB2312"/>
                <w:sz w:val="21"/>
              </w:rPr>
              <w:t>2</w:t>
            </w:r>
            <w:r>
              <w:rPr>
                <w:rFonts w:ascii="仿宋_GB2312" w:hAnsi="仿宋_GB2312" w:cs="仿宋_GB2312" w:eastAsia="仿宋_GB2312"/>
                <w:sz w:val="21"/>
              </w:rPr>
              <w:t>、供应商应提供的期刊资源须具备正式出版物标准刊号。</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、供应商能够保证</w:t>
            </w:r>
            <w:r>
              <w:rPr>
                <w:rFonts w:ascii="仿宋_GB2312" w:hAnsi="仿宋_GB2312" w:cs="仿宋_GB2312" w:eastAsia="仿宋_GB2312"/>
                <w:sz w:val="21"/>
              </w:rPr>
              <w:t>学校</w:t>
            </w:r>
            <w:r>
              <w:rPr>
                <w:rFonts w:ascii="仿宋_GB2312" w:hAnsi="仿宋_GB2312" w:cs="仿宋_GB2312" w:eastAsia="仿宋_GB2312"/>
                <w:sz w:val="21"/>
              </w:rPr>
              <w:t>对所购买的所有内容可以进行下载、打印、复制等操作。</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、供应商在陕西当地有售后服务机构或办事处，服务期限内能够提供免费的售后服务，包含但不限于数据安装、应用培训等售后服务。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、对于</w:t>
            </w:r>
            <w:r>
              <w:rPr>
                <w:rFonts w:ascii="仿宋_GB2312" w:hAnsi="仿宋_GB2312" w:cs="仿宋_GB2312" w:eastAsia="仿宋_GB2312"/>
                <w:sz w:val="21"/>
              </w:rPr>
              <w:t>学校</w:t>
            </w:r>
            <w:r>
              <w:rPr>
                <w:rFonts w:ascii="仿宋_GB2312" w:hAnsi="仿宋_GB2312" w:cs="仿宋_GB2312" w:eastAsia="仿宋_GB2312"/>
                <w:sz w:val="21"/>
              </w:rPr>
              <w:t>原因造成的产品使用故障，能够提供通过电话支持、网络服务等方式，协助用户排查解决，特殊情况下可派技术人员上门协助解决。对于产品本身原因造成的使用故障由公司负责免费排除。</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、使用出现故障时，工作时间内，网络服务、电话服务的响应时间小于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小时，需要上门解决时，能够在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小时内到达现场进行协调解决。</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、镜像数据丢失后，供应商能够免费提供数据丢失后的恢复服务</w:t>
            </w:r>
          </w:p>
          <w:p>
            <w:pPr>
              <w:pStyle w:val="null3"/>
              <w:jc w:val="both"/>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数据加工质量要求</w:t>
            </w:r>
          </w:p>
          <w:tbl>
            <w:tblPr>
              <w:tblBorders>
                <w:top w:val="none" w:color="000000" w:sz="4"/>
                <w:left w:val="none" w:color="000000" w:sz="4"/>
                <w:bottom w:val="none" w:color="000000" w:sz="4"/>
                <w:right w:val="none" w:color="000000" w:sz="4"/>
                <w:insideH w:val="none"/>
                <w:insideV w:val="none"/>
              </w:tblBorders>
            </w:tblPr>
            <w:tblGrid>
              <w:gridCol w:w="193"/>
              <w:gridCol w:w="121"/>
              <w:gridCol w:w="117"/>
              <w:gridCol w:w="117"/>
              <w:gridCol w:w="117"/>
              <w:gridCol w:w="117"/>
              <w:gridCol w:w="916"/>
              <w:gridCol w:w="845"/>
            </w:tblGrid>
            <w:tr>
              <w:tc>
                <w:tcPr>
                  <w:tcW w:type="dxa" w:w="1698"/>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指标</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资源加工</w:t>
                  </w: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著录</w:t>
                  </w:r>
                </w:p>
              </w:tc>
              <w:tc>
                <w:tcPr>
                  <w:tcW w:type="dxa" w:w="138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串域、漏标、多标等错误</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中文题名著录文字错误率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其他语种题名著录文字错误率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0.8‰</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中文摘要、英文摘要著录文字错误率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1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基金著录文字错误率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23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扫描版数据</w:t>
                  </w:r>
                </w:p>
              </w:tc>
              <w:tc>
                <w:tcPr>
                  <w:tcW w:type="dxa" w:w="11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篇名、作者文字错误率</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234"/>
                  <w:gridSpan w:val="2"/>
                  <w:vMerge/>
                  <w:tcBorders>
                    <w:top w:val="none" w:color="000000" w:sz="4"/>
                    <w:left w:val="single" w:color="000000" w:sz="4"/>
                    <w:bottom w:val="single" w:color="000000" w:sz="4"/>
                    <w:right w:val="single" w:color="000000" w:sz="4"/>
                  </w:tcBorders>
                </w:tcPr>
                <w:p/>
              </w:tc>
              <w:tc>
                <w:tcPr>
                  <w:tcW w:type="dxa" w:w="11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参考文献文字错误率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0.1%</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234"/>
                  <w:gridSpan w:val="2"/>
                  <w:vMerge/>
                  <w:tcBorders>
                    <w:top w:val="none" w:color="000000" w:sz="4"/>
                    <w:left w:val="single" w:color="000000" w:sz="4"/>
                    <w:bottom w:val="single" w:color="000000" w:sz="4"/>
                    <w:right w:val="single" w:color="000000" w:sz="4"/>
                  </w:tcBorders>
                </w:tcPr>
                <w:p/>
              </w:tc>
              <w:tc>
                <w:tcPr>
                  <w:tcW w:type="dxa" w:w="115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其他著录项文字错误率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r>
              <w:tc>
                <w:tcPr>
                  <w:tcW w:type="dxa" w:w="193"/>
                  <w:vMerge/>
                  <w:tcBorders>
                    <w:top w:val="none" w:color="000000" w:sz="4"/>
                    <w:left w:val="single" w:color="000000" w:sz="4"/>
                    <w:bottom w:val="single" w:color="000000" w:sz="4"/>
                    <w:right w:val="single" w:color="000000" w:sz="4"/>
                  </w:tcBorders>
                </w:tcPr>
                <w:p/>
              </w:tc>
              <w:tc>
                <w:tcPr>
                  <w:tcW w:type="dxa" w:w="1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标引</w:t>
                  </w:r>
                </w:p>
              </w:tc>
              <w:tc>
                <w:tcPr>
                  <w:tcW w:type="dxa" w:w="351"/>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主题词标引</w:t>
                  </w: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正确率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351"/>
                  <w:gridSpan w:val="3"/>
                  <w:vMerge/>
                  <w:tcBorders>
                    <w:top w:val="none" w:color="000000" w:sz="4"/>
                    <w:left w:val="single" w:color="000000" w:sz="4"/>
                    <w:bottom w:val="single" w:color="000000" w:sz="4"/>
                    <w:right w:val="single" w:color="000000" w:sz="4"/>
                  </w:tcBorders>
                </w:tcP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一致度</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351"/>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关键词标引</w:t>
                  </w: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正确率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351"/>
                  <w:gridSpan w:val="3"/>
                  <w:vMerge/>
                  <w:tcBorders>
                    <w:top w:val="none" w:color="000000" w:sz="4"/>
                    <w:left w:val="single" w:color="000000" w:sz="4"/>
                    <w:bottom w:val="single" w:color="000000" w:sz="4"/>
                    <w:right w:val="single" w:color="000000" w:sz="4"/>
                  </w:tcBorders>
                </w:tcP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一致度</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351"/>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中国图书馆分类法分类号</w:t>
                  </w: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标引正确率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121"/>
                  <w:vMerge/>
                  <w:tcBorders>
                    <w:top w:val="none" w:color="000000" w:sz="4"/>
                    <w:left w:val="single" w:color="000000" w:sz="4"/>
                    <w:bottom w:val="single" w:color="000000" w:sz="4"/>
                    <w:right w:val="single" w:color="000000" w:sz="4"/>
                  </w:tcBorders>
                </w:tcPr>
                <w:p/>
              </w:tc>
              <w:tc>
                <w:tcPr>
                  <w:tcW w:type="dxa" w:w="351"/>
                  <w:gridSpan w:val="3"/>
                  <w:vMerge/>
                  <w:tcBorders>
                    <w:top w:val="none" w:color="000000" w:sz="4"/>
                    <w:left w:val="single" w:color="000000" w:sz="4"/>
                    <w:bottom w:val="single" w:color="000000" w:sz="4"/>
                    <w:right w:val="single" w:color="000000" w:sz="4"/>
                  </w:tcBorders>
                </w:tcPr>
                <w:p/>
              </w:tc>
              <w:tc>
                <w:tcPr>
                  <w:tcW w:type="dxa" w:w="10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标引一致度</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193"/>
                  <w:vMerge/>
                  <w:tcBorders>
                    <w:top w:val="none" w:color="000000" w:sz="4"/>
                    <w:left w:val="single" w:color="000000" w:sz="4"/>
                    <w:bottom w:val="single" w:color="000000" w:sz="4"/>
                    <w:right w:val="single" w:color="000000" w:sz="4"/>
                  </w:tcBorders>
                </w:tcPr>
                <w:p/>
              </w:tc>
              <w:tc>
                <w:tcPr>
                  <w:tcW w:type="dxa" w:w="23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w:t>
                  </w:r>
                </w:p>
                <w:p>
                  <w:pPr>
                    <w:pStyle w:val="null3"/>
                    <w:jc w:val="center"/>
                  </w:pPr>
                  <w:r>
                    <w:rPr>
                      <w:rFonts w:ascii="仿宋_GB2312" w:hAnsi="仿宋_GB2312" w:cs="仿宋_GB2312" w:eastAsia="仿宋_GB2312"/>
                      <w:sz w:val="21"/>
                      <w:color w:val="000000"/>
                    </w:rPr>
                    <w:t>刷</w:t>
                  </w:r>
                </w:p>
                <w:p>
                  <w:pPr>
                    <w:pStyle w:val="null3"/>
                    <w:jc w:val="center"/>
                  </w:pPr>
                  <w:r>
                    <w:rPr>
                      <w:rFonts w:ascii="仿宋_GB2312" w:hAnsi="仿宋_GB2312" w:cs="仿宋_GB2312" w:eastAsia="仿宋_GB2312"/>
                      <w:sz w:val="21"/>
                      <w:color w:val="000000"/>
                    </w:rPr>
                    <w:t>版</w:t>
                  </w:r>
                </w:p>
                <w:p>
                  <w:pPr>
                    <w:pStyle w:val="null3"/>
                    <w:jc w:val="center"/>
                  </w:pPr>
                  <w:r>
                    <w:rPr>
                      <w:rFonts w:ascii="仿宋_GB2312" w:hAnsi="仿宋_GB2312" w:cs="仿宋_GB2312" w:eastAsia="仿宋_GB2312"/>
                      <w:sz w:val="21"/>
                      <w:color w:val="000000"/>
                    </w:rPr>
                    <w:t>全</w:t>
                  </w:r>
                </w:p>
                <w:p>
                  <w:pPr>
                    <w:pStyle w:val="null3"/>
                    <w:jc w:val="center"/>
                  </w:pPr>
                  <w:r>
                    <w:rPr>
                      <w:rFonts w:ascii="仿宋_GB2312" w:hAnsi="仿宋_GB2312" w:cs="仿宋_GB2312" w:eastAsia="仿宋_GB2312"/>
                      <w:sz w:val="21"/>
                      <w:color w:val="000000"/>
                    </w:rPr>
                    <w:t>文</w:t>
                  </w:r>
                </w:p>
              </w:tc>
              <w:tc>
                <w:tcPr>
                  <w:tcW w:type="dxa" w:w="126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文字与灰度图像扫描分辨率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300dpi</w:t>
                  </w:r>
                </w:p>
              </w:tc>
            </w:tr>
            <w:tr>
              <w:tc>
                <w:tcPr>
                  <w:tcW w:type="dxa" w:w="193"/>
                  <w:vMerge/>
                  <w:tcBorders>
                    <w:top w:val="none" w:color="000000" w:sz="4"/>
                    <w:left w:val="single" w:color="000000" w:sz="4"/>
                    <w:bottom w:val="single" w:color="000000" w:sz="4"/>
                    <w:right w:val="single" w:color="000000" w:sz="4"/>
                  </w:tcBorders>
                </w:tcPr>
                <w:p/>
              </w:tc>
              <w:tc>
                <w:tcPr>
                  <w:tcW w:type="dxa" w:w="238"/>
                  <w:gridSpan w:val="2"/>
                  <w:vMerge/>
                  <w:tcBorders>
                    <w:top w:val="none" w:color="000000" w:sz="4"/>
                    <w:left w:val="single" w:color="000000" w:sz="4"/>
                    <w:bottom w:val="single" w:color="000000" w:sz="4"/>
                    <w:right w:val="single" w:color="000000" w:sz="4"/>
                  </w:tcBorders>
                </w:tcPr>
                <w:p/>
              </w:tc>
              <w:tc>
                <w:tcPr>
                  <w:tcW w:type="dxa" w:w="126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彩色图像扫描分辨率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200dpi</w:t>
                  </w:r>
                </w:p>
              </w:tc>
            </w:tr>
            <w:tr>
              <w:tc>
                <w:tcPr>
                  <w:tcW w:type="dxa" w:w="193"/>
                  <w:vMerge/>
                  <w:tcBorders>
                    <w:top w:val="none" w:color="000000" w:sz="4"/>
                    <w:left w:val="single" w:color="000000" w:sz="4"/>
                    <w:bottom w:val="single" w:color="000000" w:sz="4"/>
                    <w:right w:val="single" w:color="000000" w:sz="4"/>
                  </w:tcBorders>
                </w:tcPr>
                <w:p/>
              </w:tc>
              <w:tc>
                <w:tcPr>
                  <w:tcW w:type="dxa" w:w="238"/>
                  <w:gridSpan w:val="2"/>
                  <w:vMerge/>
                  <w:tcBorders>
                    <w:top w:val="none" w:color="000000" w:sz="4"/>
                    <w:left w:val="single" w:color="000000" w:sz="4"/>
                    <w:bottom w:val="single" w:color="000000" w:sz="4"/>
                    <w:right w:val="single" w:color="000000" w:sz="4"/>
                  </w:tcBorders>
                </w:tcPr>
                <w:p/>
              </w:tc>
              <w:tc>
                <w:tcPr>
                  <w:tcW w:type="dxa" w:w="351"/>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图像打印</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文字和灰度图像</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300dpi</w:t>
                  </w:r>
                  <w:r>
                    <w:rPr>
                      <w:rFonts w:ascii="仿宋_GB2312" w:hAnsi="仿宋_GB2312" w:cs="仿宋_GB2312" w:eastAsia="仿宋_GB2312"/>
                      <w:sz w:val="21"/>
                      <w:color w:val="000000"/>
                    </w:rPr>
                    <w:t>的保真打印</w:t>
                  </w:r>
                </w:p>
              </w:tc>
            </w:tr>
            <w:tr>
              <w:tc>
                <w:tcPr>
                  <w:tcW w:type="dxa" w:w="193"/>
                  <w:vMerge/>
                  <w:tcBorders>
                    <w:top w:val="none" w:color="000000" w:sz="4"/>
                    <w:left w:val="single" w:color="000000" w:sz="4"/>
                    <w:bottom w:val="single" w:color="000000" w:sz="4"/>
                    <w:right w:val="single" w:color="000000" w:sz="4"/>
                  </w:tcBorders>
                </w:tcPr>
                <w:p/>
              </w:tc>
              <w:tc>
                <w:tcPr>
                  <w:tcW w:type="dxa" w:w="238"/>
                  <w:gridSpan w:val="2"/>
                  <w:vMerge/>
                  <w:tcBorders>
                    <w:top w:val="none" w:color="000000" w:sz="4"/>
                    <w:left w:val="single" w:color="000000" w:sz="4"/>
                    <w:bottom w:val="single" w:color="000000" w:sz="4"/>
                    <w:right w:val="single" w:color="000000" w:sz="4"/>
                  </w:tcBorders>
                </w:tcPr>
                <w:p/>
              </w:tc>
              <w:tc>
                <w:tcPr>
                  <w:tcW w:type="dxa" w:w="351"/>
                  <w:gridSpan w:val="3"/>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彩色图片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200dpi</w:t>
                  </w:r>
                  <w:r>
                    <w:rPr>
                      <w:rFonts w:ascii="仿宋_GB2312" w:hAnsi="仿宋_GB2312" w:cs="仿宋_GB2312" w:eastAsia="仿宋_GB2312"/>
                      <w:sz w:val="21"/>
                      <w:color w:val="000000"/>
                    </w:rPr>
                    <w:t>的保真打印</w:t>
                  </w:r>
                </w:p>
              </w:tc>
            </w:tr>
            <w:tr>
              <w:tc>
                <w:tcPr>
                  <w:tcW w:type="dxa" w:w="193"/>
                  <w:vMerge/>
                  <w:tcBorders>
                    <w:top w:val="none" w:color="000000" w:sz="4"/>
                    <w:left w:val="single" w:color="000000" w:sz="4"/>
                    <w:bottom w:val="single" w:color="000000" w:sz="4"/>
                    <w:right w:val="single" w:color="000000" w:sz="4"/>
                  </w:tcBorders>
                </w:tcPr>
                <w:p/>
              </w:tc>
              <w:tc>
                <w:tcPr>
                  <w:tcW w:type="dxa" w:w="238"/>
                  <w:gridSpan w:val="2"/>
                  <w:vMerge/>
                  <w:tcBorders>
                    <w:top w:val="none" w:color="000000" w:sz="4"/>
                    <w:left w:val="single" w:color="000000" w:sz="4"/>
                    <w:bottom w:val="single" w:color="000000" w:sz="4"/>
                    <w:right w:val="single" w:color="000000" w:sz="4"/>
                  </w:tcBorders>
                </w:tcPr>
                <w:p/>
              </w:tc>
              <w:tc>
                <w:tcPr>
                  <w:tcW w:type="dxa" w:w="126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页面错误率</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小于</w:t>
                  </w:r>
                  <w:r>
                    <w:rPr>
                      <w:rFonts w:ascii="仿宋_GB2312" w:hAnsi="仿宋_GB2312" w:cs="仿宋_GB2312" w:eastAsia="仿宋_GB2312"/>
                      <w:sz w:val="21"/>
                      <w:color w:val="000000"/>
                    </w:rPr>
                    <w:t>0.5‰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2025/11/08-2026/11/07</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合同签订后，待所有货物到达指定地点、安装调试完成并由学校验收合格后，凭供应商开具的全额增值税发票，30日内一次性付清合同款项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 施的政府采购项目的投标文件，同时，线下提交纸质投标文件正本壹份、副本壹份。 纸质投标文件正副本均需胶装， 若电子投标文件与纸质投标文件不一致的，以在线提交的电子投标文件为准；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单位信誉</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1供应商资格证明资料.docx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1供应商资格证明资料.docx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1、《财政部国家发展改革委关于印发〈节能产品政府采购实施意见〉的通知》（财库〔2004〕185号）；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4、《政府采购促进中小企业发展管理办法》（财库〔2020〕46号）； 5、《财政部 司法部关于政府采购支持监狱企业发展有关问题的通知》（财库〔2014〕68号）； 6、《三部门联合发布关于促进残疾人就业政府采购政策的通知》（财库〔2017〕141号）； 7、《财政部发展改革委 生态环境部 市场监管总局关于调整优化节能产品、环境标志产品政府采购执行机制的通知》（财库〔2019〕9号）； 8、《财政部 国务院扶贫办关于运用政府采购政策支持脱贫攻坚的通知》（财库〔2019〕27号）； 9、陕西省财政厅关于印发《陕西省中小企业政府采购信用融资办法》（陕财办采〔2018〕23号）。 10、《政府采购进口产品管理办法》(财库[2007]119号)及《关于政府采购进口产品管理有关问题的通知》（财办库[2008]248号）。 11、《财政部、农业农村部、国家乡村振兴局、中华全国供销合作总社关于印发&lt;关于深入开展政府采购脱贫地区农副产品工作推进乡村产业振兴的实施意见&gt;的通知》（财库〔2021〕20号）。 12、《财政部、农业农村部、国家乡村振兴局关于运用政府采购政策支持乡村产业振兴的通知》（财库〔2021〕19号）。 13、如有最新颁布的政府采购政策，按最新的文件执行。</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服务期和质保期</w:t>
            </w:r>
          </w:p>
        </w:tc>
        <w:tc>
          <w:tcPr>
            <w:tcW w:type="dxa" w:w="3322"/>
          </w:tcPr>
          <w:p>
            <w:pPr>
              <w:pStyle w:val="null3"/>
            </w:pPr>
            <w:r>
              <w:rPr>
                <w:rFonts w:ascii="仿宋_GB2312" w:hAnsi="仿宋_GB2312" w:cs="仿宋_GB2312" w:eastAsia="仿宋_GB2312"/>
              </w:rPr>
              <w:t>服务期、质保期是否满足单一来源文件要求</w:t>
            </w:r>
          </w:p>
        </w:tc>
        <w:tc>
          <w:tcPr>
            <w:tcW w:type="dxa" w:w="1661"/>
          </w:tcPr>
          <w:p>
            <w:pPr>
              <w:pStyle w:val="null3"/>
            </w:pPr>
            <w:r>
              <w:rPr>
                <w:rFonts w:ascii="仿宋_GB2312" w:hAnsi="仿宋_GB2312" w:cs="仿宋_GB2312" w:eastAsia="仿宋_GB2312"/>
              </w:rPr>
              <w:t>2商务和服务响应偏离表.docx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响应文件签字、盖章、装订是否满足单一来源文件要求</w:t>
            </w:r>
          </w:p>
        </w:tc>
        <w:tc>
          <w:tcPr>
            <w:tcW w:type="dxa" w:w="1661"/>
          </w:tcPr>
          <w:p>
            <w:pPr>
              <w:pStyle w:val="null3"/>
            </w:pPr>
            <w:r>
              <w:rPr>
                <w:rFonts w:ascii="仿宋_GB2312" w:hAnsi="仿宋_GB2312" w:cs="仿宋_GB2312" w:eastAsia="仿宋_GB2312"/>
              </w:rPr>
              <w:t>5供应商认为还需提供的其他材料.docx 1供应商资格证明资料.docx 2商务和服务响应偏离表.docx 标的清单 报价表 响应函 4供应商承诺书.docx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5供应商认为还需提供的其他材料.docx 1供应商资格证明资料.docx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2商务和服务响应偏离表.docx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3服务方案及承诺.docx 2商务和服务响应偏离表.docx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详见附件：1供应商资格证明资料.docx</w:t>
      </w:r>
    </w:p>
    <w:p>
      <w:pPr>
        <w:pStyle w:val="null3"/>
        <w:ind w:firstLine="960"/>
      </w:pPr>
      <w:r>
        <w:rPr>
          <w:rFonts w:ascii="仿宋_GB2312" w:hAnsi="仿宋_GB2312" w:cs="仿宋_GB2312" w:eastAsia="仿宋_GB2312"/>
        </w:rPr>
        <w:t>详见附件：2商务和服务响应偏离表.docx</w:t>
      </w:r>
    </w:p>
    <w:p>
      <w:pPr>
        <w:pStyle w:val="null3"/>
        <w:ind w:firstLine="960"/>
      </w:pPr>
      <w:r>
        <w:rPr>
          <w:rFonts w:ascii="仿宋_GB2312" w:hAnsi="仿宋_GB2312" w:cs="仿宋_GB2312" w:eastAsia="仿宋_GB2312"/>
        </w:rPr>
        <w:t>详见附件：3服务方案及承诺.docx</w:t>
      </w:r>
    </w:p>
    <w:p>
      <w:pPr>
        <w:pStyle w:val="null3"/>
        <w:ind w:firstLine="960"/>
      </w:pPr>
      <w:r>
        <w:rPr>
          <w:rFonts w:ascii="仿宋_GB2312" w:hAnsi="仿宋_GB2312" w:cs="仿宋_GB2312" w:eastAsia="仿宋_GB2312"/>
        </w:rPr>
        <w:t>详见附件：4供应商承诺书.docx</w:t>
      </w:r>
    </w:p>
    <w:p>
      <w:pPr>
        <w:pStyle w:val="null3"/>
        <w:ind w:firstLine="960"/>
      </w:pPr>
      <w:r>
        <w:rPr>
          <w:rFonts w:ascii="仿宋_GB2312" w:hAnsi="仿宋_GB2312" w:cs="仿宋_GB2312" w:eastAsia="仿宋_GB2312"/>
        </w:rPr>
        <w:t>详见附件：5供应商认为还需提供的其他材料.docx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