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899679">
      <w:pPr>
        <w:wordWrap w:val="0"/>
        <w:topLinePunct/>
        <w:spacing w:line="500" w:lineRule="exact"/>
        <w:jc w:val="center"/>
        <w:outlineLvl w:val="0"/>
        <w:rPr>
          <w:rFonts w:hint="eastAsia" w:ascii="宋体" w:hAnsi="宋体" w:cs="宋体"/>
          <w:b/>
          <w:bCs/>
          <w:highlight w:val="none"/>
          <w:u w:val="single"/>
        </w:rPr>
      </w:pPr>
      <w:r>
        <w:rPr>
          <w:rStyle w:val="9"/>
          <w:rFonts w:hint="eastAsia" w:ascii="黑体" w:hAnsi="黑体" w:eastAsia="黑体" w:cs="黑体"/>
          <w:sz w:val="32"/>
          <w:szCs w:val="32"/>
          <w:highlight w:val="none"/>
        </w:rPr>
        <w:t>拟签订合同文本</w:t>
      </w:r>
    </w:p>
    <w:p w14:paraId="085E5589">
      <w:pPr>
        <w:spacing w:line="360" w:lineRule="auto"/>
        <w:ind w:firstLine="481"/>
        <w:jc w:val="left"/>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14:paraId="26041760">
      <w:pPr>
        <w:spacing w:line="360" w:lineRule="auto"/>
        <w:ind w:firstLine="481"/>
        <w:jc w:val="left"/>
        <w:rPr>
          <w:rFonts w:ascii="黑体" w:hAnsi="??" w:eastAsia="黑体" w:cs="??"/>
          <w:b/>
          <w:sz w:val="22"/>
          <w:szCs w:val="20"/>
          <w:highlight w:val="none"/>
        </w:rPr>
      </w:pPr>
    </w:p>
    <w:p w14:paraId="060196F8">
      <w:pPr>
        <w:pStyle w:val="2"/>
        <w:jc w:val="left"/>
        <w:textAlignment w:val="baseline"/>
        <w:rPr>
          <w:rFonts w:hint="eastAsia" w:ascii="仿宋" w:hAnsi="仿宋" w:eastAsia="仿宋"/>
          <w:b w:val="0"/>
          <w:bCs w:val="0"/>
          <w:kern w:val="2"/>
          <w:szCs w:val="30"/>
          <w:highlight w:val="none"/>
        </w:rPr>
      </w:pPr>
      <w:r>
        <w:rPr>
          <w:rFonts w:hint="eastAsia" w:ascii="仿宋" w:hAnsi="仿宋" w:eastAsia="仿宋"/>
          <w:b w:val="0"/>
          <w:bCs w:val="0"/>
          <w:kern w:val="2"/>
          <w:szCs w:val="30"/>
          <w:highlight w:val="none"/>
        </w:rPr>
        <w:t xml:space="preserve">     合同编号：            </w:t>
      </w:r>
    </w:p>
    <w:p w14:paraId="06095A73">
      <w:pPr>
        <w:pStyle w:val="2"/>
        <w:textAlignment w:val="baseline"/>
        <w:rPr>
          <w:rFonts w:hint="eastAsia" w:ascii="仿宋" w:hAnsi="仿宋" w:eastAsia="仿宋"/>
          <w:bCs w:val="0"/>
          <w:kern w:val="2"/>
          <w:szCs w:val="30"/>
          <w:highlight w:val="none"/>
        </w:rPr>
      </w:pPr>
    </w:p>
    <w:p w14:paraId="2FDFA3A7">
      <w:pPr>
        <w:rPr>
          <w:highlight w:val="none"/>
        </w:rPr>
      </w:pPr>
    </w:p>
    <w:p w14:paraId="31960826">
      <w:pPr>
        <w:rPr>
          <w:highlight w:val="none"/>
        </w:rPr>
      </w:pPr>
    </w:p>
    <w:p w14:paraId="63C36269">
      <w:pPr>
        <w:rPr>
          <w:highlight w:val="none"/>
        </w:rPr>
      </w:pPr>
    </w:p>
    <w:p w14:paraId="59A3305B">
      <w:pPr>
        <w:jc w:val="center"/>
        <w:rPr>
          <w:rFonts w:hint="eastAsia" w:ascii="黑体" w:hAnsi="黑体" w:eastAsia="黑体"/>
          <w:b/>
          <w:sz w:val="32"/>
          <w:szCs w:val="32"/>
          <w:highlight w:val="none"/>
        </w:rPr>
      </w:pPr>
      <w:r>
        <w:rPr>
          <w:rFonts w:hint="eastAsia" w:ascii="黑体" w:hAnsi="黑体" w:eastAsia="黑体"/>
          <w:b/>
          <w:sz w:val="32"/>
          <w:szCs w:val="32"/>
          <w:highlight w:val="none"/>
        </w:rPr>
        <w:t>陕西铁路工程职业技术学院</w:t>
      </w:r>
    </w:p>
    <w:p w14:paraId="64830792">
      <w:pPr>
        <w:spacing w:line="360" w:lineRule="auto"/>
        <w:jc w:val="center"/>
        <w:textAlignment w:val="baseline"/>
        <w:rPr>
          <w:rFonts w:hint="eastAsia" w:ascii="黑体" w:hAnsi="黑体" w:eastAsia="黑体"/>
          <w:b/>
          <w:sz w:val="32"/>
          <w:szCs w:val="32"/>
          <w:highlight w:val="none"/>
        </w:rPr>
      </w:pPr>
      <w:r>
        <w:rPr>
          <w:rFonts w:hint="eastAsia" w:ascii="黑体" w:hAnsi="黑体" w:eastAsia="黑体"/>
          <w:b/>
          <w:sz w:val="32"/>
          <w:szCs w:val="32"/>
          <w:highlight w:val="none"/>
        </w:rPr>
        <w:t>2025年度职工补充医疗保险及意外伤害保险服务项目合同</w:t>
      </w:r>
    </w:p>
    <w:p w14:paraId="11C65731">
      <w:pPr>
        <w:pStyle w:val="3"/>
        <w:ind w:firstLine="602"/>
        <w:textAlignment w:val="baseline"/>
        <w:rPr>
          <w:rFonts w:hint="eastAsia" w:ascii="仿宋" w:hAnsi="仿宋" w:eastAsia="仿宋"/>
          <w:b/>
          <w:sz w:val="30"/>
          <w:szCs w:val="30"/>
          <w:highlight w:val="none"/>
        </w:rPr>
      </w:pPr>
    </w:p>
    <w:p w14:paraId="010B9C8A">
      <w:pPr>
        <w:pStyle w:val="3"/>
        <w:ind w:firstLine="602"/>
        <w:textAlignment w:val="baseline"/>
        <w:rPr>
          <w:rFonts w:hint="eastAsia" w:ascii="仿宋" w:hAnsi="仿宋" w:eastAsia="仿宋"/>
          <w:b/>
          <w:sz w:val="30"/>
          <w:szCs w:val="30"/>
          <w:highlight w:val="none"/>
        </w:rPr>
      </w:pPr>
    </w:p>
    <w:p w14:paraId="35811447">
      <w:pPr>
        <w:pStyle w:val="3"/>
        <w:ind w:firstLine="602"/>
        <w:textAlignment w:val="baseline"/>
        <w:rPr>
          <w:rFonts w:hint="eastAsia" w:ascii="仿宋" w:hAnsi="仿宋" w:eastAsia="仿宋"/>
          <w:b/>
          <w:sz w:val="30"/>
          <w:szCs w:val="30"/>
          <w:highlight w:val="none"/>
        </w:rPr>
      </w:pPr>
    </w:p>
    <w:p w14:paraId="33F3BFD6">
      <w:pPr>
        <w:pStyle w:val="3"/>
        <w:ind w:firstLine="602"/>
        <w:textAlignment w:val="baseline"/>
        <w:rPr>
          <w:rFonts w:hint="eastAsia" w:ascii="仿宋" w:hAnsi="仿宋" w:eastAsia="仿宋"/>
          <w:b/>
          <w:sz w:val="30"/>
          <w:szCs w:val="30"/>
          <w:highlight w:val="none"/>
        </w:rPr>
      </w:pPr>
    </w:p>
    <w:p w14:paraId="29134418">
      <w:pPr>
        <w:pStyle w:val="3"/>
        <w:ind w:firstLine="602"/>
        <w:textAlignment w:val="baseline"/>
        <w:rPr>
          <w:rFonts w:hint="eastAsia" w:ascii="仿宋" w:hAnsi="仿宋" w:eastAsia="仿宋"/>
          <w:b/>
          <w:sz w:val="30"/>
          <w:szCs w:val="30"/>
          <w:highlight w:val="none"/>
        </w:rPr>
      </w:pPr>
    </w:p>
    <w:p w14:paraId="63280DE8">
      <w:pPr>
        <w:pStyle w:val="3"/>
        <w:ind w:firstLine="602"/>
        <w:textAlignment w:val="baseline"/>
        <w:rPr>
          <w:rFonts w:hint="eastAsia" w:ascii="仿宋" w:hAnsi="仿宋" w:eastAsia="仿宋"/>
          <w:b/>
          <w:sz w:val="30"/>
          <w:szCs w:val="30"/>
          <w:highlight w:val="none"/>
        </w:rPr>
      </w:pPr>
    </w:p>
    <w:p w14:paraId="12AA582C">
      <w:pPr>
        <w:pStyle w:val="3"/>
        <w:ind w:firstLine="600"/>
        <w:textAlignment w:val="baseline"/>
        <w:rPr>
          <w:rFonts w:hint="eastAsia" w:ascii="仿宋" w:hAnsi="仿宋" w:eastAsia="仿宋" w:cstheme="minorEastAsia"/>
          <w:sz w:val="30"/>
          <w:szCs w:val="30"/>
          <w:highlight w:val="none"/>
        </w:rPr>
      </w:pPr>
      <w:r>
        <w:rPr>
          <w:rFonts w:hint="eastAsia" w:ascii="仿宋" w:hAnsi="仿宋" w:eastAsia="仿宋" w:cstheme="minorEastAsia"/>
          <w:sz w:val="30"/>
          <w:szCs w:val="30"/>
          <w:highlight w:val="none"/>
        </w:rPr>
        <w:t xml:space="preserve">甲 </w:t>
      </w:r>
      <w:r>
        <w:rPr>
          <w:rFonts w:ascii="仿宋" w:hAnsi="仿宋" w:eastAsia="仿宋" w:cstheme="minorEastAsia"/>
          <w:sz w:val="30"/>
          <w:szCs w:val="30"/>
          <w:highlight w:val="none"/>
        </w:rPr>
        <w:t xml:space="preserve">   </w:t>
      </w:r>
      <w:r>
        <w:rPr>
          <w:rFonts w:hint="eastAsia" w:ascii="仿宋" w:hAnsi="仿宋" w:eastAsia="仿宋" w:cstheme="minorEastAsia"/>
          <w:sz w:val="30"/>
          <w:szCs w:val="30"/>
          <w:highlight w:val="none"/>
        </w:rPr>
        <w:t>方：陕西铁路工程职业技术学院</w:t>
      </w:r>
    </w:p>
    <w:p w14:paraId="2C055020">
      <w:pPr>
        <w:pStyle w:val="3"/>
        <w:ind w:firstLine="600"/>
        <w:textAlignment w:val="baseline"/>
        <w:rPr>
          <w:rFonts w:hint="eastAsia" w:ascii="仿宋" w:hAnsi="仿宋" w:eastAsia="仿宋" w:cstheme="minorEastAsia"/>
          <w:sz w:val="30"/>
          <w:szCs w:val="30"/>
          <w:highlight w:val="none"/>
          <w:u w:val="single"/>
        </w:rPr>
      </w:pPr>
      <w:r>
        <w:rPr>
          <w:rFonts w:hint="eastAsia" w:ascii="仿宋" w:hAnsi="仿宋" w:eastAsia="仿宋" w:cstheme="minorEastAsia"/>
          <w:sz w:val="30"/>
          <w:szCs w:val="30"/>
          <w:highlight w:val="none"/>
        </w:rPr>
        <w:t xml:space="preserve">乙 </w:t>
      </w:r>
      <w:r>
        <w:rPr>
          <w:rFonts w:ascii="仿宋" w:hAnsi="仿宋" w:eastAsia="仿宋" w:cstheme="minorEastAsia"/>
          <w:sz w:val="30"/>
          <w:szCs w:val="30"/>
          <w:highlight w:val="none"/>
        </w:rPr>
        <w:t xml:space="preserve">   </w:t>
      </w:r>
      <w:r>
        <w:rPr>
          <w:rFonts w:hint="eastAsia" w:ascii="仿宋" w:hAnsi="仿宋" w:eastAsia="仿宋" w:cstheme="minorEastAsia"/>
          <w:sz w:val="30"/>
          <w:szCs w:val="30"/>
          <w:highlight w:val="none"/>
        </w:rPr>
        <w:t>方：</w:t>
      </w:r>
      <w:r>
        <w:rPr>
          <w:rFonts w:hint="eastAsia" w:ascii="仿宋" w:hAnsi="仿宋" w:eastAsia="仿宋" w:cstheme="minorEastAsia"/>
          <w:sz w:val="30"/>
          <w:szCs w:val="30"/>
          <w:highlight w:val="none"/>
          <w:u w:val="single"/>
        </w:rPr>
        <w:t xml:space="preserve">                     </w:t>
      </w:r>
    </w:p>
    <w:p w14:paraId="62DFA1AE">
      <w:pPr>
        <w:pStyle w:val="3"/>
        <w:ind w:firstLine="600"/>
        <w:textAlignment w:val="baseline"/>
        <w:rPr>
          <w:rFonts w:hint="eastAsia" w:ascii="仿宋" w:hAnsi="仿宋" w:eastAsia="仿宋" w:cstheme="minorEastAsia"/>
          <w:sz w:val="30"/>
          <w:szCs w:val="30"/>
          <w:highlight w:val="none"/>
        </w:rPr>
      </w:pPr>
      <w:r>
        <w:rPr>
          <w:rFonts w:hint="eastAsia" w:ascii="仿宋" w:hAnsi="仿宋" w:eastAsia="仿宋" w:cstheme="minorEastAsia"/>
          <w:sz w:val="30"/>
          <w:szCs w:val="30"/>
          <w:highlight w:val="none"/>
        </w:rPr>
        <w:t>签订时间：</w:t>
      </w:r>
      <w:r>
        <w:rPr>
          <w:rFonts w:hint="eastAsia" w:ascii="仿宋" w:hAnsi="仿宋" w:eastAsia="仿宋" w:cstheme="minorEastAsia"/>
          <w:sz w:val="30"/>
          <w:szCs w:val="30"/>
          <w:highlight w:val="none"/>
          <w:u w:val="single"/>
        </w:rPr>
        <w:t xml:space="preserve">                     </w:t>
      </w:r>
      <w:r>
        <w:rPr>
          <w:rFonts w:hint="eastAsia" w:ascii="仿宋" w:hAnsi="仿宋" w:eastAsia="仿宋" w:cstheme="minorEastAsia"/>
          <w:sz w:val="30"/>
          <w:szCs w:val="30"/>
          <w:highlight w:val="none"/>
        </w:rPr>
        <w:t xml:space="preserve">    </w:t>
      </w:r>
    </w:p>
    <w:p w14:paraId="384A8A0C">
      <w:pPr>
        <w:pStyle w:val="3"/>
        <w:ind w:firstLine="600"/>
        <w:textAlignment w:val="baseline"/>
        <w:rPr>
          <w:rFonts w:hint="eastAsia" w:ascii="仿宋" w:hAnsi="仿宋" w:eastAsia="仿宋" w:cstheme="minorEastAsia"/>
          <w:sz w:val="30"/>
          <w:szCs w:val="30"/>
          <w:highlight w:val="none"/>
        </w:rPr>
      </w:pPr>
      <w:r>
        <w:rPr>
          <w:rFonts w:hint="eastAsia" w:ascii="仿宋" w:hAnsi="仿宋" w:eastAsia="仿宋" w:cstheme="minorEastAsia"/>
          <w:sz w:val="30"/>
          <w:szCs w:val="30"/>
          <w:highlight w:val="none"/>
        </w:rPr>
        <w:t>签订地点：陕西省渭南市</w:t>
      </w:r>
    </w:p>
    <w:p w14:paraId="1E9EAF2D">
      <w:pPr>
        <w:pStyle w:val="3"/>
        <w:ind w:firstLine="600"/>
        <w:textAlignment w:val="baseline"/>
        <w:rPr>
          <w:rFonts w:hint="eastAsia" w:ascii="仿宋" w:hAnsi="仿宋" w:eastAsia="仿宋" w:cstheme="minorEastAsia"/>
          <w:sz w:val="30"/>
          <w:szCs w:val="30"/>
          <w:highlight w:val="none"/>
        </w:rPr>
      </w:pPr>
      <w:r>
        <w:rPr>
          <w:rFonts w:hint="eastAsia" w:ascii="仿宋" w:hAnsi="仿宋" w:eastAsia="仿宋" w:cstheme="minorEastAsia"/>
          <w:sz w:val="30"/>
          <w:szCs w:val="30"/>
          <w:highlight w:val="none"/>
        </w:rPr>
        <w:t>签订时间：</w:t>
      </w:r>
      <w:r>
        <w:rPr>
          <w:rFonts w:hint="eastAsia" w:ascii="仿宋" w:hAnsi="仿宋" w:eastAsia="仿宋" w:cstheme="minorEastAsia"/>
          <w:sz w:val="30"/>
          <w:szCs w:val="30"/>
          <w:highlight w:val="none"/>
          <w:u w:val="single"/>
        </w:rPr>
        <w:t xml:space="preserve">     </w:t>
      </w:r>
      <w:r>
        <w:rPr>
          <w:rFonts w:hint="eastAsia" w:ascii="仿宋" w:hAnsi="仿宋" w:eastAsia="仿宋" w:cstheme="minorEastAsia"/>
          <w:sz w:val="30"/>
          <w:szCs w:val="30"/>
          <w:highlight w:val="none"/>
        </w:rPr>
        <w:t>年</w:t>
      </w:r>
      <w:r>
        <w:rPr>
          <w:rFonts w:hint="eastAsia" w:ascii="仿宋" w:hAnsi="仿宋" w:eastAsia="仿宋" w:cstheme="minorEastAsia"/>
          <w:sz w:val="30"/>
          <w:szCs w:val="30"/>
          <w:highlight w:val="none"/>
          <w:u w:val="single"/>
        </w:rPr>
        <w:t xml:space="preserve">   </w:t>
      </w:r>
      <w:r>
        <w:rPr>
          <w:rFonts w:hint="eastAsia" w:ascii="仿宋" w:hAnsi="仿宋" w:eastAsia="仿宋" w:cstheme="minorEastAsia"/>
          <w:sz w:val="30"/>
          <w:szCs w:val="30"/>
          <w:highlight w:val="none"/>
        </w:rPr>
        <w:t>月</w:t>
      </w:r>
      <w:r>
        <w:rPr>
          <w:rFonts w:hint="eastAsia" w:ascii="仿宋" w:hAnsi="仿宋" w:eastAsia="仿宋" w:cstheme="minorEastAsia"/>
          <w:sz w:val="30"/>
          <w:szCs w:val="30"/>
          <w:highlight w:val="none"/>
          <w:u w:val="single"/>
        </w:rPr>
        <w:t xml:space="preserve">   </w:t>
      </w:r>
      <w:r>
        <w:rPr>
          <w:rFonts w:hint="eastAsia" w:ascii="仿宋" w:hAnsi="仿宋" w:eastAsia="仿宋" w:cstheme="minorEastAsia"/>
          <w:sz w:val="30"/>
          <w:szCs w:val="30"/>
          <w:highlight w:val="none"/>
        </w:rPr>
        <w:t xml:space="preserve">日 </w:t>
      </w:r>
      <w:r>
        <w:rPr>
          <w:rFonts w:hint="eastAsia" w:ascii="仿宋" w:hAnsi="仿宋" w:eastAsia="仿宋" w:cstheme="minorEastAsia"/>
          <w:sz w:val="30"/>
          <w:szCs w:val="30"/>
          <w:highlight w:val="none"/>
          <w:u w:val="single"/>
        </w:rPr>
        <w:t xml:space="preserve">               </w:t>
      </w:r>
      <w:r>
        <w:rPr>
          <w:rFonts w:hint="eastAsia" w:ascii="仿宋" w:hAnsi="仿宋" w:eastAsia="仿宋" w:cstheme="minorEastAsia"/>
          <w:sz w:val="30"/>
          <w:szCs w:val="30"/>
          <w:highlight w:val="none"/>
        </w:rPr>
        <w:t xml:space="preserve"> </w:t>
      </w:r>
    </w:p>
    <w:p w14:paraId="48B30965">
      <w:pPr>
        <w:spacing w:line="360" w:lineRule="auto"/>
        <w:textAlignment w:val="baseline"/>
        <w:rPr>
          <w:rFonts w:hint="eastAsia" w:ascii="宋体" w:hAnsi="宋体"/>
          <w:sz w:val="24"/>
          <w:highlight w:val="none"/>
        </w:rPr>
      </w:pPr>
    </w:p>
    <w:p w14:paraId="177C3C70">
      <w:pPr>
        <w:spacing w:line="360" w:lineRule="auto"/>
        <w:textAlignment w:val="baseline"/>
        <w:rPr>
          <w:rFonts w:hint="eastAsia" w:ascii="宋体" w:hAnsi="宋体"/>
          <w:sz w:val="24"/>
          <w:highlight w:val="none"/>
        </w:rPr>
      </w:pPr>
    </w:p>
    <w:p w14:paraId="142758E0">
      <w:pPr>
        <w:pStyle w:val="4"/>
        <w:rPr>
          <w:highlight w:val="none"/>
        </w:rPr>
      </w:pPr>
    </w:p>
    <w:p w14:paraId="44894817">
      <w:pPr>
        <w:spacing w:line="360" w:lineRule="auto"/>
        <w:textAlignment w:val="baseline"/>
        <w:rPr>
          <w:rFonts w:hint="eastAsia" w:ascii="宋体" w:hAnsi="宋体"/>
          <w:sz w:val="24"/>
          <w:highlight w:val="none"/>
        </w:rPr>
      </w:pPr>
    </w:p>
    <w:p w14:paraId="619F7577">
      <w:pPr>
        <w:jc w:val="center"/>
        <w:rPr>
          <w:rFonts w:hint="eastAsia" w:ascii="黑体" w:hAnsi="黑体" w:eastAsia="黑体"/>
          <w:b/>
          <w:sz w:val="32"/>
          <w:szCs w:val="32"/>
          <w:highlight w:val="none"/>
        </w:rPr>
      </w:pPr>
      <w:r>
        <w:rPr>
          <w:rFonts w:hint="eastAsia" w:ascii="黑体" w:hAnsi="黑体" w:eastAsia="黑体"/>
          <w:b/>
          <w:sz w:val="32"/>
          <w:szCs w:val="32"/>
          <w:highlight w:val="none"/>
        </w:rPr>
        <w:t>陕西铁路工程职业技术学院</w:t>
      </w:r>
    </w:p>
    <w:p w14:paraId="3D6A51A3">
      <w:pPr>
        <w:spacing w:line="360" w:lineRule="auto"/>
        <w:jc w:val="center"/>
        <w:textAlignment w:val="baseline"/>
        <w:rPr>
          <w:rFonts w:hint="eastAsia" w:ascii="宋体" w:hAnsi="宋体" w:cs="宋体"/>
          <w:b/>
          <w:bCs/>
          <w:sz w:val="24"/>
          <w:highlight w:val="none"/>
        </w:rPr>
      </w:pPr>
      <w:r>
        <w:rPr>
          <w:rFonts w:hint="eastAsia" w:ascii="黑体" w:hAnsi="黑体" w:eastAsia="黑体"/>
          <w:b/>
          <w:sz w:val="32"/>
          <w:szCs w:val="32"/>
          <w:highlight w:val="none"/>
        </w:rPr>
        <w:t>2025年度职工补充医疗保险及意外伤害保险服务项目合同</w:t>
      </w:r>
    </w:p>
    <w:p w14:paraId="32CABA46">
      <w:pPr>
        <w:kinsoku w:val="0"/>
        <w:spacing w:line="360" w:lineRule="auto"/>
        <w:ind w:firstLine="482" w:firstLineChars="200"/>
        <w:rPr>
          <w:rFonts w:hint="eastAsia" w:ascii="宋体" w:hAnsi="宋体" w:cs="宋体"/>
          <w:b/>
          <w:bCs/>
          <w:sz w:val="24"/>
          <w:highlight w:val="none"/>
        </w:rPr>
      </w:pPr>
    </w:p>
    <w:p w14:paraId="2658E407">
      <w:pPr>
        <w:kinsoku w:val="0"/>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甲方：陕西铁路工程职业技术学院</w:t>
      </w:r>
    </w:p>
    <w:p w14:paraId="3B3096CB">
      <w:pPr>
        <w:kinsoku w:val="0"/>
        <w:spacing w:line="360" w:lineRule="auto"/>
        <w:ind w:firstLine="482" w:firstLineChars="200"/>
        <w:rPr>
          <w:rFonts w:hint="eastAsia" w:ascii="宋体" w:hAnsi="宋体" w:cs="宋体"/>
          <w:sz w:val="24"/>
          <w:highlight w:val="none"/>
          <w:u w:val="single"/>
        </w:rPr>
      </w:pPr>
      <w:r>
        <w:rPr>
          <w:rFonts w:hint="eastAsia" w:ascii="宋体" w:hAnsi="宋体" w:cs="宋体"/>
          <w:b/>
          <w:bCs/>
          <w:sz w:val="24"/>
          <w:highlight w:val="none"/>
        </w:rPr>
        <w:t>乙方：</w:t>
      </w:r>
      <w:r>
        <w:rPr>
          <w:rFonts w:hint="eastAsia" w:ascii="宋体" w:hAnsi="宋体" w:cs="宋体"/>
          <w:b/>
          <w:bCs/>
          <w:sz w:val="24"/>
          <w:highlight w:val="none"/>
          <w:u w:val="single"/>
        </w:rPr>
        <w:t xml:space="preserve">                                 </w:t>
      </w:r>
    </w:p>
    <w:p w14:paraId="5215B0B4">
      <w:pPr>
        <w:spacing w:line="360" w:lineRule="auto"/>
        <w:ind w:firstLine="480" w:firstLineChars="200"/>
        <w:textAlignment w:val="baseline"/>
        <w:rPr>
          <w:rFonts w:hint="eastAsia" w:ascii="宋体" w:hAnsi="宋体" w:cs="宋体"/>
          <w:sz w:val="24"/>
          <w:highlight w:val="none"/>
        </w:rPr>
      </w:pPr>
      <w:r>
        <w:rPr>
          <w:rFonts w:hint="eastAsia" w:ascii="宋体" w:hAnsi="宋体" w:cs="宋体"/>
          <w:sz w:val="24"/>
          <w:highlight w:val="none"/>
        </w:rPr>
        <w:t>根据《中华人民共和国民法典》、《中华人民共和国保险法》、2025年度职工补充医疗保险及意外伤害保险服务项目招标文件、中标通知书以及其他相关法律、法规的有关规定，</w:t>
      </w:r>
      <w:r>
        <w:rPr>
          <w:rFonts w:hint="eastAsia" w:ascii="宋体" w:hAnsi="宋体" w:cs="宋体"/>
          <w:sz w:val="24"/>
          <w:highlight w:val="none"/>
          <w:u w:val="single"/>
        </w:rPr>
        <w:t>陕西铁路工程职业技术学院</w:t>
      </w:r>
      <w:r>
        <w:rPr>
          <w:rFonts w:hint="eastAsia" w:ascii="宋体" w:hAnsi="宋体" w:cs="宋体"/>
          <w:sz w:val="24"/>
          <w:highlight w:val="none"/>
        </w:rPr>
        <w:t>（以下简称甲方）与</w:t>
      </w:r>
      <w:r>
        <w:rPr>
          <w:rFonts w:hint="eastAsia" w:ascii="宋体" w:hAnsi="宋体" w:cs="宋体"/>
          <w:b/>
          <w:bCs/>
          <w:sz w:val="24"/>
          <w:highlight w:val="none"/>
          <w:u w:val="single"/>
        </w:rPr>
        <w:t xml:space="preserve">                           </w:t>
      </w:r>
      <w:r>
        <w:rPr>
          <w:rFonts w:hint="eastAsia" w:ascii="宋体" w:hAnsi="宋体" w:cs="宋体"/>
          <w:sz w:val="24"/>
          <w:highlight w:val="none"/>
        </w:rPr>
        <w:t>与乙方）达成如下协议。</w:t>
      </w:r>
    </w:p>
    <w:p w14:paraId="2528C3C2">
      <w:pPr>
        <w:pStyle w:val="3"/>
        <w:spacing w:line="360" w:lineRule="auto"/>
        <w:ind w:firstLine="482"/>
        <w:textAlignment w:val="baseline"/>
        <w:rPr>
          <w:rFonts w:hint="eastAsia" w:ascii="宋体" w:hAnsi="宋体" w:cs="宋体"/>
          <w:b/>
          <w:bCs/>
          <w:sz w:val="24"/>
          <w:szCs w:val="24"/>
          <w:highlight w:val="none"/>
        </w:rPr>
      </w:pPr>
      <w:r>
        <w:rPr>
          <w:rFonts w:hint="eastAsia" w:ascii="宋体" w:hAnsi="宋体" w:cs="宋体"/>
          <w:b/>
          <w:bCs/>
          <w:sz w:val="24"/>
          <w:szCs w:val="24"/>
          <w:highlight w:val="none"/>
        </w:rPr>
        <w:t>一、合同内容</w:t>
      </w:r>
    </w:p>
    <w:p w14:paraId="27EA9F34">
      <w:pPr>
        <w:pStyle w:val="3"/>
        <w:spacing w:line="360" w:lineRule="auto"/>
        <w:ind w:firstLine="482"/>
        <w:textAlignment w:val="baseline"/>
        <w:rPr>
          <w:rFonts w:hint="eastAsia" w:ascii="宋体" w:hAnsi="宋体" w:cs="宋体"/>
          <w:sz w:val="24"/>
          <w:szCs w:val="24"/>
          <w:highlight w:val="none"/>
        </w:rPr>
      </w:pPr>
      <w:r>
        <w:rPr>
          <w:rFonts w:hint="eastAsia" w:ascii="宋体" w:hAnsi="宋体" w:cs="宋体"/>
          <w:b/>
          <w:bCs/>
          <w:sz w:val="24"/>
          <w:szCs w:val="24"/>
          <w:highlight w:val="none"/>
        </w:rPr>
        <w:t>1、项目名称：2025年度职工补充医疗保险及意外伤害保险服务项目</w:t>
      </w:r>
    </w:p>
    <w:p w14:paraId="6EEA4A6E">
      <w:pPr>
        <w:pStyle w:val="3"/>
        <w:spacing w:line="360" w:lineRule="auto"/>
        <w:ind w:firstLine="482"/>
        <w:textAlignment w:val="baseline"/>
        <w:rPr>
          <w:rFonts w:hint="eastAsia" w:ascii="宋体" w:hAnsi="宋体" w:cs="宋体"/>
          <w:sz w:val="24"/>
          <w:szCs w:val="24"/>
          <w:highlight w:val="none"/>
        </w:rPr>
      </w:pPr>
      <w:r>
        <w:rPr>
          <w:rFonts w:hint="eastAsia" w:ascii="宋体" w:hAnsi="宋体" w:cs="宋体"/>
          <w:b/>
          <w:bCs/>
          <w:sz w:val="24"/>
          <w:szCs w:val="24"/>
          <w:highlight w:val="none"/>
        </w:rPr>
        <w:t>2、保险期限：</w:t>
      </w:r>
      <w:r>
        <w:rPr>
          <w:rFonts w:hint="eastAsia" w:ascii="宋体" w:hAnsi="宋体" w:cs="宋体"/>
          <w:sz w:val="24"/>
          <w:szCs w:val="24"/>
          <w:highlight w:val="none"/>
        </w:rPr>
        <w:t>2025年9月1日-2026年8月31日。发生时间在此期间的就诊、入院、结算及意外事件等案件均为理赔范围，保险服务直到所有理赔服务完成时截止。</w:t>
      </w:r>
    </w:p>
    <w:p w14:paraId="2D36552C">
      <w:pPr>
        <w:pStyle w:val="3"/>
        <w:spacing w:line="360" w:lineRule="auto"/>
        <w:ind w:firstLine="482"/>
        <w:textAlignment w:val="baseline"/>
        <w:rPr>
          <w:rFonts w:hint="eastAsia" w:ascii="宋体" w:hAnsi="宋体" w:cs="宋体"/>
          <w:sz w:val="24"/>
          <w:szCs w:val="24"/>
          <w:highlight w:val="none"/>
        </w:rPr>
      </w:pPr>
      <w:r>
        <w:rPr>
          <w:rFonts w:hint="eastAsia" w:ascii="宋体" w:hAnsi="宋体" w:cs="宋体"/>
          <w:b/>
          <w:bCs/>
          <w:sz w:val="24"/>
          <w:szCs w:val="24"/>
          <w:highlight w:val="none"/>
        </w:rPr>
        <w:t>3、服务区域：</w:t>
      </w:r>
      <w:r>
        <w:rPr>
          <w:rFonts w:hint="eastAsia" w:ascii="宋体" w:hAnsi="宋体" w:cs="宋体"/>
          <w:sz w:val="24"/>
          <w:szCs w:val="24"/>
          <w:highlight w:val="none"/>
        </w:rPr>
        <w:t>包括但不限于陕西省（就诊医院为全国范围内社保定点医疗机构）。</w:t>
      </w:r>
    </w:p>
    <w:p w14:paraId="186E5287">
      <w:pPr>
        <w:pStyle w:val="3"/>
        <w:spacing w:line="360" w:lineRule="auto"/>
        <w:ind w:firstLine="482"/>
        <w:textAlignment w:val="baseline"/>
        <w:rPr>
          <w:rFonts w:hint="eastAsia" w:ascii="宋体" w:hAnsi="宋体" w:cs="宋体"/>
          <w:sz w:val="24"/>
          <w:szCs w:val="24"/>
          <w:highlight w:val="none"/>
        </w:rPr>
      </w:pPr>
      <w:r>
        <w:rPr>
          <w:rFonts w:hint="eastAsia" w:ascii="宋体" w:hAnsi="宋体" w:cs="宋体"/>
          <w:b/>
          <w:bCs/>
          <w:sz w:val="24"/>
          <w:szCs w:val="24"/>
          <w:highlight w:val="none"/>
        </w:rPr>
        <w:t>4、被保险人：</w:t>
      </w:r>
      <w:r>
        <w:rPr>
          <w:rFonts w:hint="eastAsia" w:ascii="宋体" w:hAnsi="宋体" w:cs="宋体"/>
          <w:sz w:val="24"/>
          <w:szCs w:val="24"/>
          <w:highlight w:val="none"/>
        </w:rPr>
        <w:t>甲方在职职工和离退休人员，以甲方最终提供的人员清单为准。</w:t>
      </w:r>
    </w:p>
    <w:p w14:paraId="5B60BAD7">
      <w:pPr>
        <w:pStyle w:val="3"/>
        <w:spacing w:line="360" w:lineRule="auto"/>
        <w:ind w:firstLine="482"/>
        <w:textAlignment w:val="baseline"/>
        <w:rPr>
          <w:rFonts w:hint="eastAsia" w:ascii="宋体" w:hAnsi="宋体" w:cs="宋体"/>
          <w:b/>
          <w:bCs/>
          <w:sz w:val="24"/>
          <w:szCs w:val="24"/>
          <w:highlight w:val="none"/>
        </w:rPr>
      </w:pPr>
      <w:r>
        <w:rPr>
          <w:rFonts w:hint="eastAsia" w:ascii="宋体" w:hAnsi="宋体" w:cs="宋体"/>
          <w:b/>
          <w:bCs/>
          <w:sz w:val="24"/>
          <w:szCs w:val="24"/>
          <w:highlight w:val="none"/>
        </w:rPr>
        <w:t>5、保障内容及赔付标准：</w:t>
      </w:r>
    </w:p>
    <w:tbl>
      <w:tblPr>
        <w:tblStyle w:val="7"/>
        <w:tblW w:w="4999"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93"/>
        <w:gridCol w:w="8129"/>
      </w:tblGrid>
      <w:tr w14:paraId="671574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86" w:type="pct"/>
          </w:tcPr>
          <w:p w14:paraId="28ECB3FB">
            <w:pPr>
              <w:pStyle w:val="10"/>
              <w:rPr>
                <w:rFonts w:hint="default"/>
                <w:highlight w:val="none"/>
              </w:rPr>
            </w:pPr>
            <w:r>
              <w:rPr>
                <w:highlight w:val="none"/>
              </w:rPr>
              <w:t>序号</w:t>
            </w:r>
          </w:p>
        </w:tc>
        <w:tc>
          <w:tcPr>
            <w:tcW w:w="4713" w:type="pct"/>
          </w:tcPr>
          <w:p w14:paraId="1BC170EA">
            <w:pPr>
              <w:pStyle w:val="10"/>
              <w:jc w:val="center"/>
              <w:rPr>
                <w:rFonts w:hint="default"/>
                <w:highlight w:val="none"/>
              </w:rPr>
            </w:pPr>
            <w:r>
              <w:rPr>
                <w:highlight w:val="none"/>
              </w:rPr>
              <w:t>服务内容</w:t>
            </w:r>
          </w:p>
        </w:tc>
      </w:tr>
      <w:tr w14:paraId="7E4372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1340" w:hRule="atLeast"/>
        </w:trPr>
        <w:tc>
          <w:tcPr>
            <w:tcW w:w="286" w:type="pct"/>
          </w:tcPr>
          <w:p w14:paraId="3D228AB8">
            <w:pPr>
              <w:pStyle w:val="10"/>
              <w:rPr>
                <w:rFonts w:hint="default"/>
                <w:highlight w:val="none"/>
              </w:rPr>
            </w:pPr>
            <w:r>
              <w:rPr>
                <w:highlight w:val="none"/>
              </w:rPr>
              <w:t>1</w:t>
            </w:r>
          </w:p>
        </w:tc>
        <w:tc>
          <w:tcPr>
            <w:tcW w:w="4713" w:type="pct"/>
          </w:tcPr>
          <w:p w14:paraId="71308E3B">
            <w:pPr>
              <w:pStyle w:val="10"/>
              <w:ind w:firstLine="422"/>
              <w:jc w:val="both"/>
              <w:rPr>
                <w:rFonts w:hint="default"/>
                <w:highlight w:val="none"/>
                <w:lang w:eastAsia="zh-CN"/>
              </w:rPr>
            </w:pPr>
            <w:r>
              <w:rPr>
                <w:rFonts w:ascii="宋体" w:hAnsi="宋体" w:eastAsia="宋体" w:cs="宋体"/>
                <w:b/>
                <w:sz w:val="21"/>
                <w:highlight w:val="none"/>
              </w:rPr>
              <w:t>一、项目简介</w:t>
            </w:r>
          </w:p>
          <w:p w14:paraId="6ECD6205">
            <w:pPr>
              <w:pStyle w:val="10"/>
              <w:ind w:firstLine="420"/>
              <w:jc w:val="both"/>
              <w:rPr>
                <w:rFonts w:hint="default"/>
                <w:highlight w:val="none"/>
              </w:rPr>
            </w:pPr>
            <w:r>
              <w:rPr>
                <w:rFonts w:ascii="宋体" w:hAnsi="宋体" w:eastAsia="宋体" w:cs="宋体"/>
                <w:sz w:val="21"/>
                <w:highlight w:val="none"/>
              </w:rPr>
              <w:t>（一）保险期限：</w:t>
            </w:r>
            <w:r>
              <w:rPr>
                <w:rFonts w:ascii="times new roman, times, serif" w:hAnsi="times new roman, times, serif" w:eastAsia="宋体" w:cs="times new roman, times, serif"/>
                <w:sz w:val="21"/>
                <w:highlight w:val="none"/>
                <w:u w:val="single"/>
                <w:lang w:eastAsia="zh-CN"/>
              </w:rPr>
              <w:t>2025年9月1日-2026年8月31日</w:t>
            </w:r>
            <w:r>
              <w:rPr>
                <w:rFonts w:ascii="宋体" w:hAnsi="宋体" w:eastAsia="宋体" w:cs="宋体"/>
                <w:sz w:val="21"/>
                <w:highlight w:val="none"/>
              </w:rPr>
              <w:t>。发生时间在此期间的就诊、入院、结算及意外事件等案件均为理赔范围，保险服务直到所有理赔服务完成时截止。</w:t>
            </w:r>
          </w:p>
          <w:p w14:paraId="58364BEE">
            <w:pPr>
              <w:pStyle w:val="10"/>
              <w:ind w:firstLine="420"/>
              <w:jc w:val="both"/>
              <w:rPr>
                <w:rFonts w:hint="default"/>
                <w:highlight w:val="none"/>
              </w:rPr>
            </w:pPr>
            <w:r>
              <w:rPr>
                <w:rFonts w:ascii="宋体" w:hAnsi="宋体" w:eastAsia="宋体" w:cs="宋体"/>
                <w:sz w:val="21"/>
                <w:highlight w:val="none"/>
              </w:rPr>
              <w:t>（二）保险范围：被保险人范围包括学校正式在职职工、离退休职工，人数为</w:t>
            </w:r>
            <w:r>
              <w:rPr>
                <w:rFonts w:ascii="宋体" w:hAnsi="宋体" w:eastAsia="宋体" w:cs="宋体"/>
                <w:sz w:val="21"/>
                <w:highlight w:val="none"/>
                <w:u w:val="single"/>
                <w:lang w:eastAsia="zh-CN"/>
              </w:rPr>
              <w:t xml:space="preserve">    </w:t>
            </w:r>
            <w:r>
              <w:rPr>
                <w:rFonts w:ascii="宋体" w:hAnsi="宋体" w:eastAsia="宋体" w:cs="宋体"/>
                <w:sz w:val="21"/>
                <w:highlight w:val="none"/>
              </w:rPr>
              <w:t>人，具体以学校提供名单为准。</w:t>
            </w:r>
          </w:p>
          <w:p w14:paraId="360BDBE1">
            <w:pPr>
              <w:pStyle w:val="10"/>
              <w:ind w:firstLine="420"/>
              <w:jc w:val="both"/>
              <w:rPr>
                <w:rFonts w:ascii="宋体" w:hAnsi="宋体" w:eastAsia="宋体" w:cs="宋体"/>
                <w:sz w:val="21"/>
                <w:highlight w:val="none"/>
                <w:lang w:eastAsia="zh-CN"/>
              </w:rPr>
            </w:pPr>
            <w:r>
              <w:rPr>
                <w:rFonts w:ascii="宋体" w:hAnsi="宋体" w:eastAsia="宋体" w:cs="宋体"/>
                <w:sz w:val="21"/>
                <w:highlight w:val="none"/>
              </w:rPr>
              <w:t>（三）保险内容及保障细则：见下表</w:t>
            </w:r>
          </w:p>
          <w:tbl>
            <w:tblPr>
              <w:tblStyle w:val="7"/>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46"/>
              <w:gridCol w:w="1417"/>
              <w:gridCol w:w="3688"/>
              <w:gridCol w:w="2975"/>
            </w:tblGrid>
            <w:tr w14:paraId="06515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75"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7FFF0839">
                  <w:pPr>
                    <w:adjustRightInd w:val="0"/>
                    <w:snapToGrid w:val="0"/>
                    <w:jc w:val="center"/>
                    <w:rPr>
                      <w:rFonts w:hint="eastAsia" w:ascii="宋体" w:hAnsi="宋体" w:cs="宋体"/>
                      <w:b/>
                      <w:bCs/>
                      <w:highlight w:val="none"/>
                    </w:rPr>
                  </w:pPr>
                  <w:r>
                    <w:rPr>
                      <w:rFonts w:hint="eastAsia" w:ascii="宋体" w:hAnsi="宋体" w:cs="宋体"/>
                      <w:b/>
                      <w:bCs/>
                      <w:highlight w:val="none"/>
                    </w:rPr>
                    <w:t>序号</w:t>
                  </w:r>
                </w:p>
              </w:tc>
              <w:tc>
                <w:tcPr>
                  <w:tcW w:w="1417" w:type="dxa"/>
                  <w:tcBorders>
                    <w:top w:val="single" w:color="auto" w:sz="4" w:space="0"/>
                    <w:left w:val="single" w:color="auto" w:sz="4" w:space="0"/>
                    <w:bottom w:val="single" w:color="auto" w:sz="4" w:space="0"/>
                    <w:right w:val="single" w:color="auto" w:sz="4" w:space="0"/>
                  </w:tcBorders>
                  <w:vAlign w:val="center"/>
                </w:tcPr>
                <w:p w14:paraId="75EB6977">
                  <w:pPr>
                    <w:adjustRightInd w:val="0"/>
                    <w:snapToGrid w:val="0"/>
                    <w:jc w:val="center"/>
                    <w:rPr>
                      <w:rFonts w:hint="eastAsia" w:ascii="宋体" w:hAnsi="宋体" w:cs="宋体"/>
                      <w:b/>
                      <w:bCs/>
                      <w:highlight w:val="none"/>
                    </w:rPr>
                  </w:pPr>
                  <w:r>
                    <w:rPr>
                      <w:rFonts w:hint="eastAsia" w:ascii="宋体" w:hAnsi="宋体" w:cs="宋体"/>
                      <w:b/>
                      <w:bCs/>
                      <w:highlight w:val="none"/>
                    </w:rPr>
                    <w:t>项目</w:t>
                  </w:r>
                </w:p>
              </w:tc>
              <w:tc>
                <w:tcPr>
                  <w:tcW w:w="3688" w:type="dxa"/>
                  <w:tcBorders>
                    <w:top w:val="single" w:color="auto" w:sz="4" w:space="0"/>
                    <w:left w:val="single" w:color="auto" w:sz="4" w:space="0"/>
                    <w:bottom w:val="single" w:color="auto" w:sz="4" w:space="0"/>
                    <w:right w:val="single" w:color="auto" w:sz="4" w:space="0"/>
                  </w:tcBorders>
                  <w:vAlign w:val="center"/>
                </w:tcPr>
                <w:p w14:paraId="6339F6AF">
                  <w:pPr>
                    <w:adjustRightInd w:val="0"/>
                    <w:snapToGrid w:val="0"/>
                    <w:ind w:firstLine="422" w:firstLineChars="200"/>
                    <w:jc w:val="center"/>
                    <w:rPr>
                      <w:rFonts w:hint="eastAsia" w:ascii="宋体" w:hAnsi="宋体" w:cs="宋体"/>
                      <w:b/>
                      <w:bCs/>
                      <w:highlight w:val="none"/>
                    </w:rPr>
                  </w:pPr>
                  <w:r>
                    <w:rPr>
                      <w:rFonts w:hint="eastAsia" w:ascii="宋体" w:hAnsi="宋体" w:cs="宋体"/>
                      <w:b/>
                      <w:bCs/>
                      <w:highlight w:val="none"/>
                    </w:rPr>
                    <w:t>保障内容</w:t>
                  </w:r>
                </w:p>
              </w:tc>
              <w:tc>
                <w:tcPr>
                  <w:tcW w:w="2975" w:type="dxa"/>
                  <w:tcBorders>
                    <w:top w:val="single" w:color="auto" w:sz="4" w:space="0"/>
                    <w:left w:val="single" w:color="auto" w:sz="4" w:space="0"/>
                    <w:bottom w:val="single" w:color="auto" w:sz="4" w:space="0"/>
                    <w:right w:val="single" w:color="auto" w:sz="4" w:space="0"/>
                  </w:tcBorders>
                  <w:vAlign w:val="center"/>
                </w:tcPr>
                <w:p w14:paraId="41B98C8A">
                  <w:pPr>
                    <w:adjustRightInd w:val="0"/>
                    <w:snapToGrid w:val="0"/>
                    <w:ind w:firstLine="422" w:firstLineChars="200"/>
                    <w:jc w:val="center"/>
                    <w:rPr>
                      <w:rFonts w:hint="eastAsia" w:ascii="宋体" w:hAnsi="宋体" w:cs="宋体"/>
                      <w:b/>
                      <w:bCs/>
                      <w:highlight w:val="none"/>
                    </w:rPr>
                  </w:pPr>
                  <w:r>
                    <w:rPr>
                      <w:rFonts w:hint="eastAsia" w:ascii="宋体" w:hAnsi="宋体" w:cs="宋体"/>
                      <w:b/>
                      <w:bCs/>
                      <w:highlight w:val="none"/>
                    </w:rPr>
                    <w:t>赔付标准</w:t>
                  </w:r>
                </w:p>
              </w:tc>
            </w:tr>
            <w:tr w14:paraId="7695C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92"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78D19784">
                  <w:pPr>
                    <w:adjustRightInd w:val="0"/>
                    <w:snapToGrid w:val="0"/>
                    <w:jc w:val="center"/>
                    <w:rPr>
                      <w:rFonts w:hint="eastAsia" w:ascii="宋体" w:hAnsi="宋体" w:cs="宋体"/>
                      <w:highlight w:val="none"/>
                    </w:rPr>
                  </w:pPr>
                  <w:r>
                    <w:rPr>
                      <w:rFonts w:hint="eastAsia" w:ascii="宋体" w:hAnsi="宋体" w:cs="宋体"/>
                      <w:highlight w:val="none"/>
                    </w:rPr>
                    <w:t>1</w:t>
                  </w:r>
                </w:p>
              </w:tc>
              <w:tc>
                <w:tcPr>
                  <w:tcW w:w="1417" w:type="dxa"/>
                  <w:tcBorders>
                    <w:top w:val="single" w:color="auto" w:sz="4" w:space="0"/>
                    <w:left w:val="single" w:color="auto" w:sz="4" w:space="0"/>
                    <w:bottom w:val="single" w:color="auto" w:sz="4" w:space="0"/>
                    <w:right w:val="single" w:color="auto" w:sz="4" w:space="0"/>
                  </w:tcBorders>
                  <w:vAlign w:val="center"/>
                </w:tcPr>
                <w:p w14:paraId="1BAEAC13">
                  <w:pPr>
                    <w:adjustRightInd w:val="0"/>
                    <w:snapToGrid w:val="0"/>
                    <w:jc w:val="left"/>
                    <w:rPr>
                      <w:rFonts w:hint="eastAsia" w:ascii="宋体" w:hAnsi="宋体" w:cs="宋体"/>
                      <w:highlight w:val="none"/>
                    </w:rPr>
                  </w:pPr>
                  <w:r>
                    <w:rPr>
                      <w:rFonts w:hint="eastAsia" w:ascii="宋体" w:hAnsi="宋体" w:cs="宋体"/>
                      <w:highlight w:val="none"/>
                    </w:rPr>
                    <w:t>门诊医疗保险（含既往病）</w:t>
                  </w:r>
                </w:p>
              </w:tc>
              <w:tc>
                <w:tcPr>
                  <w:tcW w:w="3688" w:type="dxa"/>
                  <w:tcBorders>
                    <w:top w:val="single" w:color="auto" w:sz="4" w:space="0"/>
                    <w:left w:val="single" w:color="auto" w:sz="4" w:space="0"/>
                    <w:bottom w:val="single" w:color="auto" w:sz="4" w:space="0"/>
                    <w:right w:val="single" w:color="auto" w:sz="4" w:space="0"/>
                  </w:tcBorders>
                  <w:vAlign w:val="center"/>
                </w:tcPr>
                <w:p w14:paraId="170C17F7">
                  <w:pPr>
                    <w:adjustRightInd w:val="0"/>
                    <w:snapToGrid w:val="0"/>
                    <w:jc w:val="left"/>
                    <w:rPr>
                      <w:rFonts w:hint="eastAsia" w:ascii="宋体" w:hAnsi="宋体" w:cs="宋体"/>
                      <w:highlight w:val="none"/>
                    </w:rPr>
                  </w:pPr>
                  <w:r>
                    <w:rPr>
                      <w:rFonts w:hint="eastAsia" w:ascii="宋体" w:hAnsi="宋体" w:cs="宋体"/>
                      <w:highlight w:val="none"/>
                    </w:rPr>
                    <w:t>包含且不限于：</w:t>
                  </w:r>
                </w:p>
                <w:p w14:paraId="46002803">
                  <w:pPr>
                    <w:adjustRightInd w:val="0"/>
                    <w:snapToGrid w:val="0"/>
                    <w:jc w:val="left"/>
                    <w:rPr>
                      <w:rFonts w:hint="eastAsia" w:ascii="宋体" w:hAnsi="宋体" w:cs="宋体"/>
                      <w:highlight w:val="none"/>
                    </w:rPr>
                  </w:pPr>
                  <w:r>
                    <w:rPr>
                      <w:rFonts w:hint="eastAsia" w:ascii="宋体" w:hAnsi="宋体" w:cs="宋体"/>
                      <w:highlight w:val="none"/>
                    </w:rPr>
                    <w:t>普通门诊检查诊断与治疗；</w:t>
                  </w:r>
                </w:p>
                <w:p w14:paraId="0F0BC74C">
                  <w:pPr>
                    <w:adjustRightInd w:val="0"/>
                    <w:snapToGrid w:val="0"/>
                    <w:jc w:val="left"/>
                    <w:rPr>
                      <w:rFonts w:hint="eastAsia" w:ascii="宋体" w:hAnsi="宋体" w:cs="宋体"/>
                      <w:highlight w:val="none"/>
                    </w:rPr>
                  </w:pPr>
                  <w:r>
                    <w:rPr>
                      <w:rFonts w:hint="eastAsia" w:ascii="宋体" w:hAnsi="宋体" w:cs="宋体"/>
                      <w:highlight w:val="none"/>
                    </w:rPr>
                    <w:t>急诊门诊检查诊断与治疗；</w:t>
                  </w:r>
                </w:p>
                <w:p w14:paraId="51E957AB">
                  <w:pPr>
                    <w:adjustRightInd w:val="0"/>
                    <w:snapToGrid w:val="0"/>
                    <w:jc w:val="left"/>
                    <w:rPr>
                      <w:rFonts w:hint="eastAsia" w:ascii="宋体" w:hAnsi="宋体" w:cs="宋体"/>
                      <w:highlight w:val="none"/>
                    </w:rPr>
                  </w:pPr>
                  <w:r>
                    <w:rPr>
                      <w:rFonts w:hint="eastAsia" w:ascii="宋体" w:hAnsi="宋体" w:cs="宋体"/>
                      <w:highlight w:val="none"/>
                    </w:rPr>
                    <w:t>院前门诊检查诊断与治疗；</w:t>
                  </w:r>
                </w:p>
                <w:p w14:paraId="7FD529A3">
                  <w:pPr>
                    <w:adjustRightInd w:val="0"/>
                    <w:snapToGrid w:val="0"/>
                    <w:jc w:val="left"/>
                    <w:rPr>
                      <w:rFonts w:hint="eastAsia" w:ascii="宋体" w:hAnsi="宋体" w:cs="宋体"/>
                      <w:highlight w:val="none"/>
                    </w:rPr>
                  </w:pPr>
                  <w:r>
                    <w:rPr>
                      <w:rFonts w:hint="eastAsia" w:ascii="宋体" w:hAnsi="宋体" w:cs="宋体"/>
                      <w:highlight w:val="none"/>
                    </w:rPr>
                    <w:t>住院期间转外门诊检查诊断与治疗；</w:t>
                  </w:r>
                </w:p>
                <w:p w14:paraId="2FAB4F59">
                  <w:pPr>
                    <w:adjustRightInd w:val="0"/>
                    <w:snapToGrid w:val="0"/>
                    <w:jc w:val="left"/>
                    <w:rPr>
                      <w:rFonts w:hint="eastAsia" w:ascii="宋体" w:hAnsi="宋体" w:cs="宋体"/>
                      <w:highlight w:val="none"/>
                    </w:rPr>
                  </w:pPr>
                  <w:r>
                    <w:rPr>
                      <w:rFonts w:hint="eastAsia" w:ascii="宋体" w:hAnsi="宋体" w:cs="宋体"/>
                      <w:highlight w:val="none"/>
                    </w:rPr>
                    <w:t>慢病门诊检查诊断与治疗；</w:t>
                  </w:r>
                </w:p>
                <w:p w14:paraId="5A0FC9FE">
                  <w:pPr>
                    <w:adjustRightInd w:val="0"/>
                    <w:snapToGrid w:val="0"/>
                    <w:jc w:val="left"/>
                    <w:rPr>
                      <w:rFonts w:hint="eastAsia" w:ascii="宋体" w:hAnsi="宋体" w:eastAsia="宋体" w:cs="宋体"/>
                      <w:highlight w:val="none"/>
                      <w:lang w:eastAsia="zh-CN"/>
                    </w:rPr>
                  </w:pPr>
                  <w:r>
                    <w:rPr>
                      <w:rFonts w:hint="eastAsia" w:ascii="宋体" w:hAnsi="宋体" w:cs="宋体"/>
                      <w:highlight w:val="none"/>
                    </w:rPr>
                    <w:t>特病门诊检查诊断与治疗</w:t>
                  </w:r>
                  <w:r>
                    <w:rPr>
                      <w:rFonts w:hint="eastAsia" w:ascii="宋体" w:hAnsi="宋体" w:cs="宋体"/>
                      <w:highlight w:val="none"/>
                      <w:lang w:eastAsia="zh-CN"/>
                    </w:rPr>
                    <w:t>；</w:t>
                  </w:r>
                </w:p>
                <w:p w14:paraId="2F197652">
                  <w:pPr>
                    <w:adjustRightInd w:val="0"/>
                    <w:snapToGrid w:val="0"/>
                    <w:jc w:val="left"/>
                    <w:rPr>
                      <w:rFonts w:hint="eastAsia" w:ascii="宋体" w:hAnsi="宋体" w:eastAsia="宋体" w:cs="宋体"/>
                      <w:highlight w:val="none"/>
                      <w:lang w:val="en-US" w:eastAsia="zh-CN"/>
                    </w:rPr>
                  </w:pPr>
                  <w:r>
                    <w:rPr>
                      <w:rFonts w:hint="eastAsia" w:ascii="宋体" w:hAnsi="宋体" w:eastAsia="宋体" w:cs="宋体"/>
                      <w:highlight w:val="none"/>
                      <w:lang w:val="en-US" w:eastAsia="zh-CN"/>
                    </w:rPr>
                    <w:t>传染病门诊检查诊断与治疗。</w:t>
                  </w:r>
                </w:p>
              </w:tc>
              <w:tc>
                <w:tcPr>
                  <w:tcW w:w="2975" w:type="dxa"/>
                  <w:tcBorders>
                    <w:top w:val="single" w:color="auto" w:sz="4" w:space="0"/>
                    <w:left w:val="single" w:color="auto" w:sz="4" w:space="0"/>
                    <w:bottom w:val="single" w:color="auto" w:sz="4" w:space="0"/>
                    <w:right w:val="single" w:color="auto" w:sz="4" w:space="0"/>
                  </w:tcBorders>
                  <w:vAlign w:val="center"/>
                </w:tcPr>
                <w:p w14:paraId="2AC50C1C">
                  <w:pPr>
                    <w:adjustRightInd w:val="0"/>
                    <w:snapToGrid w:val="0"/>
                    <w:jc w:val="left"/>
                    <w:rPr>
                      <w:rFonts w:hint="eastAsia" w:ascii="宋体" w:hAnsi="宋体" w:cs="宋体"/>
                      <w:highlight w:val="none"/>
                    </w:rPr>
                  </w:pPr>
                  <w:r>
                    <w:rPr>
                      <w:rFonts w:hint="eastAsia" w:ascii="宋体" w:hAnsi="宋体" w:cs="宋体"/>
                      <w:highlight w:val="none"/>
                    </w:rPr>
                    <w:t>无免赔额；</w:t>
                  </w:r>
                </w:p>
                <w:p w14:paraId="646E6B28">
                  <w:pPr>
                    <w:adjustRightInd w:val="0"/>
                    <w:snapToGrid w:val="0"/>
                    <w:jc w:val="left"/>
                    <w:rPr>
                      <w:rFonts w:hint="eastAsia" w:ascii="宋体" w:hAnsi="宋体" w:cs="宋体"/>
                      <w:highlight w:val="none"/>
                    </w:rPr>
                  </w:pPr>
                  <w:r>
                    <w:rPr>
                      <w:rFonts w:hint="eastAsia" w:ascii="宋体" w:hAnsi="宋体" w:cs="宋体"/>
                      <w:highlight w:val="none"/>
                    </w:rPr>
                    <w:t>甲乙类药均无免赔额；</w:t>
                  </w:r>
                </w:p>
                <w:p w14:paraId="7B11C754">
                  <w:pPr>
                    <w:adjustRightInd w:val="0"/>
                    <w:snapToGrid w:val="0"/>
                    <w:jc w:val="left"/>
                    <w:rPr>
                      <w:rFonts w:hint="eastAsia" w:ascii="宋体" w:hAnsi="宋体" w:cs="宋体"/>
                      <w:highlight w:val="none"/>
                    </w:rPr>
                  </w:pPr>
                  <w:r>
                    <w:rPr>
                      <w:rFonts w:hint="eastAsia" w:ascii="宋体" w:hAnsi="宋体" w:cs="宋体"/>
                      <w:highlight w:val="none"/>
                    </w:rPr>
                    <w:t>赔付比例不低于90%；</w:t>
                  </w:r>
                </w:p>
                <w:p w14:paraId="7418CDA2">
                  <w:pPr>
                    <w:adjustRightInd w:val="0"/>
                    <w:snapToGrid w:val="0"/>
                    <w:jc w:val="left"/>
                    <w:rPr>
                      <w:rFonts w:hint="eastAsia" w:ascii="宋体" w:hAnsi="宋体" w:cs="宋体"/>
                      <w:highlight w:val="none"/>
                    </w:rPr>
                  </w:pPr>
                  <w:r>
                    <w:rPr>
                      <w:rFonts w:hint="eastAsia" w:ascii="宋体" w:hAnsi="宋体" w:cs="宋体"/>
                      <w:highlight w:val="none"/>
                    </w:rPr>
                    <w:t>个人年保额不低于8000元。</w:t>
                  </w:r>
                </w:p>
              </w:tc>
            </w:tr>
            <w:tr w14:paraId="6D990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40" w:hRule="atLeast"/>
                <w:tblHeader/>
                <w:jc w:val="center"/>
              </w:trPr>
              <w:tc>
                <w:tcPr>
                  <w:tcW w:w="846" w:type="dxa"/>
                  <w:vMerge w:val="restart"/>
                  <w:tcBorders>
                    <w:top w:val="single" w:color="auto" w:sz="4" w:space="0"/>
                    <w:left w:val="single" w:color="auto" w:sz="4" w:space="0"/>
                    <w:right w:val="single" w:color="auto" w:sz="4" w:space="0"/>
                  </w:tcBorders>
                  <w:vAlign w:val="center"/>
                </w:tcPr>
                <w:p w14:paraId="6A96A397">
                  <w:pPr>
                    <w:adjustRightInd w:val="0"/>
                    <w:snapToGrid w:val="0"/>
                    <w:jc w:val="center"/>
                    <w:rPr>
                      <w:rFonts w:hint="eastAsia" w:ascii="宋体" w:hAnsi="宋体" w:cs="宋体"/>
                      <w:highlight w:val="none"/>
                    </w:rPr>
                  </w:pPr>
                  <w:r>
                    <w:rPr>
                      <w:rFonts w:hint="eastAsia" w:ascii="宋体" w:hAnsi="宋体" w:cs="宋体"/>
                      <w:highlight w:val="none"/>
                    </w:rPr>
                    <w:t>2</w:t>
                  </w:r>
                </w:p>
              </w:tc>
              <w:tc>
                <w:tcPr>
                  <w:tcW w:w="1417" w:type="dxa"/>
                  <w:vMerge w:val="restart"/>
                  <w:tcBorders>
                    <w:top w:val="single" w:color="auto" w:sz="4" w:space="0"/>
                    <w:left w:val="single" w:color="auto" w:sz="4" w:space="0"/>
                    <w:right w:val="single" w:color="auto" w:sz="4" w:space="0"/>
                  </w:tcBorders>
                  <w:vAlign w:val="center"/>
                </w:tcPr>
                <w:p w14:paraId="300EB7B1">
                  <w:pPr>
                    <w:adjustRightInd w:val="0"/>
                    <w:snapToGrid w:val="0"/>
                    <w:jc w:val="left"/>
                    <w:rPr>
                      <w:rFonts w:hint="eastAsia" w:ascii="宋体" w:hAnsi="宋体" w:cs="宋体"/>
                      <w:highlight w:val="none"/>
                    </w:rPr>
                  </w:pPr>
                  <w:r>
                    <w:rPr>
                      <w:rFonts w:hint="eastAsia" w:ascii="宋体" w:hAnsi="宋体" w:cs="宋体"/>
                      <w:highlight w:val="none"/>
                    </w:rPr>
                    <w:t>住院补充医疗保险（含既往病）</w:t>
                  </w:r>
                </w:p>
              </w:tc>
              <w:tc>
                <w:tcPr>
                  <w:tcW w:w="3688" w:type="dxa"/>
                  <w:tcBorders>
                    <w:top w:val="single" w:color="auto" w:sz="4" w:space="0"/>
                    <w:left w:val="single" w:color="auto" w:sz="4" w:space="0"/>
                    <w:right w:val="single" w:color="auto" w:sz="4" w:space="0"/>
                  </w:tcBorders>
                  <w:vAlign w:val="center"/>
                </w:tcPr>
                <w:p w14:paraId="3FA9C0FD">
                  <w:pPr>
                    <w:adjustRightInd w:val="0"/>
                    <w:snapToGrid w:val="0"/>
                    <w:jc w:val="left"/>
                    <w:rPr>
                      <w:rFonts w:hint="eastAsia" w:ascii="宋体" w:hAnsi="宋体" w:cs="宋体"/>
                      <w:highlight w:val="none"/>
                    </w:rPr>
                  </w:pPr>
                  <w:r>
                    <w:rPr>
                      <w:rFonts w:hint="eastAsia" w:ascii="宋体" w:hAnsi="宋体" w:cs="宋体"/>
                      <w:highlight w:val="none"/>
                    </w:rPr>
                    <w:t>包含且不限于：住院产生的诊断、护理、床位、检查、治疗、医药等诊疗费用，无免赔额。</w:t>
                  </w:r>
                </w:p>
              </w:tc>
              <w:tc>
                <w:tcPr>
                  <w:tcW w:w="2975" w:type="dxa"/>
                  <w:tcBorders>
                    <w:top w:val="single" w:color="auto" w:sz="4" w:space="0"/>
                    <w:left w:val="single" w:color="auto" w:sz="4" w:space="0"/>
                    <w:bottom w:val="single" w:color="auto" w:sz="4" w:space="0"/>
                    <w:right w:val="single" w:color="auto" w:sz="4" w:space="0"/>
                  </w:tcBorders>
                  <w:vAlign w:val="center"/>
                </w:tcPr>
                <w:p w14:paraId="6E5D92E2">
                  <w:pPr>
                    <w:adjustRightInd w:val="0"/>
                    <w:snapToGrid w:val="0"/>
                    <w:jc w:val="left"/>
                    <w:rPr>
                      <w:rFonts w:hint="eastAsia" w:ascii="宋体" w:hAnsi="宋体" w:cs="宋体"/>
                      <w:highlight w:val="none"/>
                    </w:rPr>
                  </w:pPr>
                  <w:r>
                    <w:rPr>
                      <w:rFonts w:hint="eastAsia" w:ascii="宋体" w:hAnsi="宋体" w:cs="宋体"/>
                      <w:highlight w:val="none"/>
                    </w:rPr>
                    <w:t>无免赔额；</w:t>
                  </w:r>
                </w:p>
                <w:p w14:paraId="16D8D44D">
                  <w:pPr>
                    <w:adjustRightInd w:val="0"/>
                    <w:snapToGrid w:val="0"/>
                    <w:jc w:val="left"/>
                    <w:rPr>
                      <w:rFonts w:hint="eastAsia" w:ascii="宋体" w:hAnsi="宋体" w:cs="宋体"/>
                      <w:highlight w:val="none"/>
                    </w:rPr>
                  </w:pPr>
                  <w:r>
                    <w:rPr>
                      <w:rFonts w:hint="eastAsia" w:ascii="宋体" w:hAnsi="宋体" w:cs="宋体"/>
                      <w:highlight w:val="none"/>
                    </w:rPr>
                    <w:t>甲乙类药均无免赔额；</w:t>
                  </w:r>
                </w:p>
                <w:p w14:paraId="17554C8A">
                  <w:pPr>
                    <w:adjustRightInd w:val="0"/>
                    <w:snapToGrid w:val="0"/>
                    <w:jc w:val="left"/>
                    <w:rPr>
                      <w:rFonts w:hint="eastAsia" w:ascii="宋体" w:hAnsi="宋体" w:cs="宋体"/>
                      <w:highlight w:val="none"/>
                    </w:rPr>
                  </w:pPr>
                  <w:r>
                    <w:rPr>
                      <w:rFonts w:hint="eastAsia" w:ascii="宋体" w:hAnsi="宋体" w:cs="宋体"/>
                      <w:highlight w:val="none"/>
                    </w:rPr>
                    <w:t>赔付比例不低于90%</w:t>
                  </w:r>
                </w:p>
                <w:p w14:paraId="3E66174F">
                  <w:pPr>
                    <w:adjustRightInd w:val="0"/>
                    <w:snapToGrid w:val="0"/>
                    <w:jc w:val="left"/>
                    <w:rPr>
                      <w:rFonts w:hint="eastAsia" w:ascii="宋体" w:hAnsi="宋体" w:cs="宋体"/>
                      <w:highlight w:val="none"/>
                    </w:rPr>
                  </w:pPr>
                  <w:r>
                    <w:rPr>
                      <w:rFonts w:hint="eastAsia" w:ascii="宋体" w:hAnsi="宋体" w:cs="宋体"/>
                      <w:highlight w:val="none"/>
                    </w:rPr>
                    <w:t>个人年保额不低于</w:t>
                  </w:r>
                  <w:r>
                    <w:rPr>
                      <w:rFonts w:hint="eastAsia" w:ascii="宋体" w:hAnsi="宋体" w:cs="宋体"/>
                      <w:highlight w:val="none"/>
                      <w:u w:val="single"/>
                    </w:rPr>
                    <w:t xml:space="preserve"> 60000.00</w:t>
                  </w:r>
                  <w:r>
                    <w:rPr>
                      <w:rFonts w:hint="eastAsia" w:ascii="宋体" w:hAnsi="宋体" w:cs="宋体"/>
                      <w:highlight w:val="none"/>
                    </w:rPr>
                    <w:t xml:space="preserve">元 </w:t>
                  </w:r>
                </w:p>
              </w:tc>
            </w:tr>
            <w:tr w14:paraId="74776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atLeast"/>
                <w:tblHeader/>
                <w:jc w:val="center"/>
              </w:trPr>
              <w:tc>
                <w:tcPr>
                  <w:tcW w:w="846" w:type="dxa"/>
                  <w:vMerge w:val="continue"/>
                  <w:tcBorders>
                    <w:left w:val="single" w:color="auto" w:sz="4" w:space="0"/>
                    <w:bottom w:val="single" w:color="auto" w:sz="4" w:space="0"/>
                    <w:right w:val="single" w:color="auto" w:sz="4" w:space="0"/>
                  </w:tcBorders>
                  <w:vAlign w:val="center"/>
                </w:tcPr>
                <w:p w14:paraId="23E0B8DC">
                  <w:pPr>
                    <w:adjustRightInd w:val="0"/>
                    <w:snapToGrid w:val="0"/>
                    <w:jc w:val="center"/>
                    <w:rPr>
                      <w:rFonts w:hint="eastAsia" w:ascii="宋体" w:hAnsi="宋体" w:cs="宋体"/>
                      <w:highlight w:val="none"/>
                    </w:rPr>
                  </w:pPr>
                </w:p>
              </w:tc>
              <w:tc>
                <w:tcPr>
                  <w:tcW w:w="1417" w:type="dxa"/>
                  <w:vMerge w:val="continue"/>
                  <w:tcBorders>
                    <w:left w:val="single" w:color="auto" w:sz="4" w:space="0"/>
                    <w:bottom w:val="single" w:color="auto" w:sz="4" w:space="0"/>
                    <w:right w:val="single" w:color="auto" w:sz="4" w:space="0"/>
                  </w:tcBorders>
                  <w:vAlign w:val="center"/>
                </w:tcPr>
                <w:p w14:paraId="7F208531">
                  <w:pPr>
                    <w:adjustRightInd w:val="0"/>
                    <w:snapToGrid w:val="0"/>
                    <w:jc w:val="left"/>
                    <w:rPr>
                      <w:rFonts w:hint="eastAsia" w:ascii="宋体" w:hAnsi="宋体" w:cs="宋体"/>
                      <w:highlight w:val="none"/>
                    </w:rPr>
                  </w:pPr>
                </w:p>
              </w:tc>
              <w:tc>
                <w:tcPr>
                  <w:tcW w:w="3688" w:type="dxa"/>
                  <w:tcBorders>
                    <w:left w:val="single" w:color="auto" w:sz="4" w:space="0"/>
                    <w:bottom w:val="single" w:color="auto" w:sz="4" w:space="0"/>
                    <w:right w:val="single" w:color="auto" w:sz="4" w:space="0"/>
                  </w:tcBorders>
                  <w:vAlign w:val="center"/>
                </w:tcPr>
                <w:p w14:paraId="1DA2AEA0">
                  <w:pPr>
                    <w:adjustRightInd w:val="0"/>
                    <w:snapToGrid w:val="0"/>
                    <w:jc w:val="left"/>
                    <w:rPr>
                      <w:rFonts w:hint="eastAsia" w:ascii="宋体" w:hAnsi="宋体" w:cs="宋体"/>
                      <w:highlight w:val="none"/>
                    </w:rPr>
                  </w:pPr>
                  <w:r>
                    <w:rPr>
                      <w:rFonts w:hint="eastAsia" w:ascii="宋体" w:hAnsi="宋体" w:cs="宋体"/>
                      <w:highlight w:val="none"/>
                    </w:rPr>
                    <w:t>高额住院医疗保险责任</w:t>
                  </w:r>
                </w:p>
              </w:tc>
              <w:tc>
                <w:tcPr>
                  <w:tcW w:w="2975" w:type="dxa"/>
                  <w:tcBorders>
                    <w:top w:val="single" w:color="auto" w:sz="4" w:space="0"/>
                    <w:left w:val="single" w:color="auto" w:sz="4" w:space="0"/>
                    <w:bottom w:val="single" w:color="auto" w:sz="4" w:space="0"/>
                    <w:right w:val="single" w:color="auto" w:sz="4" w:space="0"/>
                  </w:tcBorders>
                  <w:vAlign w:val="center"/>
                </w:tcPr>
                <w:p w14:paraId="0511F37D">
                  <w:pPr>
                    <w:adjustRightInd w:val="0"/>
                    <w:snapToGrid w:val="0"/>
                    <w:jc w:val="left"/>
                    <w:rPr>
                      <w:rFonts w:hint="eastAsia" w:ascii="宋体" w:hAnsi="宋体" w:cs="宋体"/>
                      <w:highlight w:val="none"/>
                    </w:rPr>
                  </w:pPr>
                  <w:r>
                    <w:rPr>
                      <w:rFonts w:hint="eastAsia" w:ascii="宋体" w:hAnsi="宋体" w:cs="宋体"/>
                      <w:highlight w:val="none"/>
                    </w:rPr>
                    <w:t>甲乙类药均无免赔额；</w:t>
                  </w:r>
                </w:p>
                <w:p w14:paraId="1CB6C134">
                  <w:pPr>
                    <w:adjustRightInd w:val="0"/>
                    <w:snapToGrid w:val="0"/>
                    <w:jc w:val="left"/>
                    <w:rPr>
                      <w:rFonts w:hint="eastAsia" w:ascii="宋体" w:hAnsi="宋体" w:cs="宋体"/>
                      <w:highlight w:val="none"/>
                    </w:rPr>
                  </w:pPr>
                  <w:r>
                    <w:rPr>
                      <w:rFonts w:hint="eastAsia" w:ascii="宋体" w:hAnsi="宋体" w:cs="宋体"/>
                      <w:highlight w:val="none"/>
                    </w:rPr>
                    <w:t>赔付比例不低于90%</w:t>
                  </w:r>
                </w:p>
                <w:p w14:paraId="2A1EA39C">
                  <w:pPr>
                    <w:adjustRightInd w:val="0"/>
                    <w:snapToGrid w:val="0"/>
                    <w:jc w:val="left"/>
                    <w:rPr>
                      <w:rFonts w:hint="eastAsia" w:ascii="宋体" w:hAnsi="宋体" w:cs="宋体"/>
                      <w:highlight w:val="none"/>
                    </w:rPr>
                  </w:pPr>
                  <w:r>
                    <w:rPr>
                      <w:rFonts w:hint="eastAsia" w:ascii="宋体" w:hAnsi="宋体" w:cs="宋体"/>
                      <w:highlight w:val="none"/>
                    </w:rPr>
                    <w:t>保险额300000.00元</w:t>
                  </w:r>
                </w:p>
              </w:tc>
            </w:tr>
            <w:tr w14:paraId="6AF96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0"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23F46FA7">
                  <w:pPr>
                    <w:adjustRightInd w:val="0"/>
                    <w:snapToGrid w:val="0"/>
                    <w:jc w:val="center"/>
                    <w:rPr>
                      <w:rFonts w:hint="eastAsia" w:ascii="宋体" w:hAnsi="宋体" w:cs="宋体"/>
                      <w:highlight w:val="none"/>
                    </w:rPr>
                  </w:pPr>
                  <w:r>
                    <w:rPr>
                      <w:rFonts w:hint="eastAsia" w:ascii="宋体" w:hAnsi="宋体" w:cs="宋体"/>
                      <w:highlight w:val="none"/>
                    </w:rPr>
                    <w:t>3</w:t>
                  </w:r>
                </w:p>
              </w:tc>
              <w:tc>
                <w:tcPr>
                  <w:tcW w:w="1417" w:type="dxa"/>
                  <w:tcBorders>
                    <w:top w:val="single" w:color="auto" w:sz="4" w:space="0"/>
                    <w:left w:val="single" w:color="auto" w:sz="4" w:space="0"/>
                    <w:bottom w:val="single" w:color="auto" w:sz="4" w:space="0"/>
                    <w:right w:val="single" w:color="auto" w:sz="4" w:space="0"/>
                  </w:tcBorders>
                  <w:vAlign w:val="center"/>
                </w:tcPr>
                <w:p w14:paraId="736C2AD0">
                  <w:pPr>
                    <w:adjustRightInd w:val="0"/>
                    <w:snapToGrid w:val="0"/>
                    <w:jc w:val="left"/>
                    <w:rPr>
                      <w:rFonts w:hint="eastAsia" w:ascii="宋体" w:hAnsi="宋体" w:cs="宋体"/>
                      <w:highlight w:val="none"/>
                    </w:rPr>
                  </w:pPr>
                  <w:r>
                    <w:rPr>
                      <w:rFonts w:hint="eastAsia" w:ascii="宋体" w:hAnsi="宋体" w:cs="宋体"/>
                      <w:highlight w:val="none"/>
                    </w:rPr>
                    <w:t>住院津贴保险（含既往病）</w:t>
                  </w:r>
                </w:p>
              </w:tc>
              <w:tc>
                <w:tcPr>
                  <w:tcW w:w="3688" w:type="dxa"/>
                  <w:tcBorders>
                    <w:top w:val="single" w:color="auto" w:sz="4" w:space="0"/>
                    <w:left w:val="single" w:color="auto" w:sz="4" w:space="0"/>
                    <w:bottom w:val="single" w:color="auto" w:sz="4" w:space="0"/>
                    <w:right w:val="single" w:color="auto" w:sz="4" w:space="0"/>
                  </w:tcBorders>
                  <w:vAlign w:val="center"/>
                </w:tcPr>
                <w:p w14:paraId="17B362E7">
                  <w:pPr>
                    <w:adjustRightInd w:val="0"/>
                    <w:snapToGrid w:val="0"/>
                    <w:jc w:val="left"/>
                    <w:rPr>
                      <w:rFonts w:hint="eastAsia" w:ascii="宋体" w:hAnsi="宋体" w:cs="宋体"/>
                      <w:highlight w:val="none"/>
                    </w:rPr>
                  </w:pPr>
                  <w:r>
                    <w:rPr>
                      <w:rFonts w:hint="eastAsia" w:ascii="宋体" w:hAnsi="宋体" w:cs="宋体"/>
                      <w:highlight w:val="none"/>
                    </w:rPr>
                    <w:t>包含且不限于：因疾病住院；因意外伤害住院；因重症监护住院等情形。</w:t>
                  </w:r>
                </w:p>
              </w:tc>
              <w:tc>
                <w:tcPr>
                  <w:tcW w:w="2975" w:type="dxa"/>
                  <w:tcBorders>
                    <w:top w:val="single" w:color="auto" w:sz="4" w:space="0"/>
                    <w:left w:val="single" w:color="auto" w:sz="4" w:space="0"/>
                    <w:bottom w:val="single" w:color="auto" w:sz="4" w:space="0"/>
                    <w:right w:val="single" w:color="auto" w:sz="4" w:space="0"/>
                  </w:tcBorders>
                  <w:vAlign w:val="center"/>
                </w:tcPr>
                <w:p w14:paraId="57E5FCC7">
                  <w:pPr>
                    <w:adjustRightInd w:val="0"/>
                    <w:snapToGrid w:val="0"/>
                    <w:jc w:val="left"/>
                    <w:rPr>
                      <w:rFonts w:hint="eastAsia" w:ascii="宋体" w:hAnsi="宋体" w:cs="宋体"/>
                      <w:highlight w:val="none"/>
                    </w:rPr>
                  </w:pPr>
                  <w:r>
                    <w:rPr>
                      <w:rFonts w:hint="eastAsia" w:ascii="宋体" w:hAnsi="宋体" w:cs="宋体"/>
                      <w:highlight w:val="none"/>
                    </w:rPr>
                    <w:t>无免赔天数、无免赔额；</w:t>
                  </w:r>
                </w:p>
                <w:p w14:paraId="2D1F355C">
                  <w:pPr>
                    <w:adjustRightInd w:val="0"/>
                    <w:snapToGrid w:val="0"/>
                    <w:jc w:val="left"/>
                    <w:rPr>
                      <w:rFonts w:hint="eastAsia" w:ascii="宋体" w:hAnsi="宋体" w:cs="宋体"/>
                      <w:highlight w:val="none"/>
                    </w:rPr>
                  </w:pPr>
                  <w:r>
                    <w:rPr>
                      <w:rFonts w:hint="eastAsia" w:ascii="宋体" w:hAnsi="宋体" w:cs="宋体"/>
                      <w:highlight w:val="none"/>
                    </w:rPr>
                    <w:t>每日住院津贴不低于 200 元；</w:t>
                  </w:r>
                </w:p>
                <w:p w14:paraId="214EE6D0">
                  <w:pPr>
                    <w:adjustRightInd w:val="0"/>
                    <w:snapToGrid w:val="0"/>
                    <w:jc w:val="left"/>
                    <w:rPr>
                      <w:rFonts w:hint="eastAsia" w:ascii="宋体" w:hAnsi="宋体" w:cs="宋体"/>
                      <w:highlight w:val="none"/>
                    </w:rPr>
                  </w:pPr>
                  <w:r>
                    <w:rPr>
                      <w:rFonts w:hint="eastAsia" w:ascii="宋体" w:hAnsi="宋体" w:cs="宋体"/>
                      <w:highlight w:val="none"/>
                    </w:rPr>
                    <w:t>累计住院最高给付不低于 180 天。</w:t>
                  </w:r>
                </w:p>
              </w:tc>
            </w:tr>
            <w:tr w14:paraId="4C5BB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2"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7DA24CC2">
                  <w:pPr>
                    <w:adjustRightInd w:val="0"/>
                    <w:snapToGrid w:val="0"/>
                    <w:jc w:val="center"/>
                    <w:rPr>
                      <w:rFonts w:hint="eastAsia" w:ascii="宋体" w:hAnsi="宋体" w:cs="宋体"/>
                      <w:highlight w:val="none"/>
                    </w:rPr>
                  </w:pPr>
                  <w:r>
                    <w:rPr>
                      <w:rFonts w:hint="eastAsia" w:ascii="宋体" w:hAnsi="宋体" w:cs="宋体"/>
                      <w:highlight w:val="none"/>
                    </w:rPr>
                    <w:t>4</w:t>
                  </w:r>
                </w:p>
              </w:tc>
              <w:tc>
                <w:tcPr>
                  <w:tcW w:w="1417" w:type="dxa"/>
                  <w:tcBorders>
                    <w:top w:val="single" w:color="auto" w:sz="4" w:space="0"/>
                    <w:left w:val="single" w:color="auto" w:sz="4" w:space="0"/>
                    <w:bottom w:val="single" w:color="auto" w:sz="4" w:space="0"/>
                    <w:right w:val="single" w:color="auto" w:sz="4" w:space="0"/>
                  </w:tcBorders>
                  <w:vAlign w:val="center"/>
                </w:tcPr>
                <w:p w14:paraId="5667AFE0">
                  <w:pPr>
                    <w:adjustRightInd w:val="0"/>
                    <w:snapToGrid w:val="0"/>
                    <w:jc w:val="left"/>
                    <w:rPr>
                      <w:rFonts w:hint="eastAsia" w:ascii="宋体" w:hAnsi="宋体" w:cs="宋体"/>
                      <w:highlight w:val="none"/>
                    </w:rPr>
                  </w:pPr>
                  <w:r>
                    <w:rPr>
                      <w:rFonts w:hint="eastAsia" w:ascii="宋体" w:hAnsi="宋体" w:cs="宋体"/>
                      <w:highlight w:val="none"/>
                    </w:rPr>
                    <w:t>意外伤害医疗保险</w:t>
                  </w:r>
                </w:p>
              </w:tc>
              <w:tc>
                <w:tcPr>
                  <w:tcW w:w="3688" w:type="dxa"/>
                  <w:tcBorders>
                    <w:top w:val="single" w:color="auto" w:sz="4" w:space="0"/>
                    <w:left w:val="single" w:color="auto" w:sz="4" w:space="0"/>
                    <w:bottom w:val="single" w:color="auto" w:sz="4" w:space="0"/>
                    <w:right w:val="single" w:color="auto" w:sz="4" w:space="0"/>
                  </w:tcBorders>
                  <w:vAlign w:val="center"/>
                </w:tcPr>
                <w:p w14:paraId="62D318E3">
                  <w:pPr>
                    <w:adjustRightInd w:val="0"/>
                    <w:snapToGrid w:val="0"/>
                    <w:jc w:val="left"/>
                    <w:rPr>
                      <w:rFonts w:hint="eastAsia" w:ascii="宋体" w:hAnsi="宋体" w:cs="宋体"/>
                      <w:highlight w:val="none"/>
                    </w:rPr>
                  </w:pPr>
                  <w:r>
                    <w:rPr>
                      <w:rFonts w:hint="eastAsia" w:ascii="宋体" w:hAnsi="宋体" w:cs="宋体"/>
                      <w:highlight w:val="none"/>
                    </w:rPr>
                    <w:t>包括且不限于：因意外伤害致伤、致残；交通意外伤害等情形相关的医疗费用。</w:t>
                  </w:r>
                </w:p>
              </w:tc>
              <w:tc>
                <w:tcPr>
                  <w:tcW w:w="2975" w:type="dxa"/>
                  <w:tcBorders>
                    <w:top w:val="single" w:color="auto" w:sz="4" w:space="0"/>
                    <w:left w:val="single" w:color="auto" w:sz="4" w:space="0"/>
                    <w:bottom w:val="single" w:color="auto" w:sz="4" w:space="0"/>
                    <w:right w:val="single" w:color="auto" w:sz="4" w:space="0"/>
                  </w:tcBorders>
                  <w:vAlign w:val="center"/>
                </w:tcPr>
                <w:p w14:paraId="576EA79C">
                  <w:pPr>
                    <w:adjustRightInd w:val="0"/>
                    <w:snapToGrid w:val="0"/>
                    <w:jc w:val="left"/>
                    <w:rPr>
                      <w:rFonts w:hint="eastAsia" w:ascii="宋体" w:hAnsi="宋体" w:cs="宋体"/>
                      <w:highlight w:val="none"/>
                    </w:rPr>
                  </w:pPr>
                  <w:r>
                    <w:rPr>
                      <w:rFonts w:hint="eastAsia" w:ascii="宋体" w:hAnsi="宋体" w:cs="宋体"/>
                      <w:highlight w:val="none"/>
                    </w:rPr>
                    <w:t>经社保报销的，无免赔额,赔付比例不</w:t>
                  </w:r>
                  <w:r>
                    <w:rPr>
                      <w:rFonts w:hint="eastAsia" w:ascii="宋体" w:hAnsi="宋体" w:cs="宋体"/>
                      <w:highlight w:val="none"/>
                    </w:rPr>
                    <w:t>低于 90%:未经社保报销的,免赔额100 元/年，赔付比例不低</w:t>
                  </w:r>
                  <w:bookmarkStart w:id="1" w:name="_GoBack"/>
                  <w:bookmarkEnd w:id="1"/>
                  <w:r>
                    <w:rPr>
                      <w:rFonts w:hint="eastAsia" w:ascii="宋体" w:hAnsi="宋体" w:cs="宋体"/>
                      <w:highlight w:val="none"/>
                    </w:rPr>
                    <w:t>于 90%;保险金额不低于 10000.00 元。</w:t>
                  </w:r>
                </w:p>
                <w:p w14:paraId="4B210222">
                  <w:pPr>
                    <w:adjustRightInd w:val="0"/>
                    <w:snapToGrid w:val="0"/>
                    <w:jc w:val="left"/>
                    <w:rPr>
                      <w:rFonts w:hint="eastAsia" w:ascii="宋体" w:hAnsi="宋体" w:cs="宋体"/>
                      <w:highlight w:val="none"/>
                    </w:rPr>
                  </w:pPr>
                  <w:r>
                    <w:rPr>
                      <w:rFonts w:hint="eastAsia" w:ascii="宋体" w:hAnsi="宋体" w:cs="宋体"/>
                      <w:highlight w:val="none"/>
                      <w:u w:val="single"/>
                    </w:rPr>
                    <w:t>保险金额不低于 10000.00 元。</w:t>
                  </w:r>
                </w:p>
              </w:tc>
            </w:tr>
            <w:tr w14:paraId="7ECD3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30"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14:paraId="74E979F6">
                  <w:pPr>
                    <w:adjustRightInd w:val="0"/>
                    <w:snapToGrid w:val="0"/>
                    <w:jc w:val="center"/>
                    <w:rPr>
                      <w:rFonts w:hint="eastAsia" w:ascii="宋体" w:hAnsi="宋体" w:cs="宋体"/>
                      <w:highlight w:val="none"/>
                    </w:rPr>
                  </w:pPr>
                  <w:r>
                    <w:rPr>
                      <w:rFonts w:hint="eastAsia" w:ascii="宋体" w:hAnsi="宋体" w:cs="宋体"/>
                      <w:highlight w:val="none"/>
                    </w:rPr>
                    <w:t>5</w:t>
                  </w:r>
                </w:p>
              </w:tc>
              <w:tc>
                <w:tcPr>
                  <w:tcW w:w="1417" w:type="dxa"/>
                  <w:tcBorders>
                    <w:top w:val="single" w:color="auto" w:sz="4" w:space="0"/>
                    <w:left w:val="single" w:color="auto" w:sz="4" w:space="0"/>
                    <w:bottom w:val="single" w:color="auto" w:sz="4" w:space="0"/>
                    <w:right w:val="single" w:color="auto" w:sz="4" w:space="0"/>
                  </w:tcBorders>
                  <w:vAlign w:val="center"/>
                </w:tcPr>
                <w:p w14:paraId="3BF8BC9E">
                  <w:pPr>
                    <w:adjustRightInd w:val="0"/>
                    <w:snapToGrid w:val="0"/>
                    <w:jc w:val="left"/>
                    <w:rPr>
                      <w:rFonts w:hint="eastAsia" w:ascii="宋体" w:hAnsi="宋体" w:cs="宋体"/>
                      <w:highlight w:val="none"/>
                    </w:rPr>
                  </w:pPr>
                  <w:r>
                    <w:rPr>
                      <w:rFonts w:hint="eastAsia" w:ascii="宋体" w:hAnsi="宋体" w:cs="宋体"/>
                      <w:highlight w:val="none"/>
                    </w:rPr>
                    <w:t>意外伤害保险</w:t>
                  </w:r>
                </w:p>
              </w:tc>
              <w:tc>
                <w:tcPr>
                  <w:tcW w:w="3688" w:type="dxa"/>
                  <w:tcBorders>
                    <w:top w:val="single" w:color="auto" w:sz="4" w:space="0"/>
                    <w:left w:val="single" w:color="auto" w:sz="4" w:space="0"/>
                    <w:bottom w:val="single" w:color="auto" w:sz="4" w:space="0"/>
                    <w:right w:val="single" w:color="auto" w:sz="4" w:space="0"/>
                  </w:tcBorders>
                  <w:vAlign w:val="center"/>
                </w:tcPr>
                <w:p w14:paraId="5068C2C1">
                  <w:pPr>
                    <w:adjustRightInd w:val="0"/>
                    <w:snapToGrid w:val="0"/>
                    <w:jc w:val="left"/>
                    <w:rPr>
                      <w:rFonts w:hint="eastAsia" w:ascii="宋体" w:hAnsi="宋体" w:cs="宋体"/>
                      <w:highlight w:val="none"/>
                    </w:rPr>
                  </w:pPr>
                  <w:r>
                    <w:rPr>
                      <w:rFonts w:hint="eastAsia" w:ascii="宋体" w:hAnsi="宋体" w:cs="宋体"/>
                      <w:highlight w:val="none"/>
                    </w:rPr>
                    <w:t>包括且不限于：因意外伤害身故、伤残；交通意外伤害等情形的伤害保险</w:t>
                  </w:r>
                </w:p>
              </w:tc>
              <w:tc>
                <w:tcPr>
                  <w:tcW w:w="2975" w:type="dxa"/>
                  <w:tcBorders>
                    <w:top w:val="single" w:color="auto" w:sz="4" w:space="0"/>
                    <w:left w:val="single" w:color="auto" w:sz="4" w:space="0"/>
                    <w:bottom w:val="single" w:color="auto" w:sz="4" w:space="0"/>
                    <w:right w:val="single" w:color="auto" w:sz="4" w:space="0"/>
                  </w:tcBorders>
                  <w:vAlign w:val="center"/>
                </w:tcPr>
                <w:p w14:paraId="5E043948">
                  <w:pPr>
                    <w:adjustRightInd w:val="0"/>
                    <w:snapToGrid w:val="0"/>
                    <w:jc w:val="left"/>
                    <w:rPr>
                      <w:rFonts w:hint="eastAsia" w:ascii="宋体" w:hAnsi="宋体" w:cs="宋体"/>
                      <w:highlight w:val="none"/>
                    </w:rPr>
                  </w:pPr>
                  <w:r>
                    <w:rPr>
                      <w:rFonts w:hint="eastAsia" w:ascii="宋体" w:hAnsi="宋体" w:cs="宋体"/>
                      <w:highlight w:val="none"/>
                    </w:rPr>
                    <w:t>身故：一次性赔付50万元；</w:t>
                  </w:r>
                </w:p>
                <w:p w14:paraId="631670D2">
                  <w:pPr>
                    <w:adjustRightInd w:val="0"/>
                    <w:snapToGrid w:val="0"/>
                    <w:jc w:val="left"/>
                    <w:rPr>
                      <w:rFonts w:hint="eastAsia" w:ascii="宋体" w:hAnsi="宋体" w:cs="宋体"/>
                      <w:highlight w:val="none"/>
                    </w:rPr>
                  </w:pPr>
                  <w:r>
                    <w:rPr>
                      <w:rFonts w:hint="eastAsia" w:ascii="宋体" w:hAnsi="宋体" w:cs="宋体"/>
                      <w:highlight w:val="none"/>
                    </w:rPr>
                    <w:t>伤残：按评残等级比例给付。</w:t>
                  </w:r>
                </w:p>
                <w:p w14:paraId="6EF3172E">
                  <w:pPr>
                    <w:adjustRightInd w:val="0"/>
                    <w:snapToGrid w:val="0"/>
                    <w:jc w:val="left"/>
                    <w:rPr>
                      <w:rFonts w:hint="eastAsia" w:ascii="宋体" w:hAnsi="宋体" w:cs="宋体"/>
                      <w:highlight w:val="none"/>
                    </w:rPr>
                  </w:pPr>
                  <w:r>
                    <w:rPr>
                      <w:rFonts w:hint="eastAsia" w:ascii="宋体" w:hAnsi="宋体" w:cs="宋体"/>
                      <w:highlight w:val="none"/>
                    </w:rPr>
                    <w:t>保险金额 500000.00元/人/年。</w:t>
                  </w:r>
                </w:p>
              </w:tc>
            </w:tr>
          </w:tbl>
          <w:p w14:paraId="221CD123">
            <w:pPr>
              <w:pStyle w:val="10"/>
              <w:ind w:firstLine="420"/>
              <w:rPr>
                <w:rFonts w:hint="default"/>
                <w:highlight w:val="none"/>
                <w:lang w:eastAsia="zh-CN"/>
              </w:rPr>
            </w:pPr>
          </w:p>
          <w:p w14:paraId="468FF72B">
            <w:pPr>
              <w:pStyle w:val="10"/>
              <w:ind w:firstLine="420"/>
              <w:rPr>
                <w:rFonts w:hint="default"/>
                <w:highlight w:val="none"/>
                <w:lang w:eastAsia="zh-CN"/>
              </w:rPr>
            </w:pPr>
            <w:r>
              <w:rPr>
                <w:highlight w:val="none"/>
                <w:lang w:eastAsia="zh-CN"/>
              </w:rPr>
              <w:t>1门诊医疗保险：含既往症；包含且不限于普通门诊、急诊、院前、住院期间转外等情形的检查诊断与治疗，包含慢特病门诊保险</w:t>
            </w:r>
            <w:r>
              <w:rPr>
                <w:rFonts w:hint="eastAsia"/>
                <w:highlight w:val="none"/>
                <w:lang w:eastAsia="zh-CN"/>
              </w:rPr>
              <w:t>，</w:t>
            </w:r>
            <w:r>
              <w:rPr>
                <w:highlight w:val="none"/>
                <w:lang w:eastAsia="zh-CN"/>
              </w:rPr>
              <w:t>包含</w:t>
            </w:r>
            <w:r>
              <w:rPr>
                <w:rFonts w:hint="eastAsia" w:ascii="宋体" w:hAnsi="宋体" w:eastAsia="宋体" w:cs="宋体"/>
                <w:highlight w:val="none"/>
                <w:lang w:val="en-US" w:eastAsia="zh-CN"/>
              </w:rPr>
              <w:t>传染病门诊检查诊断与治疗；</w:t>
            </w:r>
            <w:r>
              <w:rPr>
                <w:highlight w:val="none"/>
                <w:lang w:eastAsia="zh-CN"/>
              </w:rPr>
              <w:t>门诊医保范围内的检查诊断与治疗费无免赔额，门诊所使用的医保范围内甲、乙类药物费用均无免赔额；</w:t>
            </w:r>
          </w:p>
          <w:p w14:paraId="1C0A0317">
            <w:pPr>
              <w:pStyle w:val="10"/>
              <w:ind w:firstLine="420"/>
              <w:rPr>
                <w:rFonts w:hint="default"/>
                <w:highlight w:val="none"/>
                <w:lang w:eastAsia="zh-CN"/>
              </w:rPr>
            </w:pPr>
            <w:r>
              <w:rPr>
                <w:highlight w:val="none"/>
                <w:lang w:eastAsia="zh-CN"/>
              </w:rPr>
              <w:t>2住院补充医疗保险：含既往病；包含且不限于住院产生的诊断、护理、床位、检查、治疗、医药等诊疗费用，医保范围内的检查诊断与治疗费无免赔额，所使用的医保范围内甲、乙类药物费用均无免赔额；</w:t>
            </w:r>
          </w:p>
          <w:p w14:paraId="4725545C">
            <w:pPr>
              <w:pStyle w:val="10"/>
              <w:ind w:firstLine="420"/>
              <w:rPr>
                <w:rFonts w:hint="default"/>
                <w:highlight w:val="none"/>
                <w:lang w:eastAsia="zh-CN"/>
              </w:rPr>
            </w:pPr>
            <w:r>
              <w:rPr>
                <w:highlight w:val="none"/>
                <w:lang w:eastAsia="zh-CN"/>
              </w:rPr>
              <w:t>3住院津贴保险（含既往病，包含且不限于：因疾病住院就诊、因意外伤害住院就诊、因重症监护住院等情形，无免赔天数、无免赔额）；</w:t>
            </w:r>
          </w:p>
          <w:p w14:paraId="7E222070">
            <w:pPr>
              <w:pStyle w:val="10"/>
              <w:ind w:firstLine="420"/>
              <w:jc w:val="both"/>
              <w:rPr>
                <w:rFonts w:hint="default"/>
                <w:highlight w:val="none"/>
                <w:lang w:eastAsia="zh-CN"/>
              </w:rPr>
            </w:pPr>
            <w:r>
              <w:rPr>
                <w:highlight w:val="none"/>
                <w:lang w:eastAsia="zh-CN"/>
              </w:rPr>
              <w:t>4意外伤害保险、意外伤害医疗保险（包括且不限于：因意外伤害身故、伤残，交通意外伤害等情形的伤害保险和相关的医疗费用，无免赔额）。</w:t>
            </w:r>
          </w:p>
        </w:tc>
      </w:tr>
      <w:tr w14:paraId="2E3B4A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86" w:type="pct"/>
          </w:tcPr>
          <w:p w14:paraId="7C973380">
            <w:pPr>
              <w:pStyle w:val="10"/>
              <w:rPr>
                <w:rFonts w:hint="default"/>
                <w:highlight w:val="none"/>
              </w:rPr>
            </w:pPr>
            <w:r>
              <w:rPr>
                <w:highlight w:val="none"/>
              </w:rPr>
              <w:t>2</w:t>
            </w:r>
          </w:p>
        </w:tc>
        <w:tc>
          <w:tcPr>
            <w:tcW w:w="4713" w:type="pct"/>
          </w:tcPr>
          <w:p w14:paraId="4F9FB567">
            <w:pPr>
              <w:pStyle w:val="10"/>
              <w:ind w:firstLine="420"/>
              <w:jc w:val="both"/>
              <w:rPr>
                <w:rFonts w:hint="default"/>
                <w:highlight w:val="none"/>
              </w:rPr>
            </w:pPr>
            <w:r>
              <w:rPr>
                <w:rFonts w:ascii="宋体" w:hAnsi="宋体" w:eastAsia="宋体" w:cs="宋体"/>
                <w:sz w:val="21"/>
                <w:highlight w:val="none"/>
              </w:rPr>
              <w:t>二、服务要求</w:t>
            </w:r>
          </w:p>
          <w:p w14:paraId="3CFF0CA8">
            <w:pPr>
              <w:pStyle w:val="10"/>
              <w:ind w:firstLine="420"/>
              <w:jc w:val="both"/>
              <w:rPr>
                <w:rFonts w:hint="default"/>
                <w:highlight w:val="none"/>
              </w:rPr>
            </w:pPr>
            <w:r>
              <w:rPr>
                <w:rFonts w:ascii="宋体" w:hAnsi="宋体" w:eastAsia="宋体" w:cs="宋体"/>
                <w:sz w:val="21"/>
                <w:highlight w:val="none"/>
              </w:rPr>
              <w:t>（一）特别说明</w:t>
            </w:r>
          </w:p>
          <w:p w14:paraId="1F955383">
            <w:pPr>
              <w:pStyle w:val="10"/>
              <w:ind w:firstLine="420"/>
              <w:jc w:val="both"/>
              <w:rPr>
                <w:rFonts w:hint="default"/>
                <w:highlight w:val="none"/>
              </w:rPr>
            </w:pPr>
            <w:r>
              <w:rPr>
                <w:rFonts w:hint="default"/>
                <w:highlight w:val="none"/>
              </w:rPr>
              <w:t>1.凡符合国家医保报销政策的疾病之门诊、住院治疗均在承保范围。</w:t>
            </w:r>
            <w:r>
              <w:rPr>
                <w:rFonts w:cs="Helvetica"/>
                <w:sz w:val="21"/>
                <w:szCs w:val="21"/>
                <w:highlight w:val="none"/>
              </w:rPr>
              <w:t>甲类、乙类药物均无免赔额。</w:t>
            </w:r>
          </w:p>
          <w:p w14:paraId="3EB19132">
            <w:pPr>
              <w:pStyle w:val="10"/>
              <w:ind w:firstLine="420"/>
              <w:jc w:val="both"/>
              <w:rPr>
                <w:rFonts w:hint="default"/>
                <w:highlight w:val="none"/>
              </w:rPr>
            </w:pPr>
            <w:r>
              <w:rPr>
                <w:rFonts w:hint="default"/>
                <w:highlight w:val="none"/>
              </w:rPr>
              <w:t>2.被保险人在全国范围内医保定点医疗机构就医、在全国范围内发生的意外事故的案件均为保险理赔范围。</w:t>
            </w:r>
          </w:p>
          <w:p w14:paraId="3D1C0561">
            <w:pPr>
              <w:pStyle w:val="10"/>
              <w:ind w:firstLine="420"/>
              <w:jc w:val="both"/>
              <w:rPr>
                <w:rFonts w:hint="default"/>
                <w:highlight w:val="none"/>
              </w:rPr>
            </w:pPr>
            <w:r>
              <w:rPr>
                <w:rFonts w:hint="default"/>
                <w:highlight w:val="none"/>
              </w:rPr>
              <w:t>3.投保方不提供被保险人体检报告和健康告知。</w:t>
            </w:r>
          </w:p>
          <w:p w14:paraId="77072863">
            <w:pPr>
              <w:pStyle w:val="10"/>
              <w:ind w:firstLine="420"/>
              <w:jc w:val="both"/>
              <w:rPr>
                <w:rFonts w:hint="default"/>
                <w:highlight w:val="none"/>
              </w:rPr>
            </w:pPr>
            <w:r>
              <w:rPr>
                <w:rFonts w:hint="default"/>
                <w:highlight w:val="none"/>
              </w:rPr>
              <w:t>4.提供线上理赔受理方式。</w:t>
            </w:r>
          </w:p>
          <w:p w14:paraId="68A5491C">
            <w:pPr>
              <w:pStyle w:val="10"/>
              <w:ind w:firstLine="420"/>
              <w:jc w:val="both"/>
              <w:rPr>
                <w:rFonts w:hint="default"/>
                <w:highlight w:val="none"/>
              </w:rPr>
            </w:pPr>
            <w:r>
              <w:rPr>
                <w:rFonts w:hint="default"/>
                <w:highlight w:val="none"/>
              </w:rPr>
              <w:t>5.简化理赔程序，供应方不得设置理赔资料清单外的资料拒赔或恶意提高赔付门槛。</w:t>
            </w:r>
          </w:p>
          <w:p w14:paraId="27F2ADC9">
            <w:pPr>
              <w:pStyle w:val="10"/>
              <w:ind w:firstLine="420"/>
              <w:jc w:val="both"/>
              <w:rPr>
                <w:rFonts w:hint="default"/>
                <w:highlight w:val="none"/>
              </w:rPr>
            </w:pPr>
            <w:r>
              <w:rPr>
                <w:rFonts w:hint="default"/>
                <w:highlight w:val="none"/>
              </w:rPr>
              <w:t>6.理赔资料清单：</w:t>
            </w:r>
          </w:p>
          <w:p w14:paraId="2401C01A">
            <w:pPr>
              <w:pStyle w:val="10"/>
              <w:ind w:firstLine="420"/>
              <w:jc w:val="both"/>
              <w:rPr>
                <w:rFonts w:hint="default"/>
                <w:highlight w:val="none"/>
              </w:rPr>
            </w:pPr>
            <w:r>
              <w:rPr>
                <w:rFonts w:hint="default"/>
                <w:highlight w:val="none"/>
              </w:rPr>
              <w:t>（1）门诊（含因病或意外伤害）理赔资料清单“诊断证明、病历、医疗发票、领款人银行账号”，</w:t>
            </w:r>
          </w:p>
          <w:p w14:paraId="7233753E">
            <w:pPr>
              <w:pStyle w:val="10"/>
              <w:ind w:firstLine="420"/>
              <w:jc w:val="both"/>
              <w:rPr>
                <w:rFonts w:hint="default"/>
                <w:highlight w:val="none"/>
              </w:rPr>
            </w:pPr>
            <w:r>
              <w:rPr>
                <w:rFonts w:hint="default"/>
                <w:highlight w:val="none"/>
              </w:rPr>
              <w:t>（2）住院（含因病或意外伤害）理赔资料清单“诊断证明、病历、医疗发票、领款人银行账号”</w:t>
            </w:r>
          </w:p>
          <w:p w14:paraId="3B25B686">
            <w:pPr>
              <w:pStyle w:val="10"/>
              <w:ind w:firstLine="420"/>
              <w:jc w:val="both"/>
              <w:rPr>
                <w:rFonts w:hint="default"/>
                <w:highlight w:val="none"/>
              </w:rPr>
            </w:pPr>
            <w:r>
              <w:rPr>
                <w:rFonts w:hint="default"/>
                <w:highlight w:val="none"/>
              </w:rPr>
              <w:t>（3）残疾（含因病或意外）理赔资料清单“诊断证明、病历、医疗发票、伤残鉴定报告或证明、领款人银行账号”</w:t>
            </w:r>
          </w:p>
          <w:p w14:paraId="30D7F4D8">
            <w:pPr>
              <w:pStyle w:val="10"/>
              <w:ind w:firstLine="420"/>
              <w:jc w:val="both"/>
              <w:rPr>
                <w:rFonts w:hint="default"/>
                <w:highlight w:val="none"/>
              </w:rPr>
            </w:pPr>
            <w:r>
              <w:rPr>
                <w:rFonts w:hint="default"/>
                <w:highlight w:val="none"/>
              </w:rPr>
              <w:t>（4）死亡（含因病或意外）理赔资料清单“诊断证明、病历、医疗发票、死亡证明、领款人银行账号”</w:t>
            </w:r>
          </w:p>
          <w:p w14:paraId="67D8C4DA">
            <w:pPr>
              <w:pStyle w:val="10"/>
              <w:ind w:firstLine="420"/>
              <w:jc w:val="both"/>
              <w:rPr>
                <w:rFonts w:hint="default"/>
                <w:highlight w:val="none"/>
              </w:rPr>
            </w:pPr>
            <w:r>
              <w:rPr>
                <w:rFonts w:ascii="宋体" w:hAnsi="宋体" w:eastAsia="宋体" w:cs="宋体"/>
                <w:sz w:val="21"/>
                <w:highlight w:val="none"/>
              </w:rPr>
              <w:t>（二）服务要求</w:t>
            </w:r>
          </w:p>
          <w:p w14:paraId="0204DCDB">
            <w:pPr>
              <w:pStyle w:val="10"/>
              <w:ind w:firstLine="420"/>
              <w:jc w:val="both"/>
              <w:rPr>
                <w:rFonts w:hint="default"/>
                <w:highlight w:val="none"/>
                <w:lang w:eastAsia="zh-CN"/>
              </w:rPr>
            </w:pPr>
            <w:r>
              <w:rPr>
                <w:rFonts w:hint="default"/>
                <w:highlight w:val="none"/>
                <w:lang w:eastAsia="zh-CN"/>
              </w:rPr>
              <w:t>1.服务团队应有至少1名主管领导负责本项目实施，应设专人与校方联系对接具体事宜，应有专门的服务保障团队，并向被保险人告知保险理赔人员、投诉人员的联系方式。</w:t>
            </w:r>
          </w:p>
          <w:p w14:paraId="0F996220">
            <w:pPr>
              <w:pStyle w:val="10"/>
              <w:ind w:firstLine="420"/>
              <w:jc w:val="both"/>
              <w:rPr>
                <w:rFonts w:hint="default"/>
                <w:highlight w:val="none"/>
                <w:lang w:eastAsia="zh-CN"/>
              </w:rPr>
            </w:pPr>
            <w:r>
              <w:rPr>
                <w:rFonts w:hint="default"/>
                <w:highlight w:val="none"/>
                <w:lang w:eastAsia="zh-CN"/>
              </w:rPr>
              <w:t>2.供应商应在收到甲方投保材料后5个工作日内，完成投保及服务流程设置，确保按时赔付。</w:t>
            </w:r>
          </w:p>
          <w:p w14:paraId="0A5631AF">
            <w:pPr>
              <w:pStyle w:val="10"/>
              <w:ind w:firstLine="420"/>
              <w:jc w:val="both"/>
              <w:rPr>
                <w:rFonts w:hint="default"/>
                <w:highlight w:val="none"/>
                <w:lang w:eastAsia="zh-CN"/>
              </w:rPr>
            </w:pPr>
            <w:r>
              <w:rPr>
                <w:rFonts w:hint="default"/>
                <w:highlight w:val="none"/>
                <w:lang w:eastAsia="zh-CN"/>
              </w:rPr>
              <w:t>3.服务期内，校方新增加人员均可作为被保险人参加本保险，新增加教职工人员在保期间按参保天数收取保费。</w:t>
            </w:r>
          </w:p>
          <w:p w14:paraId="27BCB8B4">
            <w:pPr>
              <w:pStyle w:val="10"/>
              <w:ind w:firstLine="420"/>
              <w:jc w:val="both"/>
              <w:rPr>
                <w:rFonts w:hint="default"/>
                <w:highlight w:val="none"/>
                <w:lang w:eastAsia="zh-CN"/>
              </w:rPr>
            </w:pPr>
            <w:r>
              <w:rPr>
                <w:rFonts w:hint="default"/>
                <w:highlight w:val="none"/>
                <w:lang w:eastAsia="zh-CN"/>
              </w:rPr>
              <w:t>4.一般正常案件应在5个工作日内理赔结案、理赔款到账</w:t>
            </w:r>
            <w:r>
              <w:rPr>
                <w:rFonts w:hint="default"/>
                <w:highlight w:val="none"/>
                <w:lang w:eastAsia="zh-CN"/>
              </w:rPr>
              <w:t>。对案件及材料有异议的，应在接到报案材料2个工作日内向报案人和甲方联系人通报情况，共同商定理赔时限。未在约定时间内理赔、拒赔案件应向报案人和甲方送达书面说明或拒赔通知。</w:t>
            </w:r>
          </w:p>
          <w:p w14:paraId="0E0698BA">
            <w:pPr>
              <w:pStyle w:val="10"/>
              <w:ind w:firstLine="420"/>
              <w:jc w:val="both"/>
              <w:rPr>
                <w:rFonts w:hint="default"/>
                <w:highlight w:val="none"/>
                <w:lang w:eastAsia="zh-CN"/>
              </w:rPr>
            </w:pPr>
            <w:r>
              <w:rPr>
                <w:rFonts w:hint="default"/>
                <w:highlight w:val="none"/>
                <w:lang w:eastAsia="zh-CN"/>
              </w:rPr>
              <w:t>5.如发生理赔纠纷，被保险人或受益人</w:t>
            </w:r>
            <w:r>
              <w:rPr>
                <w:highlight w:val="none"/>
                <w:lang w:eastAsia="zh-CN"/>
              </w:rPr>
              <w:t>可</w:t>
            </w:r>
            <w:r>
              <w:rPr>
                <w:rFonts w:hint="default"/>
                <w:highlight w:val="none"/>
                <w:lang w:eastAsia="zh-CN"/>
              </w:rPr>
              <w:t>通过包括但不限于向国家金融监督管理局、人民法院等渠道申诉、投诉、起诉等方式索赔。</w:t>
            </w:r>
          </w:p>
          <w:p w14:paraId="2E1DC80D">
            <w:pPr>
              <w:pStyle w:val="10"/>
              <w:ind w:firstLine="420"/>
              <w:jc w:val="both"/>
              <w:rPr>
                <w:rFonts w:hint="default"/>
                <w:highlight w:val="none"/>
                <w:lang w:eastAsia="zh-CN"/>
              </w:rPr>
            </w:pPr>
            <w:r>
              <w:rPr>
                <w:rFonts w:hint="default"/>
                <w:highlight w:val="none"/>
                <w:lang w:eastAsia="zh-CN"/>
              </w:rPr>
              <w:t>6.提供线上理赔通道，仅需要线上上传资料，无需提供纸质版理赔资料。</w:t>
            </w:r>
          </w:p>
          <w:p w14:paraId="47906234">
            <w:pPr>
              <w:pStyle w:val="10"/>
              <w:ind w:firstLine="420"/>
              <w:jc w:val="both"/>
              <w:rPr>
                <w:rFonts w:hint="default"/>
                <w:highlight w:val="none"/>
                <w:lang w:eastAsia="zh-CN"/>
              </w:rPr>
            </w:pPr>
            <w:r>
              <w:rPr>
                <w:rFonts w:hint="default"/>
                <w:highlight w:val="none"/>
                <w:lang w:eastAsia="zh-CN"/>
              </w:rPr>
              <w:t>7.乙方需对校方及其教职工提供的隐私信息保密。</w:t>
            </w:r>
          </w:p>
          <w:p w14:paraId="091449AC">
            <w:pPr>
              <w:pStyle w:val="10"/>
              <w:ind w:firstLine="420"/>
              <w:jc w:val="both"/>
              <w:rPr>
                <w:rFonts w:hint="default"/>
                <w:highlight w:val="none"/>
                <w:lang w:eastAsia="zh-CN"/>
              </w:rPr>
            </w:pPr>
            <w:r>
              <w:rPr>
                <w:highlight w:val="none"/>
                <w:lang w:eastAsia="zh-CN"/>
              </w:rPr>
              <w:t>8</w:t>
            </w:r>
            <w:r>
              <w:rPr>
                <w:rFonts w:hint="default"/>
                <w:highlight w:val="none"/>
                <w:lang w:eastAsia="zh-CN"/>
              </w:rPr>
              <w:t>.对案件及材料有异议的，应在接到报案材料2个工作日内向报案人和甲方联系人通报情况，共同商定理赔时限。未在约定时间内理赔、拒赔案件应向报案人和甲方送达书面说明或拒赔通知。</w:t>
            </w:r>
          </w:p>
          <w:p w14:paraId="6A5B0AB9">
            <w:pPr>
              <w:pStyle w:val="10"/>
              <w:ind w:firstLine="420"/>
              <w:jc w:val="both"/>
              <w:rPr>
                <w:rFonts w:hint="default"/>
                <w:highlight w:val="none"/>
                <w:lang w:eastAsia="zh-CN"/>
              </w:rPr>
            </w:pPr>
            <w:r>
              <w:rPr>
                <w:highlight w:val="none"/>
                <w:lang w:eastAsia="zh-CN"/>
              </w:rPr>
              <w:t>9</w:t>
            </w:r>
            <w:r>
              <w:rPr>
                <w:rFonts w:hint="default"/>
                <w:highlight w:val="none"/>
                <w:lang w:eastAsia="zh-CN"/>
              </w:rPr>
              <w:t>.校方定期向被保险职工开展对供应商的服务质量、服务满意度评价调查。</w:t>
            </w:r>
          </w:p>
          <w:p w14:paraId="41B740BC">
            <w:pPr>
              <w:pStyle w:val="10"/>
              <w:ind w:firstLine="420"/>
              <w:jc w:val="both"/>
              <w:rPr>
                <w:rFonts w:hint="default"/>
                <w:highlight w:val="none"/>
                <w:lang w:eastAsia="zh-CN"/>
              </w:rPr>
            </w:pPr>
            <w:r>
              <w:rPr>
                <w:highlight w:val="none"/>
                <w:lang w:eastAsia="zh-CN"/>
              </w:rPr>
              <w:t>10</w:t>
            </w:r>
            <w:r>
              <w:rPr>
                <w:rFonts w:hint="default"/>
                <w:highlight w:val="none"/>
                <w:lang w:eastAsia="zh-CN"/>
              </w:rPr>
              <w:t>.理赔时限、理赔纠纷、投诉案件、投诉率、赔付率等指标将纳入对供应商的服务质量考核。</w:t>
            </w:r>
          </w:p>
        </w:tc>
      </w:tr>
    </w:tbl>
    <w:p w14:paraId="33B3963D">
      <w:pPr>
        <w:pStyle w:val="3"/>
        <w:spacing w:line="360" w:lineRule="auto"/>
        <w:ind w:firstLine="482"/>
        <w:textAlignment w:val="baseline"/>
        <w:rPr>
          <w:rFonts w:hint="eastAsia" w:ascii="宋体" w:hAnsi="宋体" w:cs="宋体"/>
          <w:b/>
          <w:bCs/>
          <w:sz w:val="24"/>
          <w:szCs w:val="24"/>
          <w:highlight w:val="none"/>
        </w:rPr>
      </w:pPr>
    </w:p>
    <w:p w14:paraId="0B978478">
      <w:pPr>
        <w:kinsoku w:val="0"/>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6、批改：</w:t>
      </w:r>
    </w:p>
    <w:p w14:paraId="4EC1AF0F">
      <w:pPr>
        <w:kinsoku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出单后增加被保险人保期与保费收取方式：本协议生效后，经甲方申请乙方同意的新增加人员（如新入职的正式人员、人事关系转为正式职工的人员等，具体以人事处提供的名单为准）均可作为被保险人参加本保险。</w:t>
      </w:r>
    </w:p>
    <w:p w14:paraId="7765A684">
      <w:pPr>
        <w:kinsoku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（2）保期：批改生效日期为新增加被保险人的保险起期，截止日以发放通知为准。</w:t>
      </w:r>
    </w:p>
    <w:p w14:paraId="11B20E84">
      <w:pPr>
        <w:pStyle w:val="3"/>
        <w:spacing w:line="360" w:lineRule="auto"/>
        <w:ind w:firstLine="480"/>
        <w:textAlignment w:val="baseline"/>
        <w:rPr>
          <w:rFonts w:hint="eastAsia" w:ascii="宋体" w:hAnsi="宋体" w:cs="宋体"/>
          <w:sz w:val="24"/>
          <w:szCs w:val="24"/>
          <w:highlight w:val="none"/>
        </w:rPr>
      </w:pPr>
      <w:r>
        <w:rPr>
          <w:rFonts w:hint="eastAsia" w:ascii="宋体" w:hAnsi="宋体" w:cs="宋体"/>
          <w:sz w:val="24"/>
          <w:szCs w:val="24"/>
          <w:highlight w:val="none"/>
        </w:rPr>
        <w:t>（3）保费：新增加/减少人员在保期间：按天收取保费，即每人保费=中标单价/365天*实际参保天数。</w:t>
      </w:r>
    </w:p>
    <w:p w14:paraId="76E39B77">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二、交付内容</w:t>
      </w:r>
    </w:p>
    <w:p w14:paraId="14D0294E">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（一）交付资料</w:t>
      </w:r>
    </w:p>
    <w:p w14:paraId="10CD5F98">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1、投保：</w:t>
      </w:r>
    </w:p>
    <w:p w14:paraId="31D8FDEC">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（1）甲方提供资料：</w:t>
      </w:r>
    </w:p>
    <w:p w14:paraId="6C9206F2">
      <w:pPr>
        <w:pStyle w:val="3"/>
        <w:spacing w:line="360" w:lineRule="auto"/>
        <w:ind w:firstLine="48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被保险人人员清单信息。被保险人信息包括姓名、身份证号码、电话号码。甲方配合乙方提供合规的甲方人员信息，但不提供健康相关的任何信息。</w:t>
      </w:r>
    </w:p>
    <w:p w14:paraId="3921654E">
      <w:pPr>
        <w:pStyle w:val="3"/>
        <w:spacing w:line="360" w:lineRule="auto"/>
        <w:ind w:firstLine="482"/>
        <w:textAlignment w:val="baseline"/>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rPr>
        <w:t>（2）乙方出具资料：</w:t>
      </w:r>
    </w:p>
    <w:p w14:paraId="513830AF">
      <w:pPr>
        <w:pStyle w:val="3"/>
        <w:spacing w:line="360" w:lineRule="auto"/>
        <w:ind w:firstLine="480"/>
        <w:textAlignment w:val="baseline"/>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Cs/>
          <w:sz w:val="24"/>
          <w:szCs w:val="24"/>
          <w:highlight w:val="none"/>
        </w:rPr>
        <w:t>（1）保单（加盖乙方公章</w:t>
      </w:r>
      <w:r>
        <w:rPr>
          <w:rFonts w:hint="eastAsia" w:asciiTheme="minorEastAsia" w:hAnsiTheme="minorEastAsia" w:eastAsiaTheme="minorEastAsia" w:cstheme="minorEastAsia"/>
          <w:sz w:val="24"/>
          <w:szCs w:val="24"/>
          <w:highlight w:val="none"/>
        </w:rPr>
        <w:t>）；</w:t>
      </w:r>
    </w:p>
    <w:p w14:paraId="73B0911F">
      <w:pPr>
        <w:pStyle w:val="3"/>
        <w:spacing w:line="360" w:lineRule="auto"/>
        <w:ind w:firstLine="480"/>
        <w:textAlignment w:val="baseline"/>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（2）保险费发票；</w:t>
      </w:r>
    </w:p>
    <w:p w14:paraId="57BC5383">
      <w:pPr>
        <w:pStyle w:val="3"/>
        <w:spacing w:line="360" w:lineRule="auto"/>
        <w:ind w:firstLine="480"/>
        <w:textAlignment w:val="baseline"/>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（3）如有批改增加教职工，则提供批单。</w:t>
      </w:r>
    </w:p>
    <w:p w14:paraId="6EDCAF2A">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2、理赔资料清单</w:t>
      </w:r>
    </w:p>
    <w:p w14:paraId="2338D1A6">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p>
    <w:p w14:paraId="55CF9CA7">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甲方提供资料：</w:t>
      </w:r>
    </w:p>
    <w:p w14:paraId="18B99A39">
      <w:pPr>
        <w:pStyle w:val="10"/>
        <w:ind w:firstLine="420"/>
        <w:jc w:val="both"/>
        <w:rPr>
          <w:rFonts w:hint="default"/>
          <w:highlight w:val="none"/>
        </w:rPr>
      </w:pPr>
      <w:r>
        <w:rPr>
          <w:rFonts w:hint="default"/>
          <w:highlight w:val="none"/>
        </w:rPr>
        <w:t>（1）门诊（含因病或意外伤害）理赔资料清单</w:t>
      </w:r>
      <w:r>
        <w:rPr>
          <w:rFonts w:hint="default"/>
          <w:highlight w:val="none"/>
          <w:u w:val="single"/>
        </w:rPr>
        <w:t>“诊断证明、病历、医疗发票、领款人银行账号”</w:t>
      </w:r>
      <w:r>
        <w:rPr>
          <w:rFonts w:hint="default"/>
          <w:highlight w:val="none"/>
        </w:rPr>
        <w:t>，</w:t>
      </w:r>
    </w:p>
    <w:p w14:paraId="235E313C">
      <w:pPr>
        <w:pStyle w:val="10"/>
        <w:ind w:firstLine="420"/>
        <w:jc w:val="both"/>
        <w:rPr>
          <w:rFonts w:hint="default"/>
          <w:highlight w:val="none"/>
        </w:rPr>
      </w:pPr>
      <w:r>
        <w:rPr>
          <w:rFonts w:hint="default"/>
          <w:highlight w:val="none"/>
        </w:rPr>
        <w:t>（2）住院（含因病或意外伤害）理赔资料清单</w:t>
      </w:r>
      <w:r>
        <w:rPr>
          <w:rFonts w:hint="default"/>
          <w:highlight w:val="none"/>
          <w:u w:val="single"/>
        </w:rPr>
        <w:t>“诊断证明、病历、医疗发票、领款人银行账号”</w:t>
      </w:r>
    </w:p>
    <w:p w14:paraId="6F938AEF">
      <w:pPr>
        <w:pStyle w:val="10"/>
        <w:ind w:firstLine="420"/>
        <w:jc w:val="both"/>
        <w:rPr>
          <w:rFonts w:hint="default"/>
          <w:highlight w:val="none"/>
          <w:u w:val="single"/>
        </w:rPr>
      </w:pPr>
      <w:r>
        <w:rPr>
          <w:rFonts w:hint="default"/>
          <w:highlight w:val="none"/>
        </w:rPr>
        <w:t>（3）残疾（含因病或意外）理赔资料清单</w:t>
      </w:r>
      <w:r>
        <w:rPr>
          <w:rFonts w:hint="default"/>
          <w:highlight w:val="none"/>
          <w:u w:val="single"/>
        </w:rPr>
        <w:t>“诊断证明、病历、医疗发票、伤残鉴定报告或证明、领款人银行账号”</w:t>
      </w:r>
    </w:p>
    <w:p w14:paraId="0A45DF40">
      <w:pPr>
        <w:pStyle w:val="10"/>
        <w:ind w:firstLine="420"/>
        <w:jc w:val="both"/>
        <w:rPr>
          <w:rFonts w:hint="default"/>
          <w:highlight w:val="none"/>
          <w:u w:val="single"/>
        </w:rPr>
      </w:pPr>
      <w:r>
        <w:rPr>
          <w:rFonts w:hint="default"/>
          <w:highlight w:val="none"/>
        </w:rPr>
        <w:t>（4）死亡（含因病或意外）理赔资料清单</w:t>
      </w:r>
      <w:r>
        <w:rPr>
          <w:rFonts w:hint="default"/>
          <w:highlight w:val="none"/>
          <w:u w:val="single"/>
        </w:rPr>
        <w:t>“诊断证明、病历、医疗发票、死亡证明、领款人银行账号”</w:t>
      </w:r>
    </w:p>
    <w:p w14:paraId="3592476F">
      <w:pPr>
        <w:pStyle w:val="3"/>
        <w:spacing w:line="360" w:lineRule="auto"/>
        <w:ind w:firstLine="482"/>
        <w:textAlignment w:val="baseline"/>
        <w:rPr>
          <w:rFonts w:hint="eastAsia" w:ascii="宋体" w:hAnsi="宋体" w:cs="宋体"/>
          <w:b/>
          <w:bCs/>
          <w:sz w:val="24"/>
          <w:szCs w:val="24"/>
          <w:highlight w:val="none"/>
        </w:rPr>
      </w:pPr>
      <w:r>
        <w:rPr>
          <w:rFonts w:hint="eastAsia" w:ascii="宋体" w:hAnsi="宋体" w:cs="宋体"/>
          <w:b/>
          <w:bCs/>
          <w:sz w:val="24"/>
          <w:szCs w:val="24"/>
          <w:highlight w:val="none"/>
        </w:rPr>
        <w:t>*除清单外，乙方不得恶意设置其他报销理赔门槛。</w:t>
      </w:r>
    </w:p>
    <w:p w14:paraId="47CB351B">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三、保费和结算方式</w:t>
      </w:r>
    </w:p>
    <w:p w14:paraId="59C12719">
      <w:pPr>
        <w:pStyle w:val="3"/>
        <w:snapToGrid w:val="0"/>
        <w:spacing w:line="324" w:lineRule="auto"/>
        <w:ind w:firstLine="482"/>
        <w:textAlignment w:val="baseline"/>
        <w:rPr>
          <w:rFonts w:hint="eastAsia" w:ascii="宋体" w:hAnsi="宋体" w:cs="宋体"/>
          <w:b/>
          <w:bCs/>
          <w:sz w:val="24"/>
          <w:szCs w:val="24"/>
          <w:highlight w:val="none"/>
        </w:rPr>
      </w:pPr>
      <w:bookmarkStart w:id="0" w:name="_Hlk177055285"/>
      <w:r>
        <w:rPr>
          <w:rFonts w:hint="eastAsia" w:ascii="宋体" w:hAnsi="宋体" w:cs="宋体"/>
          <w:b/>
          <w:bCs/>
          <w:sz w:val="24"/>
          <w:szCs w:val="24"/>
          <w:highlight w:val="none"/>
        </w:rPr>
        <w:t>1、保费金额：</w:t>
      </w:r>
    </w:p>
    <w:bookmarkEnd w:id="0"/>
    <w:p w14:paraId="6205BF33">
      <w:pPr>
        <w:pStyle w:val="3"/>
        <w:snapToGrid w:val="0"/>
        <w:spacing w:line="324" w:lineRule="auto"/>
        <w:ind w:firstLine="480"/>
        <w:textAlignment w:val="baseline"/>
        <w:rPr>
          <w:rFonts w:hint="eastAsia" w:ascii="宋体" w:hAnsi="宋体" w:cs="宋体"/>
          <w:sz w:val="24"/>
          <w:szCs w:val="24"/>
          <w:highlight w:val="none"/>
        </w:rPr>
      </w:pPr>
      <w:r>
        <w:rPr>
          <w:rFonts w:hint="eastAsia" w:ascii="宋体" w:hAnsi="宋体" w:cs="宋体"/>
          <w:sz w:val="24"/>
          <w:szCs w:val="24"/>
          <w:highlight w:val="none"/>
        </w:rPr>
        <w:t>保费标准为：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元/人/年。首次参保人数为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人，首次保费合计</w:t>
      </w:r>
      <w:r>
        <w:rPr>
          <w:rFonts w:hint="eastAsia" w:ascii="宋体" w:hAnsi="宋体" w:cs="宋体"/>
          <w:sz w:val="24"/>
          <w:szCs w:val="24"/>
          <w:highlight w:val="none"/>
          <w:u w:val="single"/>
        </w:rPr>
        <w:t xml:space="preserve">      </w:t>
      </w:r>
      <w:r>
        <w:rPr>
          <w:rFonts w:hint="eastAsia" w:ascii="宋体" w:hAnsi="宋体" w:cs="宋体"/>
          <w:sz w:val="24"/>
          <w:szCs w:val="24"/>
          <w:highlight w:val="none"/>
        </w:rPr>
        <w:t>元人民币。</w:t>
      </w:r>
    </w:p>
    <w:p w14:paraId="1184EE8F">
      <w:pPr>
        <w:pStyle w:val="3"/>
        <w:tabs>
          <w:tab w:val="left" w:pos="312"/>
        </w:tabs>
        <w:spacing w:line="360" w:lineRule="auto"/>
        <w:ind w:firstLine="480"/>
        <w:textAlignment w:val="baseline"/>
        <w:rPr>
          <w:rFonts w:hint="eastAsia" w:ascii="宋体" w:hAnsi="宋体" w:cs="宋体"/>
          <w:sz w:val="24"/>
          <w:szCs w:val="24"/>
          <w:highlight w:val="none"/>
        </w:rPr>
      </w:pPr>
      <w:r>
        <w:rPr>
          <w:rFonts w:hint="eastAsia" w:ascii="宋体" w:hAnsi="宋体" w:cs="宋体"/>
          <w:sz w:val="24"/>
          <w:szCs w:val="24"/>
          <w:highlight w:val="none"/>
        </w:rPr>
        <w:t>2、签订合同后，按实际人数据实结算支付合同金额，收到乙方出具的正式发票、加盖乙方公章的付款申请书、合同复印件等书面资料交给校方，并全力配合校方工作人员按照事业单位报销流程报销，转账支付至乙方账户，达到付款条件起 15 日内，支付合同总金额的 100.00%。</w:t>
      </w:r>
    </w:p>
    <w:p w14:paraId="33C08E0F">
      <w:pPr>
        <w:pStyle w:val="3"/>
        <w:tabs>
          <w:tab w:val="left" w:pos="312"/>
        </w:tabs>
        <w:spacing w:line="360" w:lineRule="auto"/>
        <w:ind w:firstLine="480"/>
        <w:textAlignment w:val="baseline"/>
        <w:rPr>
          <w:rFonts w:hint="eastAsia" w:ascii="宋体" w:hAnsi="宋体" w:cs="宋体"/>
          <w:sz w:val="24"/>
          <w:szCs w:val="24"/>
          <w:highlight w:val="none"/>
        </w:rPr>
      </w:pPr>
    </w:p>
    <w:p w14:paraId="7D16B26F">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四、服务质量</w:t>
      </w:r>
    </w:p>
    <w:p w14:paraId="6AC8361F">
      <w:pPr>
        <w:pStyle w:val="3"/>
        <w:spacing w:line="360" w:lineRule="auto"/>
        <w:ind w:firstLine="48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1、乙方按照投标文件设立专项服务小组向甲方提供投保、理赔等服务；</w:t>
      </w:r>
    </w:p>
    <w:p w14:paraId="1DD12F63">
      <w:pPr>
        <w:pStyle w:val="3"/>
        <w:spacing w:line="360" w:lineRule="auto"/>
        <w:ind w:firstLine="48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2、在服务期限内，乙方如未完全履行保障条款及服务承诺，甲方可以书面形式向乙方提出索赔，同时通知采购代理机构，情节较重者，列入甲方采购商黑名单。</w:t>
      </w:r>
    </w:p>
    <w:p w14:paraId="7D13A0A2">
      <w:pPr>
        <w:pStyle w:val="3"/>
        <w:spacing w:line="360" w:lineRule="auto"/>
        <w:ind w:firstLine="48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3、服务期限内，乙方为甲方项目提供服务所产生的培训费、交通费、公杂费等一切费用均由乙方承担。</w:t>
      </w:r>
    </w:p>
    <w:p w14:paraId="7506657A">
      <w:pPr>
        <w:pStyle w:val="3"/>
        <w:spacing w:line="360" w:lineRule="auto"/>
        <w:ind w:firstLine="48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4、理赔方式：线上、线下两种方式。理赔金额在</w:t>
      </w:r>
      <w:r>
        <w:rPr>
          <w:rFonts w:hint="eastAsia" w:asciiTheme="minorEastAsia" w:hAnsiTheme="minorEastAsia" w:eastAsiaTheme="minorEastAsia" w:cstheme="minorEastAsia"/>
          <w:sz w:val="24"/>
          <w:szCs w:val="24"/>
          <w:highlight w:val="none"/>
          <w:u w:val="single"/>
        </w:rPr>
        <w:t>5000元以下</w:t>
      </w:r>
      <w:r>
        <w:rPr>
          <w:rFonts w:hint="eastAsia" w:asciiTheme="minorEastAsia" w:hAnsiTheme="minorEastAsia" w:eastAsiaTheme="minorEastAsia" w:cstheme="minorEastAsia"/>
          <w:sz w:val="24"/>
          <w:szCs w:val="24"/>
          <w:highlight w:val="none"/>
        </w:rPr>
        <w:t>的，甲方可通过线上</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进行自助理赔。</w:t>
      </w:r>
    </w:p>
    <w:p w14:paraId="116FF8A0">
      <w:pPr>
        <w:pStyle w:val="3"/>
        <w:spacing w:line="360" w:lineRule="auto"/>
        <w:ind w:firstLine="480"/>
        <w:textAlignment w:val="baseline"/>
        <w:rPr>
          <w:rFonts w:hint="eastAsia" w:ascii="宋体" w:hAnsi="宋体" w:cs="宋体"/>
          <w:sz w:val="24"/>
          <w:szCs w:val="24"/>
          <w:highlight w:val="none"/>
        </w:rPr>
      </w:pPr>
      <w:r>
        <w:rPr>
          <w:rFonts w:hint="eastAsia" w:asciiTheme="minorEastAsia" w:hAnsiTheme="minorEastAsia" w:eastAsiaTheme="minorEastAsia" w:cstheme="minorEastAsia"/>
          <w:sz w:val="24"/>
          <w:szCs w:val="24"/>
          <w:highlight w:val="none"/>
        </w:rPr>
        <w:t>5、理赔时效：甲方使用线上</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程序自助理赔的，在材料上传齐全后，乙方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个工作日予以理赔到账；甲方通过线下理赔的，乙方</w:t>
      </w:r>
      <w:r>
        <w:rPr>
          <w:rFonts w:hint="eastAsia" w:ascii="宋体" w:hAnsi="宋体" w:cs="宋体"/>
          <w:sz w:val="24"/>
          <w:szCs w:val="24"/>
          <w:highlight w:val="none"/>
        </w:rPr>
        <w:t>在理赔材料收集齐全</w:t>
      </w:r>
      <w:r>
        <w:rPr>
          <w:rFonts w:hint="eastAsia" w:ascii="宋体" w:hAnsi="宋体" w:cs="宋体"/>
          <w:sz w:val="24"/>
          <w:szCs w:val="24"/>
          <w:highlight w:val="none"/>
          <w:u w:val="single"/>
        </w:rPr>
        <w:t>5个工作日内</w:t>
      </w:r>
      <w:r>
        <w:rPr>
          <w:rFonts w:hint="eastAsia" w:ascii="宋体" w:hAnsi="宋体" w:cs="宋体"/>
          <w:sz w:val="24"/>
          <w:szCs w:val="24"/>
          <w:highlight w:val="none"/>
        </w:rPr>
        <w:t>予以理赔到账。</w:t>
      </w:r>
    </w:p>
    <w:p w14:paraId="0FA1DCFB">
      <w:pPr>
        <w:pStyle w:val="3"/>
        <w:spacing w:line="360" w:lineRule="auto"/>
        <w:ind w:firstLine="480"/>
        <w:textAlignment w:val="baseline"/>
        <w:rPr>
          <w:rFonts w:hint="eastAsia" w:ascii="宋体" w:hAnsi="宋体" w:cs="宋体"/>
          <w:sz w:val="24"/>
          <w:szCs w:val="24"/>
          <w:highlight w:val="none"/>
        </w:rPr>
      </w:pPr>
      <w:r>
        <w:rPr>
          <w:rFonts w:hint="eastAsia" w:ascii="宋体" w:hAnsi="宋体" w:cs="宋体"/>
          <w:sz w:val="24"/>
          <w:szCs w:val="24"/>
          <w:highlight w:val="none"/>
        </w:rPr>
        <w:t>6、乙方服务承诺：</w:t>
      </w:r>
    </w:p>
    <w:p w14:paraId="4FA74E44">
      <w:pPr>
        <w:pStyle w:val="3"/>
        <w:spacing w:line="360" w:lineRule="auto"/>
        <w:ind w:firstLine="480"/>
        <w:textAlignment w:val="baseline"/>
        <w:rPr>
          <w:rFonts w:hint="eastAsia" w:ascii="宋体" w:hAnsi="宋体" w:cs="宋体"/>
          <w:sz w:val="24"/>
          <w:szCs w:val="24"/>
          <w:highlight w:val="none"/>
        </w:rPr>
      </w:pPr>
      <w:r>
        <w:rPr>
          <w:rFonts w:hint="eastAsia" w:asciiTheme="minorEastAsia" w:hAnsiTheme="minorEastAsia" w:eastAsiaTheme="minorEastAsia" w:cstheme="minorEastAsia"/>
          <w:sz w:val="24"/>
          <w:szCs w:val="24"/>
          <w:highlight w:val="none"/>
          <w:u w:val="single"/>
        </w:rPr>
        <w:t xml:space="preserve">                                           。</w:t>
      </w:r>
    </w:p>
    <w:p w14:paraId="607272AC">
      <w:pPr>
        <w:pStyle w:val="3"/>
        <w:spacing w:line="360" w:lineRule="auto"/>
        <w:ind w:firstLine="480"/>
        <w:textAlignment w:val="baseline"/>
        <w:rPr>
          <w:rFonts w:hint="eastAsia" w:ascii="宋体" w:hAnsi="宋体" w:cs="宋体"/>
          <w:sz w:val="24"/>
          <w:szCs w:val="24"/>
          <w:highlight w:val="none"/>
        </w:rPr>
      </w:pPr>
    </w:p>
    <w:p w14:paraId="21A626E0">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六、合同有效期</w:t>
      </w:r>
    </w:p>
    <w:p w14:paraId="7E2E128C">
      <w:pPr>
        <w:pStyle w:val="3"/>
        <w:spacing w:line="360" w:lineRule="auto"/>
        <w:ind w:firstLine="480"/>
        <w:textAlignment w:val="baseline"/>
        <w:rPr>
          <w:rFonts w:hint="eastAsia" w:ascii="宋体" w:hAnsi="宋体" w:cs="宋体"/>
          <w:sz w:val="24"/>
          <w:szCs w:val="24"/>
          <w:highlight w:val="none"/>
        </w:rPr>
      </w:pPr>
      <w:r>
        <w:rPr>
          <w:rFonts w:hint="eastAsia" w:ascii="宋体" w:hAnsi="宋体" w:cs="宋体"/>
          <w:sz w:val="24"/>
          <w:szCs w:val="24"/>
          <w:highlight w:val="none"/>
        </w:rPr>
        <w:t>发生时间在承保期间的就诊、入院、结算及意外事件等案件均为理赔范围，保险服务直到所有理赔服务完成时截止。</w:t>
      </w:r>
    </w:p>
    <w:p w14:paraId="488A8762">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szCs w:val="24"/>
          <w:highlight w:val="none"/>
        </w:rPr>
        <w:t>七、合同争议解决</w:t>
      </w:r>
    </w:p>
    <w:p w14:paraId="0578A4A1">
      <w:pPr>
        <w:spacing w:line="360" w:lineRule="auto"/>
        <w:ind w:firstLine="960" w:firstLineChars="400"/>
        <w:textAlignment w:val="baseline"/>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在合同履行过程中，双方发生争议，应本着友好协商的精神及时协商解决。双方不能达成一致时，可向</w:t>
      </w:r>
      <w:r>
        <w:rPr>
          <w:rFonts w:hint="eastAsia" w:asciiTheme="minorEastAsia" w:hAnsiTheme="minorEastAsia" w:cstheme="minorEastAsia"/>
          <w:sz w:val="24"/>
          <w:highlight w:val="none"/>
          <w:u w:val="single"/>
        </w:rPr>
        <w:t>甲方</w:t>
      </w:r>
      <w:r>
        <w:rPr>
          <w:rFonts w:hint="eastAsia" w:asciiTheme="minorEastAsia" w:hAnsiTheme="minorEastAsia" w:cstheme="minorEastAsia"/>
          <w:sz w:val="24"/>
          <w:highlight w:val="none"/>
        </w:rPr>
        <w:t>所在地人民法院提起诉讼。</w:t>
      </w:r>
    </w:p>
    <w:p w14:paraId="005068CB">
      <w:pPr>
        <w:pStyle w:val="3"/>
        <w:spacing w:line="360" w:lineRule="auto"/>
        <w:ind w:firstLine="482"/>
        <w:textAlignment w:val="baseline"/>
        <w:rPr>
          <w:rFonts w:hint="eastAsia" w:asciiTheme="minorEastAsia" w:hAnsiTheme="minorEastAsia" w:eastAsiaTheme="minorEastAsia" w:cstheme="minorEastAsia"/>
          <w:b/>
          <w:bCs/>
          <w:sz w:val="24"/>
          <w:szCs w:val="24"/>
          <w:highlight w:val="none"/>
        </w:rPr>
      </w:pPr>
      <w:r>
        <w:rPr>
          <w:rFonts w:hint="eastAsia" w:asciiTheme="minorEastAsia" w:hAnsiTheme="minorEastAsia" w:eastAsiaTheme="minorEastAsia" w:cstheme="minorEastAsia"/>
          <w:b/>
          <w:bCs/>
          <w:sz w:val="24"/>
          <w:highlight w:val="none"/>
        </w:rPr>
        <w:t>八、</w:t>
      </w:r>
      <w:r>
        <w:rPr>
          <w:rFonts w:hint="eastAsia" w:asciiTheme="minorEastAsia" w:hAnsiTheme="minorEastAsia" w:eastAsiaTheme="minorEastAsia" w:cstheme="minorEastAsia"/>
          <w:b/>
          <w:bCs/>
          <w:sz w:val="24"/>
          <w:szCs w:val="24"/>
          <w:highlight w:val="none"/>
        </w:rPr>
        <w:t>合同变更</w:t>
      </w:r>
    </w:p>
    <w:p w14:paraId="27D0DEFB">
      <w:pPr>
        <w:spacing w:line="360" w:lineRule="auto"/>
        <w:ind w:firstLine="960" w:firstLineChars="400"/>
        <w:textAlignment w:val="baseline"/>
        <w:rPr>
          <w:rFonts w:hint="eastAsia" w:asciiTheme="minorEastAsia" w:hAnsiTheme="minorEastAsia" w:cstheme="minorEastAsia"/>
          <w:sz w:val="24"/>
          <w:highlight w:val="none"/>
        </w:rPr>
      </w:pPr>
      <w:r>
        <w:rPr>
          <w:rFonts w:hint="eastAsia" w:asciiTheme="minorEastAsia" w:hAnsiTheme="minorEastAsia" w:cstheme="minorEastAsia"/>
          <w:sz w:val="24"/>
          <w:highlight w:val="none"/>
        </w:rPr>
        <w:t>甲方有权变更、调整或者中止、终止合同，应提前五个工作日书面通知乙方。</w:t>
      </w:r>
    </w:p>
    <w:p w14:paraId="1307159C">
      <w:pPr>
        <w:pStyle w:val="6"/>
        <w:ind w:left="0" w:leftChars="0" w:firstLine="482"/>
        <w:textAlignment w:val="baseline"/>
        <w:rPr>
          <w:rFonts w:hint="eastAsia" w:asciiTheme="minorEastAsia" w:hAnsiTheme="minorEastAsia" w:eastAsiaTheme="minorEastAsia" w:cstheme="minorEastAsia"/>
          <w:bCs/>
          <w:kern w:val="0"/>
          <w:sz w:val="24"/>
          <w:highlight w:val="none"/>
        </w:rPr>
      </w:pPr>
      <w:r>
        <w:rPr>
          <w:rFonts w:hint="eastAsia" w:asciiTheme="minorEastAsia" w:hAnsiTheme="minorEastAsia" w:eastAsiaTheme="minorEastAsia" w:cstheme="minorEastAsia"/>
          <w:bCs/>
          <w:kern w:val="0"/>
          <w:sz w:val="24"/>
          <w:highlight w:val="none"/>
        </w:rPr>
        <w:t>九、违约责任</w:t>
      </w:r>
    </w:p>
    <w:p w14:paraId="11D4BC0B">
      <w:pPr>
        <w:pStyle w:val="6"/>
        <w:spacing w:line="360" w:lineRule="auto"/>
        <w:ind w:firstLine="480"/>
        <w:textAlignment w:val="baseline"/>
        <w:rPr>
          <w:rFonts w:eastAsiaTheme="minorEastAsia"/>
          <w:b w:val="0"/>
          <w:bCs/>
          <w:sz w:val="24"/>
          <w:highlight w:val="none"/>
        </w:rPr>
      </w:pPr>
      <w:r>
        <w:rPr>
          <w:rFonts w:hint="eastAsia" w:asciiTheme="minorEastAsia" w:hAnsiTheme="minorEastAsia" w:eastAsiaTheme="minorEastAsia" w:cstheme="minorEastAsia"/>
          <w:b w:val="0"/>
          <w:bCs/>
          <w:sz w:val="24"/>
          <w:highlight w:val="none"/>
        </w:rPr>
        <w:t>1.凡符合国家医保报销政策的疾病之门诊、住院治疗均在承保范围。被保险人在全国范围内社保定点医疗机构就医、在全国范围内发生的意外事故的案件均为保险理赔范围。如乙方违反本条，拒绝承保，或不按合同条款理赔，被保险人或受益人可通过包括但不限于向国家金融监督管理局、人民法院等渠道申诉、投诉、起诉等方式索赔。确实属于乙方过错的，甲方及其被保险人、受益人等利益相关人，有权按照《中华人民共和国保险法》《</w:t>
      </w:r>
      <w:r>
        <w:rPr>
          <w:rFonts w:eastAsiaTheme="minorEastAsia"/>
          <w:b w:val="0"/>
          <w:bCs/>
          <w:sz w:val="24"/>
          <w:highlight w:val="none"/>
        </w:rPr>
        <w:t>‌</w:t>
      </w:r>
      <w:r>
        <w:rPr>
          <w:rFonts w:hint="eastAsia" w:ascii="宋体" w:hAnsi="宋体" w:eastAsia="宋体" w:cs="宋体"/>
          <w:b w:val="0"/>
          <w:bCs/>
          <w:sz w:val="24"/>
          <w:highlight w:val="none"/>
        </w:rPr>
        <w:t>最高人民法院关于审理医疗损害责任纠纷案件适用法律若干问题的解释》</w:t>
      </w:r>
      <w:r>
        <w:rPr>
          <w:rFonts w:eastAsiaTheme="minorEastAsia"/>
          <w:b w:val="0"/>
          <w:bCs/>
          <w:sz w:val="24"/>
          <w:highlight w:val="none"/>
        </w:rPr>
        <w:t>‌</w:t>
      </w:r>
      <w:r>
        <w:rPr>
          <w:rFonts w:hint="eastAsia" w:ascii="宋体" w:hAnsi="宋体" w:eastAsia="宋体" w:cs="宋体"/>
          <w:b w:val="0"/>
          <w:bCs/>
          <w:sz w:val="24"/>
          <w:highlight w:val="none"/>
        </w:rPr>
        <w:t>《</w:t>
      </w:r>
      <w:r>
        <w:rPr>
          <w:rFonts w:eastAsiaTheme="minorEastAsia"/>
          <w:b w:val="0"/>
          <w:bCs/>
          <w:sz w:val="24"/>
          <w:highlight w:val="none"/>
        </w:rPr>
        <w:t>‌</w:t>
      </w:r>
      <w:r>
        <w:rPr>
          <w:rFonts w:hint="eastAsia" w:ascii="宋体" w:hAnsi="宋体" w:eastAsia="宋体" w:cs="宋体"/>
          <w:b w:val="0"/>
          <w:bCs/>
          <w:sz w:val="24"/>
          <w:highlight w:val="none"/>
        </w:rPr>
        <w:t>医疗保障行政处罚程序暂行规定》等</w:t>
      </w:r>
      <w:r>
        <w:rPr>
          <w:rFonts w:hint="eastAsia" w:asciiTheme="minorEastAsia" w:hAnsiTheme="minorEastAsia" w:eastAsiaTheme="minorEastAsia" w:cstheme="minorEastAsia"/>
          <w:b w:val="0"/>
          <w:bCs/>
          <w:sz w:val="24"/>
          <w:highlight w:val="none"/>
        </w:rPr>
        <w:t>商业医疗保险纠纷的法律法规</w:t>
      </w:r>
      <w:r>
        <w:rPr>
          <w:rFonts w:eastAsiaTheme="minorEastAsia"/>
          <w:b w:val="0"/>
          <w:bCs/>
          <w:sz w:val="24"/>
          <w:highlight w:val="none"/>
        </w:rPr>
        <w:t>‌</w:t>
      </w:r>
      <w:r>
        <w:rPr>
          <w:rFonts w:hint="eastAsia" w:eastAsiaTheme="minorEastAsia"/>
          <w:b w:val="0"/>
          <w:bCs/>
          <w:sz w:val="24"/>
          <w:highlight w:val="none"/>
        </w:rPr>
        <w:t>索赔，</w:t>
      </w:r>
      <w:r>
        <w:rPr>
          <w:rFonts w:hint="eastAsia" w:asciiTheme="minorEastAsia" w:hAnsiTheme="minorEastAsia" w:eastAsiaTheme="minorEastAsia" w:cstheme="minorEastAsia"/>
          <w:b w:val="0"/>
          <w:bCs/>
          <w:sz w:val="24"/>
          <w:highlight w:val="none"/>
        </w:rPr>
        <w:t>并向</w:t>
      </w:r>
      <w:r>
        <w:rPr>
          <w:rFonts w:hint="eastAsia" w:eastAsiaTheme="minorEastAsia"/>
          <w:b w:val="0"/>
          <w:bCs/>
          <w:sz w:val="24"/>
          <w:highlight w:val="none"/>
        </w:rPr>
        <w:t>市场监督管理部门、向乙方上级单位，业务主管部门投诉，并依法索取民事赔偿。</w:t>
      </w:r>
    </w:p>
    <w:p w14:paraId="293EB895">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2.乙方应严格遵守保密规定，不得收集、使用、处理、存储、传输、泄露隐私信息。否则，甲方及其被保险人、受益人等利益相关人，有权按照法律法规依法索赔，并向</w:t>
      </w:r>
      <w:r>
        <w:rPr>
          <w:rFonts w:hint="eastAsia" w:eastAsiaTheme="minorEastAsia"/>
          <w:b w:val="0"/>
          <w:bCs/>
          <w:sz w:val="24"/>
          <w:highlight w:val="none"/>
        </w:rPr>
        <w:t>市场监督管理部门、向乙方上级单位，业务主管部门投诉，并索取民事赔偿。</w:t>
      </w:r>
    </w:p>
    <w:p w14:paraId="663BE3A6">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3.供应商应在收到甲方投保材料后5个工作日内，完成投保及服务流程设置，确保按时赔付。未在期限内理赔的，即为违约，甲方及其被保险人、受益人等利益相关人，有权按照法律法规依法索赔，并向</w:t>
      </w:r>
      <w:r>
        <w:rPr>
          <w:rFonts w:hint="eastAsia" w:eastAsiaTheme="minorEastAsia"/>
          <w:b w:val="0"/>
          <w:bCs/>
          <w:sz w:val="24"/>
          <w:highlight w:val="none"/>
        </w:rPr>
        <w:t>市场监督管理部门、向乙方上级单位，业务主管部门投诉，并索取民事赔偿。</w:t>
      </w:r>
    </w:p>
    <w:p w14:paraId="22994800">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4.一般正常案件应在5个工作日内理赔结案、理赔款到账。对案件及材料有异议的，应在接到报案材料2个工作日内向报案人和甲方联系人通报情况，共同商定理赔时限。未在约定时间内理赔、拒赔案件应向报案人和甲方送达书面说明或拒赔通知。乙方违约，甲方及其被保险人、受益人等利益相关人，有权按照法律法规依法索赔，并向</w:t>
      </w:r>
      <w:r>
        <w:rPr>
          <w:rFonts w:hint="eastAsia" w:eastAsiaTheme="minorEastAsia"/>
          <w:b w:val="0"/>
          <w:bCs/>
          <w:sz w:val="24"/>
          <w:highlight w:val="none"/>
        </w:rPr>
        <w:t>市场监督管理部门、向乙方上级单位，业务主管部门投诉，并索取民事赔偿。</w:t>
      </w:r>
    </w:p>
    <w:p w14:paraId="6D6BE2AB">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5.《中华人民共和国民法典》、《中华人民共和国招投标法》等相关条款和本合同约定，乙方未全面履行合同义务或者发生违约，致使保险合同无法履行的，甲方有权终止合同，依法向乙方进行经济索赔。</w:t>
      </w:r>
    </w:p>
    <w:p w14:paraId="5EE39C93">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6.乙方服务满意度低，服务态度差、发生投诉案例的，甲方及其利益相关人有权采取包括但不限于约谈、函报、通报、投诉、诉讼等方式依法维权，乙方须按对方实际损失予以赔偿。前述损失包括但不限于守约方自身的一切损失以及任何第三方或监管机构对守约方提出的任何索赔、处罚和费用（包括诉讼仲裁费用、合理的律师费、合理调查和/或补救行动费用）。</w:t>
      </w:r>
    </w:p>
    <w:p w14:paraId="5CFAA751">
      <w:pPr>
        <w:pStyle w:val="6"/>
        <w:spacing w:line="360" w:lineRule="auto"/>
        <w:ind w:firstLine="480"/>
        <w:textAlignment w:val="baseline"/>
        <w:rPr>
          <w:rFonts w:hint="eastAsia" w:asciiTheme="minorEastAsia" w:hAnsiTheme="minorEastAsia" w:eastAsiaTheme="minorEastAsia" w:cstheme="minorEastAsia"/>
          <w:b w:val="0"/>
          <w:bCs/>
          <w:kern w:val="0"/>
          <w:sz w:val="24"/>
          <w:highlight w:val="none"/>
        </w:rPr>
      </w:pPr>
      <w:r>
        <w:rPr>
          <w:rFonts w:hint="eastAsia" w:asciiTheme="minorEastAsia" w:hAnsiTheme="minorEastAsia" w:eastAsiaTheme="minorEastAsia" w:cstheme="minorEastAsia"/>
          <w:b w:val="0"/>
          <w:bCs/>
          <w:kern w:val="0"/>
          <w:sz w:val="24"/>
          <w:highlight w:val="none"/>
        </w:rPr>
        <w:t>十、反商业贿赂</w:t>
      </w:r>
    </w:p>
    <w:p w14:paraId="16F1A831">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1、甲乙双方明确知晓并愿意严格遵守其居住地或经营所在地或其他任何有效适用的反商业贿赂、反腐败的法律法规，双方明确意识到任何形式的贿赂和贪渎行为将触犯法律，并将受到法律的严惩。</w:t>
      </w:r>
    </w:p>
    <w:p w14:paraId="4FCE2A81">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2、甲乙双方应严格禁止其经办人员的任何商业贿赂行为，不得向对方或对方经办人或其他相关人员索要、收受、提供、给予合同约定外的任何利益，包括但不限于暗扣、现金、购物卡、实物、有价证券、旅游或其他非物质性利益等，但如该等利益属于行业惯例或通常做法，则须在合同中明示。</w:t>
      </w:r>
    </w:p>
    <w:p w14:paraId="33417460">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3、甲方或甲方经办人员违反反商业贿赂条款的，乙方有权解除本合同，不支付任何报酬或要求退还所支付的报酬；或要求甲方继续履行本合同，并向乙方支付相当于本合同总金额5%的违约金，在因本项目从任何第三人处收受未经披露的任何形式的报酬或利益时，还应将该报酬或利益转移给乙方。此外，由此给乙方造成的损失以及可能引起的对第三人的责任，均由甲方承担。乙方同时可向国家有关部门就甲方的行为进行举报，甲方应当履行协助并配合调查等义务。</w:t>
      </w:r>
    </w:p>
    <w:p w14:paraId="711A54B9">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3）本款所称“其他相关实体或人员”是指甲乙双方经办人以外的与合同有直接关系或间接利益关系的实体或人员，包括但不限于合同双方经办人的亲友、交易相对方的员工、受交易相对方委托办理相关事务的实体或个人、或可能利用职权或者影响力影响交易的实体或个人。</w:t>
      </w:r>
    </w:p>
    <w:p w14:paraId="1A3132D9">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（4）双方工作人员有违反上述行为的，双方应依据有关法律、法规予以处理；涉嫌犯罪的，双方应移交司法机关追究刑事责任。</w:t>
      </w:r>
    </w:p>
    <w:p w14:paraId="6C786933">
      <w:pPr>
        <w:pStyle w:val="6"/>
        <w:spacing w:line="360" w:lineRule="auto"/>
        <w:ind w:firstLine="480"/>
        <w:textAlignment w:val="baseline"/>
        <w:rPr>
          <w:rFonts w:hint="eastAsia" w:asciiTheme="minorEastAsia" w:hAnsiTheme="minorEastAsia" w:eastAsiaTheme="minorEastAsia" w:cstheme="minorEastAsia"/>
          <w:b w:val="0"/>
          <w:bCs/>
          <w:sz w:val="24"/>
          <w:highlight w:val="none"/>
        </w:rPr>
      </w:pPr>
      <w:r>
        <w:rPr>
          <w:rFonts w:hint="eastAsia" w:asciiTheme="minorEastAsia" w:hAnsiTheme="minorEastAsia" w:eastAsiaTheme="minorEastAsia" w:cstheme="minorEastAsia"/>
          <w:b w:val="0"/>
          <w:bCs/>
          <w:sz w:val="24"/>
          <w:highlight w:val="none"/>
        </w:rPr>
        <w:t>（5） 违反本条的，违约方须按对方实际损失予以赔偿。前述损失包括但不限于守约方自身的一切损失以及任何第三方或监管机构对守约方提出的任何索赔、处罚和费用（包括诉讼仲裁费用、合理的律师费、合理调查和/或补救行动费用）。</w:t>
      </w:r>
    </w:p>
    <w:p w14:paraId="6268B679">
      <w:pPr>
        <w:pStyle w:val="6"/>
        <w:spacing w:line="360" w:lineRule="auto"/>
        <w:ind w:firstLine="480"/>
        <w:textAlignment w:val="baseline"/>
        <w:rPr>
          <w:rFonts w:hint="eastAsia" w:asciiTheme="minorEastAsia" w:hAnsiTheme="minorEastAsia" w:eastAsiaTheme="minorEastAsia" w:cstheme="minorEastAsia"/>
          <w:b w:val="0"/>
          <w:sz w:val="24"/>
          <w:highlight w:val="none"/>
        </w:rPr>
      </w:pPr>
      <w:r>
        <w:rPr>
          <w:rFonts w:hint="eastAsia" w:asciiTheme="minorEastAsia" w:hAnsiTheme="minorEastAsia" w:eastAsiaTheme="minorEastAsia" w:cstheme="minorEastAsia"/>
          <w:b w:val="0"/>
          <w:sz w:val="24"/>
          <w:highlight w:val="none"/>
        </w:rPr>
        <w:t>十一、秘密保护</w:t>
      </w:r>
    </w:p>
    <w:p w14:paraId="662D1DFD">
      <w:pPr>
        <w:pStyle w:val="6"/>
        <w:spacing w:line="360" w:lineRule="auto"/>
        <w:ind w:firstLine="480"/>
        <w:textAlignment w:val="baseline"/>
        <w:rPr>
          <w:rFonts w:hint="eastAsia" w:asciiTheme="minorEastAsia" w:hAnsiTheme="minorEastAsia" w:eastAsiaTheme="minorEastAsia" w:cstheme="minorEastAsia"/>
          <w:b w:val="0"/>
          <w:sz w:val="24"/>
          <w:highlight w:val="none"/>
        </w:rPr>
      </w:pPr>
      <w:r>
        <w:rPr>
          <w:rFonts w:hint="eastAsia" w:asciiTheme="minorEastAsia" w:hAnsiTheme="minorEastAsia" w:eastAsiaTheme="minorEastAsia" w:cstheme="minorEastAsia"/>
          <w:b w:val="0"/>
          <w:sz w:val="24"/>
          <w:highlight w:val="none"/>
        </w:rPr>
        <w:t>1.</w:t>
      </w:r>
      <w:r>
        <w:rPr>
          <w:rFonts w:asciiTheme="minorEastAsia" w:hAnsiTheme="minorEastAsia" w:eastAsiaTheme="minorEastAsia" w:cstheme="minorEastAsia"/>
          <w:b w:val="0"/>
          <w:sz w:val="24"/>
          <w:highlight w:val="none"/>
        </w:rPr>
        <w:t>乙方应遵循保密原则，应采取不低于对其自身信息保密的措施，妥善保管并保护</w:t>
      </w:r>
      <w:r>
        <w:rPr>
          <w:rFonts w:hint="eastAsia" w:asciiTheme="minorEastAsia" w:hAnsiTheme="minorEastAsia" w:eastAsiaTheme="minorEastAsia" w:cstheme="minorEastAsia"/>
          <w:b w:val="0"/>
          <w:sz w:val="24"/>
          <w:highlight w:val="none"/>
        </w:rPr>
        <w:t>公民和单位</w:t>
      </w:r>
      <w:r>
        <w:rPr>
          <w:rFonts w:asciiTheme="minorEastAsia" w:hAnsiTheme="minorEastAsia" w:eastAsiaTheme="minorEastAsia" w:cstheme="minorEastAsia"/>
          <w:b w:val="0"/>
          <w:sz w:val="24"/>
          <w:highlight w:val="none"/>
        </w:rPr>
        <w:t>的保密信息。无论本协议是否终止、解除或撤销，任何一方均不得复制、印刷或通过任何形式向任何第三方传播对方提供的文件、资料等非公开信息以及合作业务中涉及的相关</w:t>
      </w:r>
      <w:r>
        <w:rPr>
          <w:rFonts w:hint="eastAsia" w:asciiTheme="minorEastAsia" w:hAnsiTheme="minorEastAsia" w:eastAsiaTheme="minorEastAsia" w:cstheme="minorEastAsia"/>
          <w:b w:val="0"/>
          <w:sz w:val="24"/>
          <w:highlight w:val="none"/>
        </w:rPr>
        <w:t>学校信息和</w:t>
      </w:r>
      <w:r>
        <w:rPr>
          <w:rFonts w:asciiTheme="minorEastAsia" w:hAnsiTheme="minorEastAsia" w:eastAsiaTheme="minorEastAsia" w:cstheme="minorEastAsia"/>
          <w:b w:val="0"/>
          <w:sz w:val="24"/>
          <w:highlight w:val="none"/>
        </w:rPr>
        <w:t>客户信息，不得将对方的</w:t>
      </w:r>
      <w:r>
        <w:rPr>
          <w:rFonts w:hint="eastAsia" w:asciiTheme="minorEastAsia" w:hAnsiTheme="minorEastAsia" w:eastAsiaTheme="minorEastAsia" w:cstheme="minorEastAsia"/>
          <w:b w:val="0"/>
          <w:sz w:val="24"/>
          <w:highlight w:val="none"/>
        </w:rPr>
        <w:t>资料</w:t>
      </w:r>
      <w:r>
        <w:rPr>
          <w:rFonts w:asciiTheme="minorEastAsia" w:hAnsiTheme="minorEastAsia" w:eastAsiaTheme="minorEastAsia" w:cstheme="minorEastAsia"/>
          <w:b w:val="0"/>
          <w:sz w:val="24"/>
          <w:highlight w:val="none"/>
        </w:rPr>
        <w:t>及客户信息用于双方合作业务之外的任何目的，无论该等信息是否标注为保密。</w:t>
      </w:r>
    </w:p>
    <w:p w14:paraId="6BE47189">
      <w:pPr>
        <w:pStyle w:val="6"/>
        <w:spacing w:line="360" w:lineRule="auto"/>
        <w:ind w:firstLine="480"/>
        <w:textAlignment w:val="baseline"/>
        <w:rPr>
          <w:rFonts w:hint="eastAsia" w:asciiTheme="minorEastAsia" w:hAnsiTheme="minorEastAsia" w:eastAsiaTheme="minorEastAsia" w:cstheme="minorEastAsia"/>
          <w:b w:val="0"/>
          <w:sz w:val="24"/>
          <w:highlight w:val="none"/>
        </w:rPr>
      </w:pPr>
      <w:r>
        <w:rPr>
          <w:rFonts w:hint="eastAsia" w:asciiTheme="minorEastAsia" w:hAnsiTheme="minorEastAsia" w:eastAsiaTheme="minorEastAsia" w:cstheme="minorEastAsia"/>
          <w:b w:val="0"/>
          <w:sz w:val="24"/>
          <w:highlight w:val="none"/>
        </w:rPr>
        <w:t>2.乙</w:t>
      </w:r>
      <w:r>
        <w:rPr>
          <w:rFonts w:asciiTheme="minorEastAsia" w:hAnsiTheme="minorEastAsia" w:eastAsiaTheme="minorEastAsia" w:cstheme="minorEastAsia"/>
          <w:b w:val="0"/>
          <w:sz w:val="24"/>
          <w:highlight w:val="none"/>
        </w:rPr>
        <w:t>方泄密或不正当使用对方秘密给对方造成损失的，泄密方应当承担违约责任。</w:t>
      </w:r>
    </w:p>
    <w:p w14:paraId="35E493EC">
      <w:pPr>
        <w:pStyle w:val="6"/>
        <w:spacing w:line="360" w:lineRule="auto"/>
        <w:ind w:firstLine="480"/>
        <w:textAlignment w:val="baseline"/>
        <w:rPr>
          <w:rFonts w:hint="eastAsia" w:asciiTheme="minorEastAsia" w:hAnsiTheme="minorEastAsia" w:eastAsiaTheme="minorEastAsia" w:cstheme="minorEastAsia"/>
          <w:b w:val="0"/>
          <w:sz w:val="24"/>
          <w:highlight w:val="none"/>
        </w:rPr>
      </w:pPr>
      <w:r>
        <w:rPr>
          <w:rFonts w:hint="eastAsia" w:asciiTheme="minorEastAsia" w:hAnsiTheme="minorEastAsia" w:eastAsiaTheme="minorEastAsia" w:cstheme="minorEastAsia"/>
          <w:b w:val="0"/>
          <w:sz w:val="24"/>
          <w:highlight w:val="none"/>
        </w:rPr>
        <w:t>3.乙方</w:t>
      </w:r>
      <w:r>
        <w:rPr>
          <w:rFonts w:asciiTheme="minorEastAsia" w:hAnsiTheme="minorEastAsia" w:eastAsiaTheme="minorEastAsia" w:cstheme="minorEastAsia"/>
          <w:b w:val="0"/>
          <w:sz w:val="24"/>
          <w:highlight w:val="none"/>
        </w:rPr>
        <w:t>应要求相关人员负有同等保密义务。</w:t>
      </w:r>
      <w:r>
        <w:rPr>
          <w:rFonts w:hint="eastAsia" w:asciiTheme="minorEastAsia" w:hAnsiTheme="minorEastAsia" w:eastAsiaTheme="minorEastAsia" w:cstheme="minorEastAsia"/>
          <w:b w:val="0"/>
          <w:sz w:val="24"/>
          <w:highlight w:val="none"/>
        </w:rPr>
        <w:t>乙方</w:t>
      </w:r>
      <w:r>
        <w:rPr>
          <w:rFonts w:asciiTheme="minorEastAsia" w:hAnsiTheme="minorEastAsia" w:eastAsiaTheme="minorEastAsia" w:cstheme="minorEastAsia"/>
          <w:b w:val="0"/>
          <w:sz w:val="24"/>
          <w:highlight w:val="none"/>
        </w:rPr>
        <w:t>员工、代理人等（以下称“</w:t>
      </w:r>
      <w:r>
        <w:rPr>
          <w:rFonts w:hint="eastAsia" w:asciiTheme="minorEastAsia" w:hAnsiTheme="minorEastAsia" w:eastAsiaTheme="minorEastAsia" w:cstheme="minorEastAsia"/>
          <w:b w:val="0"/>
          <w:sz w:val="24"/>
          <w:highlight w:val="none"/>
        </w:rPr>
        <w:t>乙</w:t>
      </w:r>
      <w:r>
        <w:rPr>
          <w:rFonts w:asciiTheme="minorEastAsia" w:hAnsiTheme="minorEastAsia" w:eastAsiaTheme="minorEastAsia" w:cstheme="minorEastAsia"/>
          <w:b w:val="0"/>
          <w:sz w:val="24"/>
          <w:highlight w:val="none"/>
        </w:rPr>
        <w:t>方人员”）违反保密义务的行为视为</w:t>
      </w:r>
      <w:r>
        <w:rPr>
          <w:rFonts w:hint="eastAsia" w:asciiTheme="minorEastAsia" w:hAnsiTheme="minorEastAsia" w:eastAsiaTheme="minorEastAsia" w:cstheme="minorEastAsia"/>
          <w:b w:val="0"/>
          <w:sz w:val="24"/>
          <w:highlight w:val="none"/>
        </w:rPr>
        <w:t>乙</w:t>
      </w:r>
      <w:r>
        <w:rPr>
          <w:rFonts w:asciiTheme="minorEastAsia" w:hAnsiTheme="minorEastAsia" w:eastAsiaTheme="minorEastAsia" w:cstheme="minorEastAsia"/>
          <w:b w:val="0"/>
          <w:sz w:val="24"/>
          <w:highlight w:val="none"/>
        </w:rPr>
        <w:t>方违约，责任由</w:t>
      </w:r>
      <w:r>
        <w:rPr>
          <w:rFonts w:hint="eastAsia" w:asciiTheme="minorEastAsia" w:hAnsiTheme="minorEastAsia" w:eastAsiaTheme="minorEastAsia" w:cstheme="minorEastAsia"/>
          <w:b w:val="0"/>
          <w:sz w:val="24"/>
          <w:highlight w:val="none"/>
        </w:rPr>
        <w:t>乙</w:t>
      </w:r>
      <w:r>
        <w:rPr>
          <w:rFonts w:asciiTheme="minorEastAsia" w:hAnsiTheme="minorEastAsia" w:eastAsiaTheme="minorEastAsia" w:cstheme="minorEastAsia"/>
          <w:b w:val="0"/>
          <w:sz w:val="24"/>
          <w:highlight w:val="none"/>
        </w:rPr>
        <w:t>方承担。</w:t>
      </w:r>
    </w:p>
    <w:p w14:paraId="1D0BA804">
      <w:pPr>
        <w:pStyle w:val="6"/>
        <w:spacing w:line="360" w:lineRule="auto"/>
        <w:ind w:firstLine="480"/>
        <w:textAlignment w:val="baseline"/>
        <w:rPr>
          <w:rFonts w:hint="eastAsia" w:asciiTheme="minorEastAsia" w:hAnsiTheme="minorEastAsia" w:eastAsiaTheme="minorEastAsia" w:cstheme="minorEastAsia"/>
          <w:b w:val="0"/>
          <w:sz w:val="24"/>
          <w:highlight w:val="none"/>
        </w:rPr>
      </w:pPr>
      <w:r>
        <w:rPr>
          <w:rFonts w:hint="eastAsia" w:asciiTheme="minorEastAsia" w:hAnsiTheme="minorEastAsia" w:eastAsiaTheme="minorEastAsia" w:cstheme="minorEastAsia"/>
          <w:b w:val="0"/>
          <w:sz w:val="24"/>
          <w:highlight w:val="none"/>
        </w:rPr>
        <w:t>4.</w:t>
      </w:r>
      <w:r>
        <w:rPr>
          <w:rFonts w:asciiTheme="minorEastAsia" w:hAnsiTheme="minorEastAsia" w:eastAsiaTheme="minorEastAsia" w:cstheme="minorEastAsia"/>
          <w:b w:val="0"/>
          <w:sz w:val="24"/>
          <w:highlight w:val="none"/>
        </w:rPr>
        <w:t>双方应仅向其有必要知晓保密信息的人员披露该保密信息（且仅可披露必要披露部分的保密信息），以实现本协议项下交易之目的。</w:t>
      </w:r>
      <w:r>
        <w:rPr>
          <w:rFonts w:hint="eastAsia" w:asciiTheme="minorEastAsia" w:hAnsiTheme="minorEastAsia" w:eastAsiaTheme="minorEastAsia" w:cstheme="minorEastAsia"/>
          <w:b w:val="0"/>
          <w:sz w:val="24"/>
          <w:highlight w:val="none"/>
        </w:rPr>
        <w:t>乙</w:t>
      </w:r>
      <w:r>
        <w:rPr>
          <w:rFonts w:asciiTheme="minorEastAsia" w:hAnsiTheme="minorEastAsia" w:eastAsiaTheme="minorEastAsia" w:cstheme="minorEastAsia"/>
          <w:b w:val="0"/>
          <w:sz w:val="24"/>
          <w:highlight w:val="none"/>
        </w:rPr>
        <w:t>方均应告知其人员本协议项下保密条款的要求，双方人员违反保密义务的，视为该方违约，需向守约方承担违约责任。</w:t>
      </w:r>
    </w:p>
    <w:p w14:paraId="63396EC7">
      <w:pPr>
        <w:pStyle w:val="6"/>
        <w:spacing w:line="360" w:lineRule="auto"/>
        <w:ind w:firstLine="480"/>
        <w:textAlignment w:val="baseline"/>
        <w:rPr>
          <w:rFonts w:hint="eastAsia" w:asciiTheme="minorEastAsia" w:hAnsiTheme="minorEastAsia" w:eastAsiaTheme="minorEastAsia" w:cstheme="minorEastAsia"/>
          <w:b w:val="0"/>
          <w:sz w:val="24"/>
          <w:highlight w:val="none"/>
        </w:rPr>
      </w:pPr>
      <w:r>
        <w:rPr>
          <w:rFonts w:hint="eastAsia" w:asciiTheme="minorEastAsia" w:hAnsiTheme="minorEastAsia" w:eastAsiaTheme="minorEastAsia" w:cstheme="minorEastAsia"/>
          <w:b w:val="0"/>
          <w:sz w:val="24"/>
          <w:highlight w:val="none"/>
        </w:rPr>
        <w:t>5.</w:t>
      </w:r>
      <w:r>
        <w:rPr>
          <w:rFonts w:asciiTheme="minorEastAsia" w:hAnsiTheme="minorEastAsia" w:eastAsiaTheme="minorEastAsia" w:cstheme="minorEastAsia"/>
          <w:b w:val="0"/>
          <w:sz w:val="24"/>
          <w:highlight w:val="none"/>
        </w:rPr>
        <w:t>本协议项下保密条款具有独立性，保密义务的期限自本协议签署之日起至该信息公开之日，保密义务不因协议终止而失效。</w:t>
      </w:r>
    </w:p>
    <w:p w14:paraId="2D5BB384">
      <w:pPr>
        <w:pStyle w:val="6"/>
        <w:spacing w:line="360" w:lineRule="auto"/>
        <w:ind w:firstLine="482"/>
        <w:textAlignment w:val="baseline"/>
        <w:rPr>
          <w:rFonts w:hint="eastAsia" w:ascii="宋体" w:hAnsi="宋体" w:eastAsia="宋体" w:cs="宋体"/>
          <w:bCs/>
          <w:kern w:val="0"/>
          <w:sz w:val="24"/>
          <w:highlight w:val="none"/>
        </w:rPr>
      </w:pPr>
      <w:r>
        <w:rPr>
          <w:rFonts w:hint="eastAsia" w:ascii="宋体" w:hAnsi="宋体" w:eastAsia="宋体" w:cs="宋体"/>
          <w:bCs/>
          <w:kern w:val="0"/>
          <w:sz w:val="24"/>
          <w:highlight w:val="none"/>
        </w:rPr>
        <w:t>十二、附则</w:t>
      </w:r>
    </w:p>
    <w:p w14:paraId="3202A605">
      <w:pPr>
        <w:spacing w:line="360" w:lineRule="auto"/>
        <w:ind w:firstLine="480" w:firstLineChars="200"/>
        <w:textAlignment w:val="baseline"/>
        <w:rPr>
          <w:rFonts w:hint="eastAsia" w:ascii="宋体" w:hAnsi="宋体" w:cs="宋体"/>
          <w:sz w:val="24"/>
          <w:highlight w:val="none"/>
        </w:rPr>
      </w:pPr>
      <w:r>
        <w:rPr>
          <w:rFonts w:hint="eastAsia" w:ascii="宋体" w:hAnsi="宋体" w:cs="宋体"/>
          <w:sz w:val="24"/>
          <w:highlight w:val="none"/>
        </w:rPr>
        <w:t>1、本合同一式柒份，甲方六份，乙方一份。签字盖章后生效，合同执行完毕自动失效；</w:t>
      </w:r>
    </w:p>
    <w:p w14:paraId="2AA7EA34">
      <w:pPr>
        <w:pStyle w:val="6"/>
        <w:spacing w:line="360" w:lineRule="auto"/>
        <w:ind w:firstLine="120" w:firstLineChars="50"/>
        <w:textAlignment w:val="baseline"/>
        <w:rPr>
          <w:rFonts w:hint="eastAsia" w:ascii="宋体" w:hAnsi="宋体" w:eastAsia="宋体" w:cs="宋体"/>
          <w:sz w:val="24"/>
          <w:highlight w:val="none"/>
        </w:rPr>
      </w:pPr>
      <w:r>
        <w:rPr>
          <w:rFonts w:hint="eastAsia" w:ascii="宋体" w:hAnsi="宋体" w:eastAsia="宋体" w:cs="宋体"/>
          <w:sz w:val="24"/>
          <w:highlight w:val="none"/>
        </w:rPr>
        <w:t>2、本合同如有未尽事宜，经双方协商一致后可随时以书面方式修改或补充，并作为本合同组成部分；</w:t>
      </w:r>
    </w:p>
    <w:p w14:paraId="06D0A54F">
      <w:pPr>
        <w:pStyle w:val="3"/>
        <w:snapToGrid w:val="0"/>
        <w:spacing w:line="324" w:lineRule="auto"/>
        <w:ind w:firstLine="480"/>
        <w:textAlignment w:val="baseline"/>
        <w:rPr>
          <w:rFonts w:hint="eastAsia" w:ascii="宋体" w:hAnsi="宋体" w:cs="宋体"/>
          <w:sz w:val="24"/>
          <w:szCs w:val="24"/>
          <w:highlight w:val="none"/>
        </w:rPr>
      </w:pPr>
      <w:r>
        <w:rPr>
          <w:rFonts w:hint="eastAsia" w:ascii="宋体" w:hAnsi="宋体" w:cs="宋体"/>
          <w:sz w:val="24"/>
          <w:szCs w:val="24"/>
          <w:highlight w:val="none"/>
        </w:rPr>
        <w:t>3、本合同不支持债权转让。</w:t>
      </w:r>
    </w:p>
    <w:p w14:paraId="0D628811">
      <w:pPr>
        <w:pStyle w:val="3"/>
        <w:spacing w:line="360" w:lineRule="auto"/>
        <w:ind w:firstLine="439" w:firstLineChars="183"/>
        <w:textAlignment w:val="baseline"/>
        <w:rPr>
          <w:rFonts w:hint="eastAsia" w:ascii="宋体" w:hAnsi="宋体" w:cs="宋体"/>
          <w:sz w:val="24"/>
          <w:szCs w:val="24"/>
          <w:highlight w:val="none"/>
        </w:rPr>
      </w:pPr>
      <w:r>
        <w:rPr>
          <w:rFonts w:hint="eastAsia" w:ascii="宋体" w:hAnsi="宋体" w:cs="宋体"/>
          <w:sz w:val="24"/>
          <w:szCs w:val="24"/>
          <w:highlight w:val="none"/>
        </w:rPr>
        <w:t>4、本合同附件与本合同具有同等法律效力，本合同附件包括：</w:t>
      </w:r>
      <w:r>
        <w:rPr>
          <w:rFonts w:hint="eastAsia" w:ascii="宋体" w:hAnsi="宋体" w:cs="宋体"/>
          <w:sz w:val="24"/>
          <w:szCs w:val="24"/>
          <w:highlight w:val="none"/>
          <w:u w:val="single"/>
        </w:rPr>
        <w:t>投标文件。</w:t>
      </w:r>
    </w:p>
    <w:p w14:paraId="180AA8C7">
      <w:pPr>
        <w:pStyle w:val="6"/>
        <w:spacing w:line="360" w:lineRule="auto"/>
        <w:ind w:firstLine="482"/>
        <w:textAlignment w:val="baseline"/>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（以下无正文为签字盖章页）</w:t>
      </w:r>
    </w:p>
    <w:p w14:paraId="6BF9A166">
      <w:pPr>
        <w:rPr>
          <w:rFonts w:hint="eastAsia" w:asciiTheme="minorEastAsia" w:hAnsiTheme="minorEastAsia" w:cstheme="minorEastAsia"/>
          <w:sz w:val="24"/>
          <w:highlight w:val="none"/>
        </w:rPr>
      </w:pPr>
      <w:r>
        <w:rPr>
          <w:rFonts w:asciiTheme="minorEastAsia" w:hAnsiTheme="minorEastAsia" w:cstheme="minorEastAsia"/>
          <w:sz w:val="24"/>
          <w:highlight w:val="none"/>
        </w:rPr>
        <w:br w:type="page"/>
      </w:r>
    </w:p>
    <w:p w14:paraId="62B1AE5A">
      <w:pPr>
        <w:pStyle w:val="6"/>
        <w:spacing w:line="360" w:lineRule="auto"/>
        <w:ind w:firstLine="482"/>
        <w:textAlignment w:val="baseline"/>
        <w:rPr>
          <w:rFonts w:hint="eastAsia" w:asciiTheme="minorEastAsia" w:hAnsiTheme="minorEastAsia" w:eastAsiaTheme="minorEastAsia" w:cstheme="minorEastAsia"/>
          <w:sz w:val="24"/>
          <w:highlight w:val="none"/>
        </w:rPr>
      </w:pPr>
    </w:p>
    <w:tbl>
      <w:tblPr>
        <w:tblStyle w:val="7"/>
        <w:tblW w:w="9599" w:type="dxa"/>
        <w:jc w:val="center"/>
        <w:tblLayout w:type="fixed"/>
        <w:tblCellMar>
          <w:top w:w="0" w:type="dxa"/>
          <w:left w:w="108" w:type="dxa"/>
          <w:bottom w:w="0" w:type="dxa"/>
          <w:right w:w="108" w:type="dxa"/>
        </w:tblCellMar>
      </w:tblPr>
      <w:tblGrid>
        <w:gridCol w:w="4900"/>
        <w:gridCol w:w="4699"/>
      </w:tblGrid>
      <w:tr w14:paraId="0AD7BA36">
        <w:tblPrEx>
          <w:tblCellMar>
            <w:top w:w="0" w:type="dxa"/>
            <w:left w:w="108" w:type="dxa"/>
            <w:bottom w:w="0" w:type="dxa"/>
            <w:right w:w="108" w:type="dxa"/>
          </w:tblCellMar>
        </w:tblPrEx>
        <w:trPr>
          <w:trHeight w:val="487" w:hRule="atLeast"/>
          <w:jc w:val="center"/>
        </w:trPr>
        <w:tc>
          <w:tcPr>
            <w:tcW w:w="4900" w:type="dxa"/>
            <w:tcBorders>
              <w:top w:val="single" w:color="auto" w:sz="12" w:space="0"/>
              <w:left w:val="single" w:color="auto" w:sz="12" w:space="0"/>
              <w:right w:val="single" w:color="auto" w:sz="12" w:space="0"/>
            </w:tcBorders>
            <w:vAlign w:val="center"/>
          </w:tcPr>
          <w:p w14:paraId="557AACE7">
            <w:pPr>
              <w:jc w:val="center"/>
              <w:rPr>
                <w:rFonts w:hint="eastAsia" w:ascii="黑体" w:hAnsi="黑体" w:eastAsia="黑体" w:cs="宋体"/>
                <w:b/>
                <w:bCs/>
                <w:sz w:val="24"/>
                <w:highlight w:val="none"/>
              </w:rPr>
            </w:pPr>
            <w:r>
              <w:rPr>
                <w:rFonts w:hint="eastAsia" w:ascii="黑体" w:hAnsi="黑体" w:eastAsia="黑体" w:cs="宋体"/>
                <w:b/>
                <w:bCs/>
                <w:sz w:val="24"/>
                <w:highlight w:val="none"/>
              </w:rPr>
              <w:t>甲  方</w:t>
            </w:r>
          </w:p>
        </w:tc>
        <w:tc>
          <w:tcPr>
            <w:tcW w:w="4699" w:type="dxa"/>
            <w:tcBorders>
              <w:top w:val="single" w:color="auto" w:sz="12" w:space="0"/>
              <w:left w:val="single" w:color="auto" w:sz="12" w:space="0"/>
              <w:right w:val="single" w:color="auto" w:sz="12" w:space="0"/>
            </w:tcBorders>
            <w:vAlign w:val="center"/>
          </w:tcPr>
          <w:p w14:paraId="5E47FD92">
            <w:pPr>
              <w:jc w:val="center"/>
              <w:rPr>
                <w:rFonts w:hint="eastAsia" w:ascii="黑体" w:hAnsi="黑体" w:eastAsia="黑体" w:cs="宋体"/>
                <w:sz w:val="24"/>
                <w:highlight w:val="none"/>
              </w:rPr>
            </w:pPr>
            <w:r>
              <w:rPr>
                <w:rFonts w:hint="eastAsia" w:ascii="黑体" w:hAnsi="黑体" w:eastAsia="黑体" w:cs="宋体"/>
                <w:b/>
                <w:bCs/>
                <w:sz w:val="24"/>
                <w:highlight w:val="none"/>
              </w:rPr>
              <w:t>乙  方</w:t>
            </w:r>
          </w:p>
        </w:tc>
      </w:tr>
      <w:tr w14:paraId="0E4FCA81">
        <w:tblPrEx>
          <w:tblCellMar>
            <w:top w:w="0" w:type="dxa"/>
            <w:left w:w="108" w:type="dxa"/>
            <w:bottom w:w="0" w:type="dxa"/>
            <w:right w:w="108" w:type="dxa"/>
          </w:tblCellMar>
        </w:tblPrEx>
        <w:trPr>
          <w:trHeight w:val="933" w:hRule="atLeast"/>
          <w:jc w:val="center"/>
        </w:trPr>
        <w:tc>
          <w:tcPr>
            <w:tcW w:w="4900" w:type="dxa"/>
            <w:tcBorders>
              <w:left w:val="single" w:color="auto" w:sz="12" w:space="0"/>
              <w:right w:val="single" w:color="auto" w:sz="12" w:space="0"/>
            </w:tcBorders>
            <w:vAlign w:val="center"/>
          </w:tcPr>
          <w:p w14:paraId="110F59E0">
            <w:pPr>
              <w:kinsoku w:val="0"/>
              <w:spacing w:line="360" w:lineRule="auto"/>
              <w:rPr>
                <w:rFonts w:hint="eastAsia" w:ascii="宋体" w:hAnsi="宋体" w:cs="宋体"/>
                <w:sz w:val="24"/>
                <w:highlight w:val="none"/>
              </w:rPr>
            </w:pPr>
            <w:r>
              <w:rPr>
                <w:rFonts w:hint="eastAsia" w:ascii="宋体" w:hAnsi="宋体" w:cs="宋体"/>
                <w:sz w:val="24"/>
                <w:highlight w:val="none"/>
              </w:rPr>
              <w:t>名称：陕西铁路工程职业技术学院</w:t>
            </w:r>
          </w:p>
          <w:p w14:paraId="14F798F4">
            <w:pPr>
              <w:rPr>
                <w:rFonts w:hint="eastAsia" w:ascii="仿宋" w:hAnsi="仿宋" w:eastAsia="仿宋" w:cs="宋体"/>
                <w:sz w:val="24"/>
                <w:highlight w:val="none"/>
              </w:rPr>
            </w:pPr>
            <w:r>
              <w:rPr>
                <w:rFonts w:hint="eastAsia" w:ascii="仿宋" w:hAnsi="仿宋" w:eastAsia="仿宋" w:cs="宋体"/>
                <w:sz w:val="24"/>
                <w:highlight w:val="none"/>
              </w:rPr>
              <w:t>（盖章）</w:t>
            </w:r>
          </w:p>
        </w:tc>
        <w:tc>
          <w:tcPr>
            <w:tcW w:w="4699" w:type="dxa"/>
            <w:tcBorders>
              <w:left w:val="single" w:color="auto" w:sz="12" w:space="0"/>
              <w:right w:val="single" w:color="auto" w:sz="12" w:space="0"/>
            </w:tcBorders>
            <w:vAlign w:val="center"/>
          </w:tcPr>
          <w:p w14:paraId="79B3936A">
            <w:pPr>
              <w:jc w:val="left"/>
              <w:rPr>
                <w:rFonts w:hint="eastAsia" w:ascii="仿宋" w:hAnsi="仿宋" w:eastAsia="仿宋" w:cs="宋体"/>
                <w:sz w:val="24"/>
                <w:highlight w:val="none"/>
              </w:rPr>
            </w:pPr>
            <w:r>
              <w:rPr>
                <w:rFonts w:hint="eastAsia" w:ascii="宋体" w:hAnsi="宋体" w:cs="宋体"/>
                <w:snapToGrid w:val="0"/>
                <w:sz w:val="24"/>
                <w:highlight w:val="none"/>
              </w:rPr>
              <w:t>名称：</w:t>
            </w:r>
            <w:r>
              <w:rPr>
                <w:rFonts w:ascii="仿宋" w:hAnsi="仿宋" w:eastAsia="仿宋" w:cs="宋体"/>
                <w:sz w:val="24"/>
                <w:highlight w:val="none"/>
              </w:rPr>
              <w:t xml:space="preserve"> </w:t>
            </w:r>
          </w:p>
          <w:p w14:paraId="792B5459">
            <w:pPr>
              <w:jc w:val="right"/>
              <w:rPr>
                <w:rFonts w:hint="eastAsia" w:ascii="仿宋" w:hAnsi="仿宋" w:eastAsia="仿宋" w:cs="宋体"/>
                <w:sz w:val="24"/>
                <w:highlight w:val="none"/>
              </w:rPr>
            </w:pPr>
          </w:p>
        </w:tc>
      </w:tr>
      <w:tr w14:paraId="37DDE6C7">
        <w:tblPrEx>
          <w:tblCellMar>
            <w:top w:w="0" w:type="dxa"/>
            <w:left w:w="108" w:type="dxa"/>
            <w:bottom w:w="0" w:type="dxa"/>
            <w:right w:w="108" w:type="dxa"/>
          </w:tblCellMar>
        </w:tblPrEx>
        <w:trPr>
          <w:trHeight w:val="1033" w:hRule="atLeast"/>
          <w:jc w:val="center"/>
        </w:trPr>
        <w:tc>
          <w:tcPr>
            <w:tcW w:w="4900" w:type="dxa"/>
            <w:tcBorders>
              <w:left w:val="single" w:color="auto" w:sz="12" w:space="0"/>
              <w:right w:val="single" w:color="auto" w:sz="12" w:space="0"/>
            </w:tcBorders>
            <w:vAlign w:val="center"/>
          </w:tcPr>
          <w:p w14:paraId="26186732">
            <w:pPr>
              <w:spacing w:line="360" w:lineRule="auto"/>
              <w:rPr>
                <w:rFonts w:hint="eastAsia" w:ascii="宋体" w:hAnsi="宋体" w:cs="宋体"/>
                <w:sz w:val="24"/>
                <w:highlight w:val="none"/>
              </w:rPr>
            </w:pPr>
            <w:r>
              <w:rPr>
                <w:rFonts w:hint="eastAsia" w:ascii="宋体" w:hAnsi="宋体" w:cs="宋体"/>
                <w:sz w:val="24"/>
                <w:highlight w:val="none"/>
              </w:rPr>
              <w:t>地址：陕西省渭南市高新区胜利大街西段</w:t>
            </w:r>
          </w:p>
        </w:tc>
        <w:tc>
          <w:tcPr>
            <w:tcW w:w="4699" w:type="dxa"/>
            <w:tcBorders>
              <w:left w:val="single" w:color="auto" w:sz="12" w:space="0"/>
              <w:right w:val="single" w:color="auto" w:sz="12" w:space="0"/>
            </w:tcBorders>
            <w:vAlign w:val="center"/>
          </w:tcPr>
          <w:p w14:paraId="113BA2B6">
            <w:pPr>
              <w:spacing w:line="360" w:lineRule="auto"/>
              <w:rPr>
                <w:rFonts w:hint="eastAsia" w:ascii="宋体" w:hAnsi="宋体" w:cs="宋体"/>
                <w:sz w:val="24"/>
                <w:highlight w:val="none"/>
              </w:rPr>
            </w:pPr>
            <w:r>
              <w:rPr>
                <w:rFonts w:hint="eastAsia" w:ascii="宋体" w:hAnsi="宋体" w:cs="宋体"/>
                <w:sz w:val="24"/>
                <w:highlight w:val="none"/>
              </w:rPr>
              <w:t xml:space="preserve">地址： </w:t>
            </w:r>
          </w:p>
        </w:tc>
      </w:tr>
      <w:tr w14:paraId="0D69517B">
        <w:tblPrEx>
          <w:tblCellMar>
            <w:top w:w="0" w:type="dxa"/>
            <w:left w:w="108" w:type="dxa"/>
            <w:bottom w:w="0" w:type="dxa"/>
            <w:right w:w="108" w:type="dxa"/>
          </w:tblCellMar>
        </w:tblPrEx>
        <w:trPr>
          <w:trHeight w:val="537" w:hRule="atLeast"/>
          <w:jc w:val="center"/>
        </w:trPr>
        <w:tc>
          <w:tcPr>
            <w:tcW w:w="4900" w:type="dxa"/>
            <w:tcBorders>
              <w:left w:val="single" w:color="auto" w:sz="12" w:space="0"/>
              <w:right w:val="single" w:color="auto" w:sz="12" w:space="0"/>
            </w:tcBorders>
            <w:vAlign w:val="center"/>
          </w:tcPr>
          <w:p w14:paraId="56EB1EC8">
            <w:pPr>
              <w:spacing w:line="360" w:lineRule="auto"/>
              <w:rPr>
                <w:rFonts w:hint="eastAsia" w:ascii="宋体" w:hAnsi="宋体" w:cs="宋体"/>
                <w:sz w:val="24"/>
                <w:highlight w:val="none"/>
              </w:rPr>
            </w:pPr>
            <w:r>
              <w:rPr>
                <w:rFonts w:hint="eastAsia" w:ascii="宋体" w:hAnsi="宋体" w:cs="宋体"/>
                <w:sz w:val="24"/>
                <w:highlight w:val="none"/>
              </w:rPr>
              <w:t>邮编：714099</w:t>
            </w:r>
          </w:p>
        </w:tc>
        <w:tc>
          <w:tcPr>
            <w:tcW w:w="4699" w:type="dxa"/>
            <w:tcBorders>
              <w:left w:val="single" w:color="auto" w:sz="12" w:space="0"/>
              <w:right w:val="single" w:color="auto" w:sz="12" w:space="0"/>
            </w:tcBorders>
            <w:vAlign w:val="center"/>
          </w:tcPr>
          <w:p w14:paraId="1508CB3B">
            <w:pPr>
              <w:spacing w:line="360" w:lineRule="auto"/>
              <w:rPr>
                <w:rFonts w:hint="eastAsia" w:ascii="宋体" w:hAnsi="宋体" w:cs="宋体"/>
                <w:sz w:val="24"/>
                <w:highlight w:val="none"/>
              </w:rPr>
            </w:pPr>
            <w:r>
              <w:rPr>
                <w:rFonts w:hint="eastAsia" w:ascii="宋体" w:hAnsi="宋体" w:cs="宋体"/>
                <w:sz w:val="24"/>
                <w:highlight w:val="none"/>
              </w:rPr>
              <w:t>邮编：</w:t>
            </w:r>
          </w:p>
        </w:tc>
      </w:tr>
      <w:tr w14:paraId="7F2059A0">
        <w:tblPrEx>
          <w:tblCellMar>
            <w:top w:w="0" w:type="dxa"/>
            <w:left w:w="108" w:type="dxa"/>
            <w:bottom w:w="0" w:type="dxa"/>
            <w:right w:w="108" w:type="dxa"/>
          </w:tblCellMar>
        </w:tblPrEx>
        <w:trPr>
          <w:trHeight w:val="537" w:hRule="atLeast"/>
          <w:jc w:val="center"/>
        </w:trPr>
        <w:tc>
          <w:tcPr>
            <w:tcW w:w="4900" w:type="dxa"/>
            <w:tcBorders>
              <w:left w:val="single" w:color="auto" w:sz="12" w:space="0"/>
              <w:right w:val="single" w:color="auto" w:sz="12" w:space="0"/>
            </w:tcBorders>
            <w:vAlign w:val="center"/>
          </w:tcPr>
          <w:p w14:paraId="1C679442">
            <w:pPr>
              <w:spacing w:line="360" w:lineRule="auto"/>
              <w:rPr>
                <w:rFonts w:hint="eastAsia" w:ascii="宋体" w:hAnsi="宋体" w:cs="宋体"/>
                <w:sz w:val="24"/>
                <w:highlight w:val="none"/>
              </w:rPr>
            </w:pPr>
            <w:r>
              <w:rPr>
                <w:rFonts w:hint="eastAsia" w:ascii="宋体" w:hAnsi="宋体" w:cs="宋体"/>
                <w:sz w:val="24"/>
                <w:highlight w:val="none"/>
              </w:rPr>
              <w:t>法定代表人（负责人）：</w:t>
            </w:r>
          </w:p>
        </w:tc>
        <w:tc>
          <w:tcPr>
            <w:tcW w:w="4699" w:type="dxa"/>
            <w:tcBorders>
              <w:left w:val="single" w:color="auto" w:sz="12" w:space="0"/>
              <w:right w:val="single" w:color="auto" w:sz="12" w:space="0"/>
            </w:tcBorders>
            <w:vAlign w:val="center"/>
          </w:tcPr>
          <w:p w14:paraId="4CAF60C6">
            <w:pPr>
              <w:spacing w:line="360" w:lineRule="auto"/>
              <w:rPr>
                <w:rFonts w:hint="eastAsia" w:ascii="宋体" w:hAnsi="宋体" w:cs="宋体"/>
                <w:sz w:val="24"/>
                <w:highlight w:val="none"/>
              </w:rPr>
            </w:pPr>
            <w:r>
              <w:rPr>
                <w:rFonts w:hint="eastAsia" w:ascii="宋体" w:hAnsi="宋体" w:cs="宋体"/>
                <w:sz w:val="24"/>
                <w:highlight w:val="none"/>
              </w:rPr>
              <w:t>法定代表人（负责人）：</w:t>
            </w:r>
          </w:p>
        </w:tc>
      </w:tr>
      <w:tr w14:paraId="28655F9A">
        <w:tblPrEx>
          <w:tblCellMar>
            <w:top w:w="0" w:type="dxa"/>
            <w:left w:w="108" w:type="dxa"/>
            <w:bottom w:w="0" w:type="dxa"/>
            <w:right w:w="108" w:type="dxa"/>
          </w:tblCellMar>
        </w:tblPrEx>
        <w:trPr>
          <w:trHeight w:val="537" w:hRule="atLeast"/>
          <w:jc w:val="center"/>
        </w:trPr>
        <w:tc>
          <w:tcPr>
            <w:tcW w:w="4900" w:type="dxa"/>
            <w:tcBorders>
              <w:left w:val="single" w:color="auto" w:sz="12" w:space="0"/>
              <w:right w:val="single" w:color="auto" w:sz="12" w:space="0"/>
            </w:tcBorders>
            <w:vAlign w:val="center"/>
          </w:tcPr>
          <w:p w14:paraId="171B5D31">
            <w:pPr>
              <w:spacing w:line="360" w:lineRule="auto"/>
              <w:rPr>
                <w:rFonts w:hint="eastAsia" w:ascii="宋体" w:hAnsi="宋体" w:cs="宋体"/>
                <w:sz w:val="24"/>
                <w:highlight w:val="none"/>
              </w:rPr>
            </w:pPr>
            <w:r>
              <w:rPr>
                <w:rFonts w:hint="eastAsia" w:ascii="宋体" w:hAnsi="宋体" w:cs="宋体"/>
                <w:sz w:val="24"/>
                <w:highlight w:val="none"/>
              </w:rPr>
              <w:t>被授权代表：（签字）</w:t>
            </w:r>
          </w:p>
        </w:tc>
        <w:tc>
          <w:tcPr>
            <w:tcW w:w="4699" w:type="dxa"/>
            <w:tcBorders>
              <w:left w:val="single" w:color="auto" w:sz="12" w:space="0"/>
              <w:right w:val="single" w:color="auto" w:sz="12" w:space="0"/>
            </w:tcBorders>
            <w:vAlign w:val="center"/>
          </w:tcPr>
          <w:p w14:paraId="0FD2E344">
            <w:pPr>
              <w:spacing w:line="360" w:lineRule="auto"/>
              <w:rPr>
                <w:rFonts w:hint="eastAsia" w:ascii="宋体" w:hAnsi="宋体" w:cs="宋体"/>
                <w:sz w:val="24"/>
                <w:highlight w:val="none"/>
              </w:rPr>
            </w:pPr>
            <w:r>
              <w:rPr>
                <w:rFonts w:hint="eastAsia" w:ascii="宋体" w:hAnsi="宋体" w:cs="宋体"/>
                <w:sz w:val="24"/>
                <w:highlight w:val="none"/>
              </w:rPr>
              <w:t>被授权代表：（签字）</w:t>
            </w:r>
          </w:p>
        </w:tc>
      </w:tr>
      <w:tr w14:paraId="60E46F76">
        <w:tblPrEx>
          <w:tblCellMar>
            <w:top w:w="0" w:type="dxa"/>
            <w:left w:w="108" w:type="dxa"/>
            <w:bottom w:w="0" w:type="dxa"/>
            <w:right w:w="108" w:type="dxa"/>
          </w:tblCellMar>
        </w:tblPrEx>
        <w:trPr>
          <w:trHeight w:val="537" w:hRule="atLeast"/>
          <w:jc w:val="center"/>
        </w:trPr>
        <w:tc>
          <w:tcPr>
            <w:tcW w:w="4900" w:type="dxa"/>
            <w:tcBorders>
              <w:left w:val="single" w:color="auto" w:sz="12" w:space="0"/>
              <w:right w:val="single" w:color="auto" w:sz="12" w:space="0"/>
            </w:tcBorders>
            <w:vAlign w:val="center"/>
          </w:tcPr>
          <w:p w14:paraId="54115DC0">
            <w:pPr>
              <w:spacing w:line="360" w:lineRule="auto"/>
              <w:rPr>
                <w:rFonts w:hint="eastAsia" w:ascii="宋体" w:hAnsi="宋体" w:cs="宋体"/>
                <w:sz w:val="24"/>
                <w:highlight w:val="none"/>
              </w:rPr>
            </w:pPr>
            <w:r>
              <w:rPr>
                <w:rFonts w:hint="eastAsia" w:ascii="宋体" w:hAnsi="宋体" w:cs="宋体"/>
                <w:sz w:val="24"/>
                <w:highlight w:val="none"/>
              </w:rPr>
              <w:t>电话：</w:t>
            </w:r>
            <w:r>
              <w:rPr>
                <w:rFonts w:ascii="宋体" w:hAnsi="宋体" w:cs="宋体"/>
                <w:sz w:val="24"/>
                <w:highlight w:val="none"/>
              </w:rPr>
              <w:t>0913-2221178</w:t>
            </w:r>
          </w:p>
        </w:tc>
        <w:tc>
          <w:tcPr>
            <w:tcW w:w="4699" w:type="dxa"/>
            <w:tcBorders>
              <w:left w:val="single" w:color="auto" w:sz="12" w:space="0"/>
              <w:right w:val="single" w:color="auto" w:sz="12" w:space="0"/>
            </w:tcBorders>
            <w:vAlign w:val="center"/>
          </w:tcPr>
          <w:p w14:paraId="3946818A">
            <w:pPr>
              <w:spacing w:line="360" w:lineRule="auto"/>
              <w:rPr>
                <w:rFonts w:hint="eastAsia" w:ascii="宋体" w:hAnsi="宋体" w:cs="宋体"/>
                <w:sz w:val="24"/>
                <w:highlight w:val="none"/>
              </w:rPr>
            </w:pPr>
            <w:r>
              <w:rPr>
                <w:rFonts w:hint="eastAsia" w:ascii="宋体" w:hAnsi="宋体" w:cs="宋体"/>
                <w:sz w:val="24"/>
                <w:highlight w:val="none"/>
              </w:rPr>
              <w:t>电话：</w:t>
            </w:r>
          </w:p>
        </w:tc>
      </w:tr>
      <w:tr w14:paraId="5C7C98D9">
        <w:tblPrEx>
          <w:tblCellMar>
            <w:top w:w="0" w:type="dxa"/>
            <w:left w:w="108" w:type="dxa"/>
            <w:bottom w:w="0" w:type="dxa"/>
            <w:right w:w="108" w:type="dxa"/>
          </w:tblCellMar>
        </w:tblPrEx>
        <w:trPr>
          <w:trHeight w:val="537" w:hRule="atLeast"/>
          <w:jc w:val="center"/>
        </w:trPr>
        <w:tc>
          <w:tcPr>
            <w:tcW w:w="4900" w:type="dxa"/>
            <w:tcBorders>
              <w:left w:val="single" w:color="auto" w:sz="12" w:space="0"/>
              <w:right w:val="single" w:color="auto" w:sz="12" w:space="0"/>
            </w:tcBorders>
            <w:vAlign w:val="center"/>
          </w:tcPr>
          <w:p w14:paraId="3694E406">
            <w:pPr>
              <w:spacing w:line="360" w:lineRule="auto"/>
              <w:rPr>
                <w:rFonts w:hint="eastAsia" w:ascii="宋体" w:hAnsi="宋体" w:cs="宋体"/>
                <w:sz w:val="24"/>
                <w:highlight w:val="none"/>
              </w:rPr>
            </w:pPr>
            <w:r>
              <w:rPr>
                <w:rFonts w:hint="eastAsia" w:ascii="Calibri" w:hAnsi="Calibri"/>
                <w:sz w:val="24"/>
                <w:highlight w:val="none"/>
              </w:rPr>
              <w:t>统一社会信用代码</w:t>
            </w:r>
            <w:r>
              <w:rPr>
                <w:rFonts w:hint="eastAsia" w:ascii="宋体" w:hAnsi="宋体" w:cs="宋体"/>
                <w:sz w:val="24"/>
                <w:highlight w:val="none"/>
              </w:rPr>
              <w:t>：</w:t>
            </w:r>
            <w:r>
              <w:rPr>
                <w:rFonts w:ascii="宋体" w:hAnsi="宋体" w:cs="宋体"/>
                <w:sz w:val="24"/>
                <w:highlight w:val="none"/>
              </w:rPr>
              <w:t>126100004369070259</w:t>
            </w:r>
          </w:p>
        </w:tc>
        <w:tc>
          <w:tcPr>
            <w:tcW w:w="4699" w:type="dxa"/>
            <w:tcBorders>
              <w:left w:val="single" w:color="auto" w:sz="12" w:space="0"/>
              <w:right w:val="single" w:color="auto" w:sz="12" w:space="0"/>
            </w:tcBorders>
            <w:vAlign w:val="center"/>
          </w:tcPr>
          <w:p w14:paraId="08FC9213">
            <w:pPr>
              <w:spacing w:line="360" w:lineRule="auto"/>
              <w:rPr>
                <w:rFonts w:hint="eastAsia" w:ascii="宋体" w:hAnsi="宋体" w:cs="宋体"/>
                <w:sz w:val="24"/>
                <w:highlight w:val="none"/>
              </w:rPr>
            </w:pPr>
            <w:r>
              <w:rPr>
                <w:rFonts w:hint="eastAsia" w:ascii="Calibri" w:hAnsi="Calibri"/>
                <w:sz w:val="24"/>
                <w:highlight w:val="none"/>
              </w:rPr>
              <w:t>统一社会信用代码</w:t>
            </w:r>
            <w:r>
              <w:rPr>
                <w:rFonts w:hint="eastAsia" w:ascii="宋体" w:hAnsi="宋体" w:cs="宋体"/>
                <w:sz w:val="24"/>
                <w:highlight w:val="none"/>
              </w:rPr>
              <w:t>：</w:t>
            </w:r>
          </w:p>
        </w:tc>
      </w:tr>
      <w:tr w14:paraId="64E14A2F">
        <w:tblPrEx>
          <w:tblCellMar>
            <w:top w:w="0" w:type="dxa"/>
            <w:left w:w="108" w:type="dxa"/>
            <w:bottom w:w="0" w:type="dxa"/>
            <w:right w:w="108" w:type="dxa"/>
          </w:tblCellMar>
        </w:tblPrEx>
        <w:trPr>
          <w:trHeight w:val="537" w:hRule="atLeast"/>
          <w:jc w:val="center"/>
        </w:trPr>
        <w:tc>
          <w:tcPr>
            <w:tcW w:w="4900" w:type="dxa"/>
            <w:tcBorders>
              <w:left w:val="single" w:color="auto" w:sz="12" w:space="0"/>
              <w:right w:val="single" w:color="auto" w:sz="12" w:space="0"/>
            </w:tcBorders>
            <w:vAlign w:val="center"/>
          </w:tcPr>
          <w:p w14:paraId="3300B4A5">
            <w:pPr>
              <w:spacing w:line="360" w:lineRule="auto"/>
              <w:rPr>
                <w:rFonts w:hint="eastAsia" w:ascii="宋体" w:hAnsi="宋体" w:cs="宋体"/>
                <w:sz w:val="24"/>
                <w:highlight w:val="none"/>
              </w:rPr>
            </w:pPr>
            <w:r>
              <w:rPr>
                <w:rFonts w:hint="eastAsia" w:ascii="宋体" w:hAnsi="宋体" w:cs="宋体"/>
                <w:sz w:val="24"/>
                <w:highlight w:val="none"/>
              </w:rPr>
              <w:t>开户银行：建设银行陕西省渭南市站北路支行</w:t>
            </w:r>
          </w:p>
        </w:tc>
        <w:tc>
          <w:tcPr>
            <w:tcW w:w="4699" w:type="dxa"/>
            <w:tcBorders>
              <w:left w:val="single" w:color="auto" w:sz="12" w:space="0"/>
              <w:right w:val="single" w:color="auto" w:sz="12" w:space="0"/>
            </w:tcBorders>
            <w:vAlign w:val="center"/>
          </w:tcPr>
          <w:p w14:paraId="3D1EE26D">
            <w:pPr>
              <w:spacing w:line="360" w:lineRule="auto"/>
              <w:rPr>
                <w:rFonts w:hint="eastAsia" w:ascii="宋体" w:hAnsi="宋体" w:cs="宋体"/>
                <w:sz w:val="24"/>
                <w:highlight w:val="none"/>
              </w:rPr>
            </w:pPr>
            <w:r>
              <w:rPr>
                <w:rFonts w:hint="eastAsia" w:ascii="宋体" w:hAnsi="宋体" w:cs="宋体"/>
                <w:sz w:val="24"/>
                <w:highlight w:val="none"/>
              </w:rPr>
              <w:t xml:space="preserve">开户银行： </w:t>
            </w:r>
          </w:p>
        </w:tc>
      </w:tr>
      <w:tr w14:paraId="383E4CD1">
        <w:tblPrEx>
          <w:tblCellMar>
            <w:top w:w="0" w:type="dxa"/>
            <w:left w:w="108" w:type="dxa"/>
            <w:bottom w:w="0" w:type="dxa"/>
            <w:right w:w="108" w:type="dxa"/>
          </w:tblCellMar>
        </w:tblPrEx>
        <w:trPr>
          <w:trHeight w:val="1033" w:hRule="atLeast"/>
          <w:jc w:val="center"/>
        </w:trPr>
        <w:tc>
          <w:tcPr>
            <w:tcW w:w="4900" w:type="dxa"/>
            <w:tcBorders>
              <w:left w:val="single" w:color="auto" w:sz="12" w:space="0"/>
              <w:right w:val="single" w:color="auto" w:sz="12" w:space="0"/>
            </w:tcBorders>
            <w:vAlign w:val="center"/>
          </w:tcPr>
          <w:p w14:paraId="31E7DE11">
            <w:pPr>
              <w:spacing w:line="360" w:lineRule="auto"/>
              <w:rPr>
                <w:rFonts w:hint="eastAsia" w:ascii="宋体" w:hAnsi="宋体" w:cs="宋体"/>
                <w:sz w:val="24"/>
                <w:highlight w:val="none"/>
              </w:rPr>
            </w:pPr>
            <w:r>
              <w:rPr>
                <w:rFonts w:hint="eastAsia" w:ascii="宋体" w:hAnsi="宋体" w:cs="宋体"/>
                <w:sz w:val="24"/>
                <w:highlight w:val="none"/>
              </w:rPr>
              <w:t>账户名称：陕西铁路工程职业技术学院</w:t>
            </w:r>
          </w:p>
        </w:tc>
        <w:tc>
          <w:tcPr>
            <w:tcW w:w="4699" w:type="dxa"/>
            <w:tcBorders>
              <w:left w:val="single" w:color="auto" w:sz="12" w:space="0"/>
              <w:right w:val="single" w:color="auto" w:sz="12" w:space="0"/>
            </w:tcBorders>
            <w:vAlign w:val="center"/>
          </w:tcPr>
          <w:p w14:paraId="273F08B8">
            <w:pPr>
              <w:spacing w:line="360" w:lineRule="auto"/>
              <w:rPr>
                <w:rFonts w:hint="eastAsia" w:ascii="宋体" w:hAnsi="宋体" w:cs="宋体"/>
                <w:sz w:val="24"/>
                <w:highlight w:val="none"/>
              </w:rPr>
            </w:pPr>
            <w:r>
              <w:rPr>
                <w:rFonts w:hint="eastAsia" w:ascii="宋体" w:hAnsi="宋体" w:cs="宋体"/>
                <w:sz w:val="24"/>
                <w:highlight w:val="none"/>
              </w:rPr>
              <w:t xml:space="preserve">账户名称： </w:t>
            </w:r>
          </w:p>
        </w:tc>
      </w:tr>
      <w:tr w14:paraId="477DB5BA">
        <w:tblPrEx>
          <w:tblCellMar>
            <w:top w:w="0" w:type="dxa"/>
            <w:left w:w="108" w:type="dxa"/>
            <w:bottom w:w="0" w:type="dxa"/>
            <w:right w:w="108" w:type="dxa"/>
          </w:tblCellMar>
        </w:tblPrEx>
        <w:trPr>
          <w:trHeight w:val="516" w:hRule="atLeast"/>
          <w:jc w:val="center"/>
        </w:trPr>
        <w:tc>
          <w:tcPr>
            <w:tcW w:w="4900" w:type="dxa"/>
            <w:tcBorders>
              <w:left w:val="single" w:color="auto" w:sz="12" w:space="0"/>
              <w:right w:val="single" w:color="auto" w:sz="12" w:space="0"/>
            </w:tcBorders>
            <w:vAlign w:val="center"/>
          </w:tcPr>
          <w:p w14:paraId="4915BCD3">
            <w:pPr>
              <w:spacing w:line="360" w:lineRule="auto"/>
              <w:rPr>
                <w:rFonts w:hint="eastAsia" w:ascii="宋体" w:hAnsi="宋体" w:cs="宋体"/>
                <w:sz w:val="24"/>
                <w:highlight w:val="none"/>
              </w:rPr>
            </w:pPr>
            <w:r>
              <w:rPr>
                <w:rFonts w:hint="eastAsia" w:ascii="宋体" w:hAnsi="宋体" w:cs="宋体"/>
                <w:sz w:val="24"/>
                <w:highlight w:val="none"/>
              </w:rPr>
              <w:t xml:space="preserve">账号: </w:t>
            </w:r>
            <w:r>
              <w:rPr>
                <w:rFonts w:ascii="宋体" w:hAnsi="宋体" w:cs="宋体"/>
                <w:sz w:val="24"/>
                <w:highlight w:val="none"/>
              </w:rPr>
              <w:t>6100</w:t>
            </w:r>
            <w:r>
              <w:rPr>
                <w:rFonts w:hint="eastAsia" w:ascii="宋体" w:hAnsi="宋体" w:cs="宋体"/>
                <w:sz w:val="24"/>
                <w:highlight w:val="none"/>
              </w:rPr>
              <w:t xml:space="preserve"> </w:t>
            </w:r>
            <w:r>
              <w:rPr>
                <w:rFonts w:ascii="宋体" w:hAnsi="宋体" w:cs="宋体"/>
                <w:sz w:val="24"/>
                <w:highlight w:val="none"/>
              </w:rPr>
              <w:t>1641</w:t>
            </w:r>
            <w:r>
              <w:rPr>
                <w:rFonts w:hint="eastAsia" w:ascii="宋体" w:hAnsi="宋体" w:cs="宋体"/>
                <w:sz w:val="24"/>
                <w:highlight w:val="none"/>
              </w:rPr>
              <w:t xml:space="preserve"> </w:t>
            </w:r>
            <w:r>
              <w:rPr>
                <w:rFonts w:ascii="宋体" w:hAnsi="宋体" w:cs="宋体"/>
                <w:sz w:val="24"/>
                <w:highlight w:val="none"/>
              </w:rPr>
              <w:t>2080</w:t>
            </w:r>
            <w:r>
              <w:rPr>
                <w:rFonts w:hint="eastAsia" w:ascii="宋体" w:hAnsi="宋体" w:cs="宋体"/>
                <w:sz w:val="24"/>
                <w:highlight w:val="none"/>
              </w:rPr>
              <w:t xml:space="preserve"> </w:t>
            </w:r>
            <w:r>
              <w:rPr>
                <w:rFonts w:ascii="宋体" w:hAnsi="宋体" w:cs="宋体"/>
                <w:sz w:val="24"/>
                <w:highlight w:val="none"/>
              </w:rPr>
              <w:t>5250</w:t>
            </w:r>
            <w:r>
              <w:rPr>
                <w:rFonts w:hint="eastAsia" w:ascii="宋体" w:hAnsi="宋体" w:cs="宋体"/>
                <w:sz w:val="24"/>
                <w:highlight w:val="none"/>
              </w:rPr>
              <w:t xml:space="preserve"> </w:t>
            </w:r>
            <w:r>
              <w:rPr>
                <w:rFonts w:ascii="宋体" w:hAnsi="宋体" w:cs="宋体"/>
                <w:sz w:val="24"/>
                <w:highlight w:val="none"/>
              </w:rPr>
              <w:t>1776</w:t>
            </w:r>
          </w:p>
        </w:tc>
        <w:tc>
          <w:tcPr>
            <w:tcW w:w="4699" w:type="dxa"/>
            <w:tcBorders>
              <w:left w:val="single" w:color="auto" w:sz="12" w:space="0"/>
              <w:right w:val="single" w:color="auto" w:sz="12" w:space="0"/>
            </w:tcBorders>
            <w:vAlign w:val="center"/>
          </w:tcPr>
          <w:p w14:paraId="61F9CEC1">
            <w:pPr>
              <w:spacing w:line="360" w:lineRule="auto"/>
              <w:rPr>
                <w:rFonts w:hint="eastAsia" w:ascii="宋体" w:hAnsi="宋体" w:cs="宋体"/>
                <w:sz w:val="24"/>
                <w:highlight w:val="none"/>
              </w:rPr>
            </w:pPr>
            <w:r>
              <w:rPr>
                <w:rFonts w:hint="eastAsia" w:ascii="宋体" w:hAnsi="宋体" w:cs="宋体"/>
                <w:sz w:val="24"/>
                <w:highlight w:val="none"/>
              </w:rPr>
              <w:t>账号:</w:t>
            </w:r>
          </w:p>
        </w:tc>
      </w:tr>
      <w:tr w14:paraId="461FAD1E">
        <w:tblPrEx>
          <w:tblCellMar>
            <w:top w:w="0" w:type="dxa"/>
            <w:left w:w="108" w:type="dxa"/>
            <w:bottom w:w="0" w:type="dxa"/>
            <w:right w:w="108" w:type="dxa"/>
          </w:tblCellMar>
        </w:tblPrEx>
        <w:trPr>
          <w:trHeight w:val="557" w:hRule="atLeast"/>
          <w:jc w:val="center"/>
        </w:trPr>
        <w:tc>
          <w:tcPr>
            <w:tcW w:w="4900" w:type="dxa"/>
            <w:tcBorders>
              <w:left w:val="single" w:color="auto" w:sz="12" w:space="0"/>
              <w:bottom w:val="single" w:color="auto" w:sz="12" w:space="0"/>
              <w:right w:val="single" w:color="auto" w:sz="12" w:space="0"/>
            </w:tcBorders>
            <w:vAlign w:val="center"/>
          </w:tcPr>
          <w:p w14:paraId="3CB184D3">
            <w:pPr>
              <w:spacing w:line="360" w:lineRule="auto"/>
              <w:rPr>
                <w:rFonts w:hint="eastAsia" w:ascii="宋体" w:hAnsi="宋体" w:cs="宋体"/>
                <w:sz w:val="24"/>
                <w:highlight w:val="none"/>
                <w:lang w:val="zh-CN" w:bidi="zh-CN"/>
              </w:rPr>
            </w:pPr>
            <w:r>
              <w:rPr>
                <w:rFonts w:hint="eastAsia" w:ascii="宋体" w:hAnsi="宋体" w:cs="宋体"/>
                <w:sz w:val="24"/>
                <w:highlight w:val="none"/>
              </w:rPr>
              <w:t>日期：    年  月  日</w:t>
            </w:r>
          </w:p>
        </w:tc>
        <w:tc>
          <w:tcPr>
            <w:tcW w:w="4699" w:type="dxa"/>
            <w:tcBorders>
              <w:left w:val="single" w:color="auto" w:sz="12" w:space="0"/>
              <w:bottom w:val="single" w:color="auto" w:sz="12" w:space="0"/>
              <w:right w:val="single" w:color="auto" w:sz="12" w:space="0"/>
            </w:tcBorders>
            <w:vAlign w:val="center"/>
          </w:tcPr>
          <w:p w14:paraId="01416DD8">
            <w:pPr>
              <w:spacing w:line="360" w:lineRule="auto"/>
              <w:ind w:left="1229"/>
              <w:rPr>
                <w:rFonts w:hint="eastAsia" w:ascii="宋体" w:hAnsi="宋体" w:cs="宋体"/>
                <w:sz w:val="24"/>
                <w:highlight w:val="none"/>
                <w:lang w:val="zh-CN" w:bidi="zh-CN"/>
              </w:rPr>
            </w:pPr>
            <w:r>
              <w:rPr>
                <w:rFonts w:hint="eastAsia" w:ascii="宋体" w:hAnsi="宋体" w:cs="宋体"/>
                <w:sz w:val="24"/>
                <w:highlight w:val="none"/>
              </w:rPr>
              <w:t>日期：   年  月   日</w:t>
            </w:r>
          </w:p>
        </w:tc>
      </w:tr>
    </w:tbl>
    <w:p w14:paraId="484133D6">
      <w:pPr>
        <w:rPr>
          <w:highlight w:val="none"/>
        </w:rPr>
      </w:pPr>
    </w:p>
    <w:p w14:paraId="3BFDDF4F">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times new roman, times, serif">
    <w:altName w:val="Times New Roman"/>
    <w:panose1 w:val="00000000000000000000"/>
    <w:charset w:val="00"/>
    <w:family w:val="roman"/>
    <w:pitch w:val="default"/>
    <w:sig w:usb0="00000000" w:usb1="00000000" w:usb2="00000000" w:usb3="00000000" w:csb0="00000000" w:csb1="00000000"/>
  </w:font>
  <w:font w:name="Helvetica">
    <w:altName w:val="Arial"/>
    <w:panose1 w:val="020B0604020202020204"/>
    <w:charset w:val="00"/>
    <w:family w:val="auto"/>
    <w:pitch w:val="default"/>
    <w:sig w:usb0="00000000"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FD1DF5"/>
    <w:rsid w:val="12A130A0"/>
    <w:rsid w:val="1BDB3406"/>
    <w:rsid w:val="223C041A"/>
    <w:rsid w:val="7CFD1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paragraph" w:styleId="2">
    <w:name w:val="heading 1"/>
    <w:basedOn w:val="1"/>
    <w:next w:val="1"/>
    <w:qFormat/>
    <w:uiPriority w:val="99"/>
    <w:pPr>
      <w:spacing w:line="360" w:lineRule="auto"/>
      <w:jc w:val="center"/>
      <w:outlineLvl w:val="0"/>
    </w:pPr>
    <w:rPr>
      <w:rFonts w:ascii="Calibri" w:hAnsi="Calibri" w:cs="Times New Roman"/>
      <w:b/>
      <w:bCs/>
      <w:kern w:val="44"/>
      <w:sz w:val="44"/>
      <w:szCs w:val="4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99"/>
    <w:rPr>
      <w:rFonts w:ascii="Calibri" w:hAnsi="Calibri" w:cs="Times New Roman"/>
      <w:kern w:val="0"/>
    </w:rPr>
  </w:style>
  <w:style w:type="paragraph" w:styleId="5">
    <w:name w:val="Body Text Indent"/>
    <w:basedOn w:val="1"/>
    <w:qFormat/>
    <w:uiPriority w:val="99"/>
    <w:pPr>
      <w:spacing w:after="120"/>
      <w:ind w:left="420" w:leftChars="200"/>
    </w:pPr>
  </w:style>
  <w:style w:type="paragraph" w:styleId="6">
    <w:name w:val="Body Text First Indent 2"/>
    <w:basedOn w:val="5"/>
    <w:qFormat/>
    <w:uiPriority w:val="0"/>
    <w:pPr>
      <w:tabs>
        <w:tab w:val="left" w:pos="0"/>
      </w:tabs>
      <w:ind w:firstLine="420" w:firstLineChars="200"/>
    </w:pPr>
    <w:rPr>
      <w:rFonts w:eastAsia="楷体_GB2312"/>
      <w:b/>
      <w:szCs w:val="24"/>
    </w:rPr>
  </w:style>
  <w:style w:type="character" w:customStyle="1" w:styleId="9">
    <w:name w:val="标题 1 Char"/>
    <w:autoRedefine/>
    <w:qFormat/>
    <w:locked/>
    <w:uiPriority w:val="99"/>
    <w:rPr>
      <w:rFonts w:ascii="Calibri" w:hAnsi="Calibri" w:cs="Calibri"/>
      <w:b/>
      <w:bCs/>
      <w:kern w:val="44"/>
      <w:sz w:val="44"/>
      <w:szCs w:val="44"/>
    </w:r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6056</Words>
  <Characters>6233</Characters>
  <Lines>0</Lines>
  <Paragraphs>0</Paragraphs>
  <TotalTime>2</TotalTime>
  <ScaleCrop>false</ScaleCrop>
  <LinksUpToDate>false</LinksUpToDate>
  <CharactersWithSpaces>6522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2025-08-07T05:57:00Z</dcterms:created>
  <dc:creator>饣耳</dc:creator>
  <cp:lastModifiedBy>饣耳</cp:lastModifiedBy>
  <dcterms:modified xsi:type="dcterms:W3CDTF">2025-08-07T07:39:03Z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C34B4DF429E44573A2BDDBB4A831670F_11</vt:lpwstr>
  </property>
  <property fmtid="{D5CDD505-2E9C-101B-9397-08002B2CF9AE}" pid="4" name="KSOTemplateDocerSaveRecord">
    <vt:lpwstr>eyJoZGlkIjoiYWMyZGEzMDVkZmYyMmUwMDAyY2MyMWRkMDIzODQ1YjEiLCJ1c2VySWQiOiI2MTQ1NzE3NTUifQ==</vt:lpwstr>
  </property>
</Properties>
</file>