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版本号：DQB-2025052-ZB20250807004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2025年度职工补充医疗保险及意外伤害保险服务项目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DQB-2025052-ZB</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2025年度职工补充医疗保险及意外伤害保险服务项目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DQB-2025052-ZB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2025年度职工补充医疗保险及意外伤害保险服务项目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2025年度职工补充医疗保险及意外伤害保险服务项目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pPr>
      <w:r>
        <w:rPr>
          <w:rFonts w:ascii="仿宋_GB2312" w:hAnsi="仿宋_GB2312" w:cs="仿宋_GB2312" w:eastAsia="仿宋_GB2312"/>
        </w:rPr>
        <w:t>11、其他特殊资格：供应商具备国家金融监督管理总局（原中国银行保险监督管理委员会）颁发的经营保险业务许可证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陕西铁路工程职业技术学院经办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银行账号：52880188000133068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代理服务费收费标准：代理服务费收费标准：按照以下标准下浮20%收取：成交金额100万元以下，费率1.5%，成交金额100～500万元，费率1.1%，采购代理服务费收费按差额定率累进法计算。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联系人：李浩，姜仕路，李维靖</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2025年度职工补充医疗保险及意外伤害保险服务项目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详见该项目随附上传的采购清单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标的名称：详见该项目随附上传的采购清单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项目背景</w:t>
            </w:r>
          </w:p>
          <w:p>
            <w:pPr>
              <w:pStyle w:val="null3"/>
              <w:ind w:firstLine="480"/>
              <w:jc w:val="left"/>
            </w:pPr>
            <w:r>
              <w:rPr>
                <w:rFonts w:ascii="仿宋_GB2312" w:hAnsi="仿宋_GB2312" w:cs="仿宋_GB2312" w:eastAsia="仿宋_GB2312"/>
                <w:sz w:val="21"/>
                <w:color w:val="000000"/>
              </w:rPr>
              <w:t>为切实减轻学校教职工医疗负担，学校为职工</w:t>
            </w:r>
            <w:r>
              <w:rPr>
                <w:rFonts w:ascii="仿宋_GB2312" w:hAnsi="仿宋_GB2312" w:cs="仿宋_GB2312" w:eastAsia="仿宋_GB2312"/>
                <w:sz w:val="21"/>
                <w:color w:val="000000"/>
              </w:rPr>
              <w:t>(含在职、离退休职工)办理补充医疗保险。</w:t>
            </w:r>
          </w:p>
          <w:p>
            <w:pPr>
              <w:pStyle w:val="null3"/>
              <w:ind w:firstLine="480"/>
              <w:jc w:val="left"/>
            </w:pPr>
            <w:r>
              <w:rPr>
                <w:rFonts w:ascii="仿宋_GB2312" w:hAnsi="仿宋_GB2312" w:cs="仿宋_GB2312" w:eastAsia="仿宋_GB2312"/>
                <w:sz w:val="21"/>
                <w:color w:val="000000"/>
              </w:rPr>
              <w:t>★</w:t>
            </w:r>
            <w:r>
              <w:rPr>
                <w:rFonts w:ascii="仿宋_GB2312" w:hAnsi="仿宋_GB2312" w:cs="仿宋_GB2312" w:eastAsia="仿宋_GB2312"/>
                <w:sz w:val="21"/>
                <w:b/>
                <w:color w:val="000000"/>
              </w:rPr>
              <w:t>二、人均保费最高限价</w:t>
            </w:r>
          </w:p>
          <w:p>
            <w:pPr>
              <w:pStyle w:val="null3"/>
              <w:ind w:firstLine="480"/>
              <w:jc w:val="left"/>
            </w:pPr>
            <w:r>
              <w:rPr>
                <w:rFonts w:ascii="仿宋_GB2312" w:hAnsi="仿宋_GB2312" w:cs="仿宋_GB2312" w:eastAsia="仿宋_GB2312"/>
                <w:sz w:val="21"/>
                <w:b/>
                <w:color w:val="000000"/>
              </w:rPr>
              <w:t>人均保费</w:t>
            </w:r>
            <w:r>
              <w:rPr>
                <w:rFonts w:ascii="仿宋_GB2312" w:hAnsi="仿宋_GB2312" w:cs="仿宋_GB2312" w:eastAsia="仿宋_GB2312"/>
                <w:sz w:val="21"/>
                <w:b/>
                <w:color w:val="000000"/>
              </w:rPr>
              <w:t>最高限价为</w:t>
            </w:r>
            <w:r>
              <w:rPr>
                <w:rFonts w:ascii="仿宋_GB2312" w:hAnsi="仿宋_GB2312" w:cs="仿宋_GB2312" w:eastAsia="仿宋_GB2312"/>
                <w:sz w:val="21"/>
                <w:b/>
                <w:color w:val="000000"/>
              </w:rPr>
              <w:t>1235 元/年。</w:t>
            </w:r>
          </w:p>
          <w:p>
            <w:pPr>
              <w:pStyle w:val="null3"/>
              <w:ind w:firstLine="480"/>
              <w:jc w:val="left"/>
            </w:pPr>
            <w:r>
              <w:rPr>
                <w:rFonts w:ascii="仿宋_GB2312" w:hAnsi="仿宋_GB2312" w:cs="仿宋_GB2312" w:eastAsia="仿宋_GB2312"/>
                <w:sz w:val="21"/>
                <w:b/>
                <w:color w:val="000000"/>
              </w:rPr>
              <w:t>三、项目要求</w:t>
            </w:r>
          </w:p>
          <w:p>
            <w:pPr>
              <w:pStyle w:val="null3"/>
              <w:ind w:firstLine="480"/>
              <w:jc w:val="left"/>
            </w:pPr>
            <w:r>
              <w:rPr>
                <w:rFonts w:ascii="仿宋_GB2312" w:hAnsi="仿宋_GB2312" w:cs="仿宋_GB2312" w:eastAsia="仿宋_GB2312"/>
                <w:sz w:val="21"/>
                <w:b/>
                <w:color w:val="000000"/>
              </w:rPr>
              <w:t>1.服务范围</w:t>
            </w:r>
          </w:p>
          <w:p>
            <w:pPr>
              <w:pStyle w:val="null3"/>
              <w:ind w:firstLine="480"/>
              <w:jc w:val="left"/>
            </w:pPr>
            <w:r>
              <w:rPr>
                <w:rFonts w:ascii="仿宋_GB2312" w:hAnsi="仿宋_GB2312" w:cs="仿宋_GB2312" w:eastAsia="仿宋_GB2312"/>
                <w:sz w:val="21"/>
                <w:color w:val="000000"/>
              </w:rPr>
              <w:t>面向学校正式在职职工、离退休职工，人数约为</w:t>
            </w:r>
            <w:r>
              <w:rPr>
                <w:rFonts w:ascii="仿宋_GB2312" w:hAnsi="仿宋_GB2312" w:cs="仿宋_GB2312" w:eastAsia="仿宋_GB2312"/>
                <w:sz w:val="21"/>
                <w:color w:val="000000"/>
              </w:rPr>
              <w:t>890人，</w:t>
            </w:r>
            <w:r>
              <w:rPr>
                <w:rFonts w:ascii="仿宋_GB2312" w:hAnsi="仿宋_GB2312" w:cs="仿宋_GB2312" w:eastAsia="仿宋_GB2312"/>
                <w:sz w:val="21"/>
                <w:color w:val="000000"/>
              </w:rPr>
              <w:t>具体承保名单、人数以</w:t>
            </w:r>
            <w:r>
              <w:rPr>
                <w:rFonts w:ascii="仿宋_GB2312" w:hAnsi="仿宋_GB2312" w:cs="仿宋_GB2312" w:eastAsia="仿宋_GB2312"/>
                <w:sz w:val="21"/>
                <w:color w:val="000000"/>
              </w:rPr>
              <w:t>服务期内采购人实际提供名单为准，提供医疗保险和意外保险理赔服务。</w:t>
            </w:r>
          </w:p>
          <w:p>
            <w:pPr>
              <w:pStyle w:val="null3"/>
              <w:ind w:firstLine="480"/>
              <w:jc w:val="left"/>
            </w:pPr>
            <w:r>
              <w:rPr>
                <w:rFonts w:ascii="仿宋_GB2312" w:hAnsi="仿宋_GB2312" w:cs="仿宋_GB2312" w:eastAsia="仿宋_GB2312"/>
                <w:sz w:val="21"/>
                <w:b/>
                <w:color w:val="000000"/>
              </w:rPr>
              <w:t>2.服务要求</w:t>
            </w:r>
          </w:p>
          <w:p>
            <w:pPr>
              <w:pStyle w:val="null3"/>
              <w:ind w:firstLine="480"/>
              <w:jc w:val="left"/>
            </w:pPr>
            <w:r>
              <w:rPr>
                <w:rFonts w:ascii="仿宋_GB2312" w:hAnsi="仿宋_GB2312" w:cs="仿宋_GB2312" w:eastAsia="仿宋_GB2312"/>
                <w:sz w:val="21"/>
                <w:color w:val="000000"/>
              </w:rPr>
              <w:t>2.1服务内容</w:t>
            </w:r>
          </w:p>
          <w:p>
            <w:pPr>
              <w:pStyle w:val="null3"/>
              <w:ind w:firstLine="480"/>
              <w:jc w:val="left"/>
            </w:pPr>
            <w:r>
              <w:rPr>
                <w:rFonts w:ascii="仿宋_GB2312" w:hAnsi="仿宋_GB2312" w:cs="仿宋_GB2312" w:eastAsia="仿宋_GB2312"/>
                <w:sz w:val="21"/>
                <w:color w:val="000000"/>
              </w:rPr>
              <w:t>服务期</w:t>
            </w:r>
            <w:r>
              <w:rPr>
                <w:rFonts w:ascii="仿宋_GB2312" w:hAnsi="仿宋_GB2312" w:cs="仿宋_GB2312" w:eastAsia="仿宋_GB2312"/>
                <w:sz w:val="21"/>
                <w:color w:val="000000"/>
              </w:rPr>
              <w:t>1年，实施时间：2025年9月1日</w:t>
            </w:r>
            <w:r>
              <w:rPr>
                <w:rFonts w:ascii="仿宋_GB2312" w:hAnsi="仿宋_GB2312" w:cs="仿宋_GB2312" w:eastAsia="仿宋_GB2312"/>
                <w:sz w:val="21"/>
                <w:color w:val="000000"/>
              </w:rPr>
              <w:t>-2026年8月31日。发生时间在此期间的就诊、入院、结算及意外事件等案件均为理赔范围，保险服务直到所有理赔服务完成时截止。</w:t>
            </w:r>
          </w:p>
          <w:p>
            <w:pPr>
              <w:pStyle w:val="null3"/>
              <w:ind w:firstLine="480"/>
              <w:jc w:val="left"/>
            </w:pPr>
            <w:r>
              <w:rPr>
                <w:rFonts w:ascii="仿宋_GB2312" w:hAnsi="仿宋_GB2312" w:cs="仿宋_GB2312" w:eastAsia="仿宋_GB2312"/>
                <w:sz w:val="21"/>
                <w:color w:val="000000"/>
              </w:rPr>
              <w:t>2.2服务标准</w:t>
            </w:r>
          </w:p>
          <w:p>
            <w:pPr>
              <w:pStyle w:val="null3"/>
              <w:ind w:firstLine="480"/>
              <w:jc w:val="left"/>
            </w:pPr>
            <w:r>
              <w:rPr>
                <w:rFonts w:ascii="仿宋_GB2312" w:hAnsi="仿宋_GB2312" w:cs="仿宋_GB2312" w:eastAsia="仿宋_GB2312"/>
                <w:sz w:val="21"/>
                <w:color w:val="000000"/>
              </w:rPr>
              <w:t>2.2.1门诊医疗保险：含既往症；包含且不限于普通门诊、急诊、院前、住院期间转外等情形的检查诊断与治疗，包含慢特病门诊保险，</w:t>
            </w:r>
            <w:r>
              <w:rPr>
                <w:rFonts w:ascii="仿宋_GB2312" w:hAnsi="仿宋_GB2312" w:cs="仿宋_GB2312" w:eastAsia="仿宋_GB2312"/>
                <w:sz w:val="21"/>
                <w:color w:val="000000"/>
              </w:rPr>
              <w:t>包含</w:t>
            </w:r>
            <w:r>
              <w:rPr>
                <w:rFonts w:ascii="仿宋_GB2312" w:hAnsi="仿宋_GB2312" w:cs="仿宋_GB2312" w:eastAsia="仿宋_GB2312"/>
                <w:sz w:val="21"/>
                <w:color w:val="000000"/>
              </w:rPr>
              <w:t>传染病门诊检查诊断与治疗</w:t>
            </w:r>
            <w:r>
              <w:rPr>
                <w:rFonts w:ascii="仿宋_GB2312" w:hAnsi="仿宋_GB2312" w:cs="仿宋_GB2312" w:eastAsia="仿宋_GB2312"/>
                <w:sz w:val="21"/>
                <w:color w:val="000000"/>
              </w:rPr>
              <w:t>；</w:t>
            </w:r>
            <w:r>
              <w:rPr>
                <w:rFonts w:ascii="仿宋_GB2312" w:hAnsi="仿宋_GB2312" w:cs="仿宋_GB2312" w:eastAsia="仿宋_GB2312"/>
                <w:sz w:val="21"/>
                <w:color w:val="000000"/>
              </w:rPr>
              <w:t>门诊医保范围内的检查诊断与治疗费无免赔额，门诊所使用的医保范围内甲、乙类药物费用均无免赔额；</w:t>
            </w:r>
          </w:p>
          <w:p>
            <w:pPr>
              <w:pStyle w:val="null3"/>
              <w:ind w:firstLine="480"/>
              <w:jc w:val="left"/>
            </w:pPr>
            <w:r>
              <w:rPr>
                <w:rFonts w:ascii="仿宋_GB2312" w:hAnsi="仿宋_GB2312" w:cs="仿宋_GB2312" w:eastAsia="仿宋_GB2312"/>
                <w:sz w:val="21"/>
                <w:color w:val="000000"/>
              </w:rPr>
              <w:t>2.2.2住院补充医疗保险：含既往病；包含且不限于住院产生的诊断、护理、床位、检查、治疗、医药等诊疗费用，医保范围内的检查诊断与治疗费无免赔额，所使用的医保范围内甲、乙类药物费用均无免赔额；</w:t>
            </w:r>
          </w:p>
          <w:p>
            <w:pPr>
              <w:pStyle w:val="null3"/>
              <w:ind w:firstLine="480"/>
              <w:jc w:val="left"/>
            </w:pPr>
            <w:r>
              <w:rPr>
                <w:rFonts w:ascii="仿宋_GB2312" w:hAnsi="仿宋_GB2312" w:cs="仿宋_GB2312" w:eastAsia="仿宋_GB2312"/>
                <w:sz w:val="21"/>
                <w:color w:val="000000"/>
              </w:rPr>
              <w:t>2.2.3住院津贴保险（含既往病，包含且不限于：因疾病住院就诊、因意外伤害住院就诊、因重症监护住院等情形，无免赔天数、无免赔额）；</w:t>
            </w:r>
          </w:p>
          <w:p>
            <w:pPr>
              <w:pStyle w:val="null3"/>
              <w:ind w:firstLine="480"/>
              <w:jc w:val="left"/>
            </w:pPr>
            <w:r>
              <w:rPr>
                <w:rFonts w:ascii="仿宋_GB2312" w:hAnsi="仿宋_GB2312" w:cs="仿宋_GB2312" w:eastAsia="仿宋_GB2312"/>
                <w:sz w:val="21"/>
                <w:color w:val="000000"/>
              </w:rPr>
              <w:t>2.2.4意外伤害保险、意外伤害医疗保险（包括且不限于：因意外伤害身故、伤残，交通意外伤害等情形的伤害保险和相关的医疗费用，无免赔额）；</w:t>
            </w:r>
          </w:p>
          <w:p>
            <w:pPr>
              <w:pStyle w:val="null3"/>
              <w:ind w:firstLine="480"/>
              <w:jc w:val="left"/>
            </w:pPr>
            <w:r>
              <w:rPr>
                <w:rFonts w:ascii="仿宋_GB2312" w:hAnsi="仿宋_GB2312" w:cs="仿宋_GB2312" w:eastAsia="仿宋_GB2312"/>
                <w:sz w:val="21"/>
                <w:b/>
                <w:color w:val="000000"/>
              </w:rPr>
              <w:t>3.赔付标准</w:t>
            </w:r>
          </w:p>
          <w:tbl>
            <w:tblPr>
              <w:tblBorders>
                <w:top w:val="none" w:color="000000" w:sz="4"/>
                <w:left w:val="none" w:color="000000" w:sz="4"/>
                <w:bottom w:val="none" w:color="000000" w:sz="4"/>
                <w:right w:val="none" w:color="000000" w:sz="4"/>
                <w:insideH w:val="none"/>
                <w:insideV w:val="none"/>
              </w:tblBorders>
            </w:tblPr>
            <w:tblGrid>
              <w:gridCol w:w="240"/>
              <w:gridCol w:w="403"/>
              <w:gridCol w:w="1051"/>
              <w:gridCol w:w="849"/>
            </w:tblGrid>
            <w:tr>
              <w:tc>
                <w:tcPr>
                  <w:tcW w:type="dxa" w:w="24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b/>
                    </w:rPr>
                    <w:t>序号</w:t>
                  </w:r>
                </w:p>
              </w:tc>
              <w:tc>
                <w:tcPr>
                  <w:tcW w:type="dxa" w:w="403"/>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b/>
                    </w:rPr>
                    <w:t>项目</w:t>
                  </w:r>
                </w:p>
              </w:tc>
              <w:tc>
                <w:tcPr>
                  <w:tcW w:type="dxa" w:w="105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22"/>
                    <w:jc w:val="center"/>
                  </w:pPr>
                  <w:r>
                    <w:rPr>
                      <w:rFonts w:ascii="仿宋_GB2312" w:hAnsi="仿宋_GB2312" w:cs="仿宋_GB2312" w:eastAsia="仿宋_GB2312"/>
                      <w:sz w:val="21"/>
                      <w:b/>
                    </w:rPr>
                    <w:t>保障内容</w:t>
                  </w:r>
                </w:p>
              </w:tc>
              <w:tc>
                <w:tcPr>
                  <w:tcW w:type="dxa" w:w="849"/>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ind w:firstLine="422"/>
                    <w:jc w:val="center"/>
                  </w:pPr>
                  <w:r>
                    <w:rPr>
                      <w:rFonts w:ascii="仿宋_GB2312" w:hAnsi="仿宋_GB2312" w:cs="仿宋_GB2312" w:eastAsia="仿宋_GB2312"/>
                      <w:sz w:val="21"/>
                      <w:b/>
                    </w:rPr>
                    <w:t>赔付标准</w:t>
                  </w:r>
                </w:p>
              </w:tc>
            </w:tr>
            <w:tr>
              <w:tc>
                <w:tcPr>
                  <w:tcW w:type="dxa" w:w="2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1</w:t>
                  </w:r>
                </w:p>
              </w:tc>
              <w:tc>
                <w:tcPr>
                  <w:tcW w:type="dxa" w:w="4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门诊医疗保险（含既往病）</w:t>
                  </w:r>
                </w:p>
              </w:tc>
              <w:tc>
                <w:tcPr>
                  <w:tcW w:type="dxa" w:w="10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包含且不限于：</w:t>
                  </w:r>
                </w:p>
                <w:p>
                  <w:pPr>
                    <w:pStyle w:val="null3"/>
                    <w:jc w:val="left"/>
                  </w:pPr>
                  <w:r>
                    <w:rPr>
                      <w:rFonts w:ascii="仿宋_GB2312" w:hAnsi="仿宋_GB2312" w:cs="仿宋_GB2312" w:eastAsia="仿宋_GB2312"/>
                      <w:sz w:val="21"/>
                    </w:rPr>
                    <w:t>普通门诊检查诊断与治疗；</w:t>
                  </w:r>
                </w:p>
                <w:p>
                  <w:pPr>
                    <w:pStyle w:val="null3"/>
                    <w:jc w:val="left"/>
                  </w:pPr>
                  <w:r>
                    <w:rPr>
                      <w:rFonts w:ascii="仿宋_GB2312" w:hAnsi="仿宋_GB2312" w:cs="仿宋_GB2312" w:eastAsia="仿宋_GB2312"/>
                      <w:sz w:val="21"/>
                    </w:rPr>
                    <w:t>急诊门诊检查诊断与治疗；</w:t>
                  </w:r>
                </w:p>
                <w:p>
                  <w:pPr>
                    <w:pStyle w:val="null3"/>
                    <w:jc w:val="left"/>
                  </w:pPr>
                  <w:r>
                    <w:rPr>
                      <w:rFonts w:ascii="仿宋_GB2312" w:hAnsi="仿宋_GB2312" w:cs="仿宋_GB2312" w:eastAsia="仿宋_GB2312"/>
                      <w:sz w:val="21"/>
                    </w:rPr>
                    <w:t>院前门诊检查诊断与治疗；</w:t>
                  </w:r>
                </w:p>
                <w:p>
                  <w:pPr>
                    <w:pStyle w:val="null3"/>
                    <w:jc w:val="left"/>
                  </w:pPr>
                  <w:r>
                    <w:rPr>
                      <w:rFonts w:ascii="仿宋_GB2312" w:hAnsi="仿宋_GB2312" w:cs="仿宋_GB2312" w:eastAsia="仿宋_GB2312"/>
                      <w:sz w:val="21"/>
                    </w:rPr>
                    <w:t>住院期间转外门诊检查诊断与治疗；</w:t>
                  </w:r>
                </w:p>
                <w:p>
                  <w:pPr>
                    <w:pStyle w:val="null3"/>
                    <w:jc w:val="left"/>
                  </w:pPr>
                  <w:r>
                    <w:rPr>
                      <w:rFonts w:ascii="仿宋_GB2312" w:hAnsi="仿宋_GB2312" w:cs="仿宋_GB2312" w:eastAsia="仿宋_GB2312"/>
                      <w:sz w:val="21"/>
                    </w:rPr>
                    <w:t>慢病门诊检查诊断与治疗；</w:t>
                  </w:r>
                </w:p>
                <w:p>
                  <w:pPr>
                    <w:pStyle w:val="null3"/>
                    <w:jc w:val="left"/>
                  </w:pPr>
                  <w:r>
                    <w:rPr>
                      <w:rFonts w:ascii="仿宋_GB2312" w:hAnsi="仿宋_GB2312" w:cs="仿宋_GB2312" w:eastAsia="仿宋_GB2312"/>
                      <w:sz w:val="21"/>
                    </w:rPr>
                    <w:t>特病门诊检查诊断与治疗；</w:t>
                  </w:r>
                </w:p>
                <w:p>
                  <w:pPr>
                    <w:pStyle w:val="null3"/>
                    <w:jc w:val="left"/>
                  </w:pPr>
                  <w:r>
                    <w:rPr>
                      <w:rFonts w:ascii="仿宋_GB2312" w:hAnsi="仿宋_GB2312" w:cs="仿宋_GB2312" w:eastAsia="仿宋_GB2312"/>
                      <w:sz w:val="21"/>
                    </w:rPr>
                    <w:t>传染病</w:t>
                  </w:r>
                  <w:r>
                    <w:rPr>
                      <w:rFonts w:ascii="仿宋_GB2312" w:hAnsi="仿宋_GB2312" w:cs="仿宋_GB2312" w:eastAsia="仿宋_GB2312"/>
                      <w:sz w:val="21"/>
                    </w:rPr>
                    <w:t>门诊检查诊断与治疗</w:t>
                  </w:r>
                  <w:r>
                    <w:rPr>
                      <w:rFonts w:ascii="仿宋_GB2312" w:hAnsi="仿宋_GB2312" w:cs="仿宋_GB2312" w:eastAsia="仿宋_GB2312"/>
                      <w:sz w:val="21"/>
                    </w:rPr>
                    <w:t>。</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无免赔额；</w:t>
                  </w:r>
                </w:p>
                <w:p>
                  <w:pPr>
                    <w:pStyle w:val="null3"/>
                    <w:jc w:val="left"/>
                  </w:pPr>
                  <w:r>
                    <w:rPr>
                      <w:rFonts w:ascii="仿宋_GB2312" w:hAnsi="仿宋_GB2312" w:cs="仿宋_GB2312" w:eastAsia="仿宋_GB2312"/>
                      <w:sz w:val="21"/>
                    </w:rPr>
                    <w:t>甲乙类药均无免赔额；</w:t>
                  </w:r>
                </w:p>
                <w:p>
                  <w:pPr>
                    <w:pStyle w:val="null3"/>
                    <w:jc w:val="left"/>
                  </w:pPr>
                  <w:r>
                    <w:rPr>
                      <w:rFonts w:ascii="仿宋_GB2312" w:hAnsi="仿宋_GB2312" w:cs="仿宋_GB2312" w:eastAsia="仿宋_GB2312"/>
                      <w:sz w:val="21"/>
                    </w:rPr>
                    <w:t>赔付比例不低于</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个人年保额不低于</w:t>
                  </w:r>
                  <w:r>
                    <w:rPr>
                      <w:rFonts w:ascii="仿宋_GB2312" w:hAnsi="仿宋_GB2312" w:cs="仿宋_GB2312" w:eastAsia="仿宋_GB2312"/>
                      <w:sz w:val="21"/>
                    </w:rPr>
                    <w:t>8000元。</w:t>
                  </w:r>
                </w:p>
              </w:tc>
            </w:tr>
            <w:tr>
              <w:tc>
                <w:tcPr>
                  <w:tcW w:type="dxa" w:w="240"/>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2</w:t>
                  </w:r>
                </w:p>
              </w:tc>
              <w:tc>
                <w:tcPr>
                  <w:tcW w:type="dxa" w:w="403"/>
                  <w:vMerge w:val="restart"/>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住院补充医疗保险（含既往病）</w:t>
                  </w:r>
                </w:p>
              </w:tc>
              <w:tc>
                <w:tcPr>
                  <w:tcW w:type="dxa" w:w="10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包含且不限于：住院产生的诊断、护理、床位、检查、治疗、医药等诊疗费用，无免赔额。</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无免赔额；</w:t>
                  </w:r>
                </w:p>
                <w:p>
                  <w:pPr>
                    <w:pStyle w:val="null3"/>
                    <w:jc w:val="left"/>
                  </w:pPr>
                  <w:r>
                    <w:rPr>
                      <w:rFonts w:ascii="仿宋_GB2312" w:hAnsi="仿宋_GB2312" w:cs="仿宋_GB2312" w:eastAsia="仿宋_GB2312"/>
                      <w:sz w:val="21"/>
                    </w:rPr>
                    <w:t>甲乙类药均无免赔额；</w:t>
                  </w:r>
                </w:p>
                <w:p>
                  <w:pPr>
                    <w:pStyle w:val="null3"/>
                    <w:jc w:val="left"/>
                  </w:pPr>
                  <w:r>
                    <w:rPr>
                      <w:rFonts w:ascii="仿宋_GB2312" w:hAnsi="仿宋_GB2312" w:cs="仿宋_GB2312" w:eastAsia="仿宋_GB2312"/>
                      <w:sz w:val="21"/>
                    </w:rPr>
                    <w:t>赔付比例不低于</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个人年保额不低于</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60000.00</w:t>
                  </w:r>
                  <w:r>
                    <w:rPr>
                      <w:rFonts w:ascii="仿宋_GB2312" w:hAnsi="仿宋_GB2312" w:cs="仿宋_GB2312" w:eastAsia="仿宋_GB2312"/>
                      <w:sz w:val="21"/>
                    </w:rPr>
                    <w:t>元</w:t>
                  </w:r>
                </w:p>
              </w:tc>
            </w:tr>
            <w:tr>
              <w:tc>
                <w:tcPr>
                  <w:tcW w:type="dxa" w:w="240"/>
                  <w:vMerge/>
                  <w:tcBorders>
                    <w:top w:val="none" w:color="000000" w:sz="4"/>
                    <w:left w:val="single" w:color="000000" w:sz="4"/>
                    <w:bottom w:val="single" w:color="000000" w:sz="4"/>
                    <w:right w:val="single" w:color="000000" w:sz="4"/>
                  </w:tcBorders>
                </w:tcPr>
                <w:p/>
              </w:tc>
              <w:tc>
                <w:tcPr>
                  <w:tcW w:type="dxa" w:w="403"/>
                  <w:vMerge/>
                  <w:tcBorders>
                    <w:top w:val="none" w:color="000000" w:sz="4"/>
                    <w:left w:val="none" w:color="000000" w:sz="4"/>
                    <w:bottom w:val="single" w:color="000000" w:sz="4"/>
                    <w:right w:val="single" w:color="000000" w:sz="4"/>
                  </w:tcBorders>
                </w:tcPr>
                <w:p/>
              </w:tc>
              <w:tc>
                <w:tcPr>
                  <w:tcW w:type="dxa" w:w="10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高额住院医疗保险责任</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甲乙类药均无免赔额；</w:t>
                  </w:r>
                </w:p>
                <w:p>
                  <w:pPr>
                    <w:pStyle w:val="null3"/>
                    <w:jc w:val="left"/>
                  </w:pPr>
                  <w:r>
                    <w:rPr>
                      <w:rFonts w:ascii="仿宋_GB2312" w:hAnsi="仿宋_GB2312" w:cs="仿宋_GB2312" w:eastAsia="仿宋_GB2312"/>
                      <w:sz w:val="21"/>
                    </w:rPr>
                    <w:t>赔付比例不低于</w:t>
                  </w:r>
                  <w:r>
                    <w:rPr>
                      <w:rFonts w:ascii="仿宋_GB2312" w:hAnsi="仿宋_GB2312" w:cs="仿宋_GB2312" w:eastAsia="仿宋_GB2312"/>
                      <w:sz w:val="21"/>
                    </w:rPr>
                    <w:t>90%</w:t>
                  </w:r>
                </w:p>
                <w:p>
                  <w:pPr>
                    <w:pStyle w:val="null3"/>
                    <w:jc w:val="left"/>
                  </w:pPr>
                  <w:r>
                    <w:rPr>
                      <w:rFonts w:ascii="仿宋_GB2312" w:hAnsi="仿宋_GB2312" w:cs="仿宋_GB2312" w:eastAsia="仿宋_GB2312"/>
                      <w:sz w:val="21"/>
                    </w:rPr>
                    <w:t>保险额</w:t>
                  </w:r>
                  <w:r>
                    <w:rPr>
                      <w:rFonts w:ascii="仿宋_GB2312" w:hAnsi="仿宋_GB2312" w:cs="仿宋_GB2312" w:eastAsia="仿宋_GB2312"/>
                      <w:sz w:val="21"/>
                    </w:rPr>
                    <w:t>300000.00元</w:t>
                  </w:r>
                </w:p>
              </w:tc>
            </w:tr>
            <w:tr>
              <w:tc>
                <w:tcPr>
                  <w:tcW w:type="dxa" w:w="2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3</w:t>
                  </w:r>
                </w:p>
              </w:tc>
              <w:tc>
                <w:tcPr>
                  <w:tcW w:type="dxa" w:w="4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住院津贴保险（含既往病）</w:t>
                  </w:r>
                </w:p>
              </w:tc>
              <w:tc>
                <w:tcPr>
                  <w:tcW w:type="dxa" w:w="10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包含且不限于：因疾病住院；因意外伤害住院；因重症监护住院等情形。</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无免赔天数、无免赔额；</w:t>
                  </w:r>
                </w:p>
                <w:p>
                  <w:pPr>
                    <w:pStyle w:val="null3"/>
                    <w:jc w:val="left"/>
                  </w:pPr>
                  <w:r>
                    <w:rPr>
                      <w:rFonts w:ascii="仿宋_GB2312" w:hAnsi="仿宋_GB2312" w:cs="仿宋_GB2312" w:eastAsia="仿宋_GB2312"/>
                      <w:sz w:val="21"/>
                    </w:rPr>
                    <w:t>每日住院津贴不低于</w:t>
                  </w:r>
                  <w:r>
                    <w:rPr>
                      <w:rFonts w:ascii="仿宋_GB2312" w:hAnsi="仿宋_GB2312" w:cs="仿宋_GB2312" w:eastAsia="仿宋_GB2312"/>
                      <w:sz w:val="21"/>
                    </w:rPr>
                    <w:t>200 元；</w:t>
                  </w:r>
                </w:p>
                <w:p>
                  <w:pPr>
                    <w:pStyle w:val="null3"/>
                    <w:jc w:val="left"/>
                  </w:pPr>
                  <w:r>
                    <w:rPr>
                      <w:rFonts w:ascii="仿宋_GB2312" w:hAnsi="仿宋_GB2312" w:cs="仿宋_GB2312" w:eastAsia="仿宋_GB2312"/>
                      <w:sz w:val="21"/>
                    </w:rPr>
                    <w:t>累计住院最高给付不低于</w:t>
                  </w:r>
                  <w:r>
                    <w:rPr>
                      <w:rFonts w:ascii="仿宋_GB2312" w:hAnsi="仿宋_GB2312" w:cs="仿宋_GB2312" w:eastAsia="仿宋_GB2312"/>
                      <w:sz w:val="21"/>
                    </w:rPr>
                    <w:t>180 天。</w:t>
                  </w:r>
                </w:p>
              </w:tc>
            </w:tr>
            <w:tr>
              <w:tc>
                <w:tcPr>
                  <w:tcW w:type="dxa" w:w="2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4</w:t>
                  </w:r>
                </w:p>
              </w:tc>
              <w:tc>
                <w:tcPr>
                  <w:tcW w:type="dxa" w:w="4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意外伤害医疗保险</w:t>
                  </w:r>
                </w:p>
              </w:tc>
              <w:tc>
                <w:tcPr>
                  <w:tcW w:type="dxa" w:w="10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包括且不限于：因意外伤害致伤、致残；交通意外伤害等情形相关的医疗费用。</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经社保报销的，无免赔额</w:t>
                  </w:r>
                  <w:r>
                    <w:rPr>
                      <w:rFonts w:ascii="仿宋_GB2312" w:hAnsi="仿宋_GB2312" w:cs="仿宋_GB2312" w:eastAsia="仿宋_GB2312"/>
                      <w:sz w:val="21"/>
                    </w:rPr>
                    <w:t>,赔付比例</w:t>
                  </w:r>
                  <w:r>
                    <w:rPr>
                      <w:rFonts w:ascii="仿宋_GB2312" w:hAnsi="仿宋_GB2312" w:cs="仿宋_GB2312" w:eastAsia="仿宋_GB2312"/>
                      <w:sz w:val="21"/>
                      <w:color w:val="EE0000"/>
                    </w:rPr>
                    <w:t>不</w:t>
                  </w:r>
                  <w:r>
                    <w:rPr>
                      <w:rFonts w:ascii="仿宋_GB2312" w:hAnsi="仿宋_GB2312" w:cs="仿宋_GB2312" w:eastAsia="仿宋_GB2312"/>
                      <w:sz w:val="21"/>
                    </w:rPr>
                    <w:t>低于</w:t>
                  </w:r>
                  <w:r>
                    <w:rPr>
                      <w:rFonts w:ascii="仿宋_GB2312" w:hAnsi="仿宋_GB2312" w:cs="仿宋_GB2312" w:eastAsia="仿宋_GB2312"/>
                      <w:sz w:val="21"/>
                    </w:rPr>
                    <w:t>90%:未经社保报销的,免赔额100 元/年，赔付比例不低于 90%;保险金额不低于 10000.00 元。</w:t>
                  </w:r>
                </w:p>
                <w:p>
                  <w:pPr>
                    <w:pStyle w:val="null3"/>
                    <w:jc w:val="left"/>
                  </w:pPr>
                  <w:r>
                    <w:rPr>
                      <w:rFonts w:ascii="仿宋_GB2312" w:hAnsi="仿宋_GB2312" w:cs="仿宋_GB2312" w:eastAsia="仿宋_GB2312"/>
                      <w:sz w:val="21"/>
                      <w:u w:val="single"/>
                    </w:rPr>
                    <w:t>保险金额不低于</w:t>
                  </w:r>
                  <w:r>
                    <w:rPr>
                      <w:rFonts w:ascii="仿宋_GB2312" w:hAnsi="仿宋_GB2312" w:cs="仿宋_GB2312" w:eastAsia="仿宋_GB2312"/>
                      <w:sz w:val="21"/>
                      <w:u w:val="single"/>
                    </w:rPr>
                    <w:t>10000.00 元。</w:t>
                  </w:r>
                </w:p>
              </w:tc>
            </w:tr>
            <w:tr>
              <w:tc>
                <w:tcPr>
                  <w:tcW w:type="dxa" w:w="24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1"/>
                    </w:rPr>
                    <w:t>5</w:t>
                  </w:r>
                </w:p>
              </w:tc>
              <w:tc>
                <w:tcPr>
                  <w:tcW w:type="dxa" w:w="403"/>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意外伤害保险</w:t>
                  </w:r>
                </w:p>
              </w:tc>
              <w:tc>
                <w:tcPr>
                  <w:tcW w:type="dxa" w:w="105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包括且不限于：因意外伤害身故、伤残；交通意外伤害等情形的伤害保险</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left"/>
                  </w:pPr>
                  <w:r>
                    <w:rPr>
                      <w:rFonts w:ascii="仿宋_GB2312" w:hAnsi="仿宋_GB2312" w:cs="仿宋_GB2312" w:eastAsia="仿宋_GB2312"/>
                      <w:sz w:val="21"/>
                    </w:rPr>
                    <w:t>身故：一次性赔付</w:t>
                  </w:r>
                  <w:r>
                    <w:rPr>
                      <w:rFonts w:ascii="仿宋_GB2312" w:hAnsi="仿宋_GB2312" w:cs="仿宋_GB2312" w:eastAsia="仿宋_GB2312"/>
                      <w:sz w:val="21"/>
                    </w:rPr>
                    <w:t>50万元；</w:t>
                  </w:r>
                </w:p>
                <w:p>
                  <w:pPr>
                    <w:pStyle w:val="null3"/>
                    <w:jc w:val="left"/>
                  </w:pPr>
                  <w:r>
                    <w:rPr>
                      <w:rFonts w:ascii="仿宋_GB2312" w:hAnsi="仿宋_GB2312" w:cs="仿宋_GB2312" w:eastAsia="仿宋_GB2312"/>
                      <w:sz w:val="21"/>
                    </w:rPr>
                    <w:t>伤残：按评残等级比例给付。</w:t>
                  </w:r>
                </w:p>
                <w:p>
                  <w:pPr>
                    <w:pStyle w:val="null3"/>
                    <w:jc w:val="left"/>
                  </w:pPr>
                  <w:r>
                    <w:rPr>
                      <w:rFonts w:ascii="仿宋_GB2312" w:hAnsi="仿宋_GB2312" w:cs="仿宋_GB2312" w:eastAsia="仿宋_GB2312"/>
                      <w:sz w:val="21"/>
                    </w:rPr>
                    <w:t>保险金额</w:t>
                  </w:r>
                  <w:r>
                    <w:rPr>
                      <w:rFonts w:ascii="仿宋_GB2312" w:hAnsi="仿宋_GB2312" w:cs="仿宋_GB2312" w:eastAsia="仿宋_GB2312"/>
                      <w:sz w:val="21"/>
                    </w:rPr>
                    <w:t>500000.00元/人/年。</w:t>
                  </w:r>
                </w:p>
              </w:tc>
            </w:tr>
          </w:tbl>
          <w:p>
            <w:pPr>
              <w:pStyle w:val="null3"/>
              <w:ind w:firstLine="480"/>
              <w:jc w:val="left"/>
            </w:pPr>
            <w:r>
              <w:rPr>
                <w:rFonts w:ascii="仿宋_GB2312" w:hAnsi="仿宋_GB2312" w:cs="仿宋_GB2312" w:eastAsia="仿宋_GB2312"/>
                <w:sz w:val="21"/>
                <w:color w:val="000000"/>
              </w:rPr>
              <w:t>3.1凡符合国家医保报销政策的疾病之门诊、住院治疗均在承保范围。</w:t>
            </w:r>
            <w:r>
              <w:rPr>
                <w:rFonts w:ascii="仿宋_GB2312" w:hAnsi="仿宋_GB2312" w:cs="仿宋_GB2312" w:eastAsia="仿宋_GB2312"/>
                <w:sz w:val="21"/>
                <w:color w:val="000000"/>
              </w:rPr>
              <w:t>甲类、乙类药物均无免赔额。</w:t>
            </w:r>
          </w:p>
          <w:p>
            <w:pPr>
              <w:pStyle w:val="null3"/>
              <w:ind w:firstLine="480"/>
              <w:jc w:val="left"/>
            </w:pPr>
            <w:r>
              <w:rPr>
                <w:rFonts w:ascii="仿宋_GB2312" w:hAnsi="仿宋_GB2312" w:cs="仿宋_GB2312" w:eastAsia="仿宋_GB2312"/>
                <w:sz w:val="21"/>
                <w:color w:val="000000"/>
              </w:rPr>
              <w:t>3.2被保险人在全国范围内医保定点医疗机构就医、在全国范围内发生的意外事故的案件均为保险理赔范围。</w:t>
            </w:r>
          </w:p>
          <w:p>
            <w:pPr>
              <w:pStyle w:val="null3"/>
              <w:ind w:firstLine="480"/>
              <w:jc w:val="left"/>
            </w:pPr>
            <w:r>
              <w:rPr>
                <w:rFonts w:ascii="仿宋_GB2312" w:hAnsi="仿宋_GB2312" w:cs="仿宋_GB2312" w:eastAsia="仿宋_GB2312"/>
                <w:sz w:val="21"/>
                <w:color w:val="000000"/>
              </w:rPr>
              <w:t>3.3投保方不提供被保险人体检报告和健康告知。</w:t>
            </w:r>
          </w:p>
          <w:p>
            <w:pPr>
              <w:pStyle w:val="null3"/>
              <w:ind w:firstLine="480"/>
              <w:jc w:val="left"/>
            </w:pPr>
            <w:r>
              <w:rPr>
                <w:rFonts w:ascii="仿宋_GB2312" w:hAnsi="仿宋_GB2312" w:cs="仿宋_GB2312" w:eastAsia="仿宋_GB2312"/>
                <w:sz w:val="21"/>
                <w:color w:val="000000"/>
              </w:rPr>
              <w:t>3.4提供线上理赔受理方式。</w:t>
            </w:r>
          </w:p>
          <w:p>
            <w:pPr>
              <w:pStyle w:val="null3"/>
              <w:ind w:firstLine="480"/>
              <w:jc w:val="left"/>
            </w:pPr>
            <w:r>
              <w:rPr>
                <w:rFonts w:ascii="仿宋_GB2312" w:hAnsi="仿宋_GB2312" w:cs="仿宋_GB2312" w:eastAsia="仿宋_GB2312"/>
                <w:sz w:val="21"/>
                <w:color w:val="000000"/>
              </w:rPr>
              <w:t>3.5简化理赔程序，供应商不得设置理赔资料清单外的资料拒赔或恶意提高赔付门槛。</w:t>
            </w:r>
          </w:p>
          <w:p>
            <w:pPr>
              <w:pStyle w:val="null3"/>
              <w:ind w:firstLine="480"/>
              <w:jc w:val="left"/>
            </w:pPr>
            <w:r>
              <w:rPr>
                <w:rFonts w:ascii="仿宋_GB2312" w:hAnsi="仿宋_GB2312" w:cs="仿宋_GB2312" w:eastAsia="仿宋_GB2312"/>
                <w:sz w:val="21"/>
                <w:color w:val="000000"/>
              </w:rPr>
              <w:t>3.6理赔资料清单：</w:t>
            </w:r>
          </w:p>
          <w:p>
            <w:pPr>
              <w:pStyle w:val="null3"/>
              <w:ind w:firstLine="48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1）门诊（含因病或意外伤害）理赔资料清单“诊断证明、病历、医疗发票、领款人银行账号”，</w:t>
            </w:r>
          </w:p>
          <w:p>
            <w:pPr>
              <w:pStyle w:val="null3"/>
              <w:ind w:firstLine="48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2）住院（含因病或意外伤害）理赔资料清单“诊断证明、病历、医疗发票、领款人银行账号”</w:t>
            </w:r>
          </w:p>
          <w:p>
            <w:pPr>
              <w:pStyle w:val="null3"/>
              <w:ind w:firstLine="48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3）残疾（含因病或意外）理赔资料清单“诊断证明、病历、医疗发票、伤残鉴定报告或证明、领款人银行账号”</w:t>
            </w:r>
          </w:p>
          <w:p>
            <w:pPr>
              <w:pStyle w:val="null3"/>
              <w:ind w:firstLine="480"/>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4）死亡（含因病或意外）理赔资料清单“诊断证明、病历、医疗发票、死亡证明、领款人银行账号”</w:t>
            </w:r>
          </w:p>
          <w:p>
            <w:pPr>
              <w:pStyle w:val="null3"/>
              <w:ind w:firstLine="480"/>
              <w:jc w:val="left"/>
            </w:pPr>
            <w:r>
              <w:rPr>
                <w:rFonts w:ascii="仿宋_GB2312" w:hAnsi="仿宋_GB2312" w:cs="仿宋_GB2312" w:eastAsia="仿宋_GB2312"/>
                <w:sz w:val="21"/>
                <w:color w:val="000000"/>
              </w:rPr>
              <w:t>★</w:t>
            </w:r>
            <w:r>
              <w:rPr>
                <w:rFonts w:ascii="仿宋_GB2312" w:hAnsi="仿宋_GB2312" w:cs="仿宋_GB2312" w:eastAsia="仿宋_GB2312"/>
                <w:sz w:val="21"/>
                <w:b/>
                <w:color w:val="000000"/>
              </w:rPr>
              <w:t>以上各保险项目、保障内容、赔款标准等内容均不接受负偏离，否则视为无效响应。</w:t>
            </w:r>
          </w:p>
          <w:p>
            <w:pPr>
              <w:pStyle w:val="null3"/>
              <w:ind w:firstLine="480"/>
              <w:jc w:val="left"/>
            </w:pPr>
            <w:r>
              <w:rPr>
                <w:rFonts w:ascii="仿宋_GB2312" w:hAnsi="仿宋_GB2312" w:cs="仿宋_GB2312" w:eastAsia="仿宋_GB2312"/>
                <w:sz w:val="21"/>
                <w:b/>
                <w:color w:val="000000"/>
              </w:rPr>
              <w:t>四、其他要求</w:t>
            </w:r>
          </w:p>
          <w:p>
            <w:pPr>
              <w:pStyle w:val="null3"/>
              <w:ind w:firstLine="480"/>
              <w:jc w:val="left"/>
            </w:pPr>
            <w:r>
              <w:rPr>
                <w:rFonts w:ascii="仿宋_GB2312" w:hAnsi="仿宋_GB2312" w:cs="仿宋_GB2312" w:eastAsia="仿宋_GB2312"/>
                <w:sz w:val="21"/>
                <w:color w:val="000000"/>
              </w:rPr>
              <w:t>1.服务团队应有至少1名主管领导负责本项目实施，应设专人与校方联系对接具体事宜，应有专门的服务保障团队，并向被保险人告知保险理赔人员、投诉人员的联系方式。</w:t>
            </w:r>
          </w:p>
          <w:p>
            <w:pPr>
              <w:pStyle w:val="null3"/>
              <w:ind w:firstLine="480"/>
              <w:jc w:val="left"/>
            </w:pPr>
            <w:r>
              <w:rPr>
                <w:rFonts w:ascii="仿宋_GB2312" w:hAnsi="仿宋_GB2312" w:cs="仿宋_GB2312" w:eastAsia="仿宋_GB2312"/>
                <w:sz w:val="21"/>
                <w:color w:val="000000"/>
              </w:rPr>
              <w:t>2.供应商应在收到甲方投保材料后5个工作日内，完成投保及服务流程设置，确保按时赔付。</w:t>
            </w:r>
          </w:p>
          <w:p>
            <w:pPr>
              <w:pStyle w:val="null3"/>
              <w:ind w:firstLine="480"/>
              <w:jc w:val="left"/>
            </w:pPr>
            <w:r>
              <w:rPr>
                <w:rFonts w:ascii="仿宋_GB2312" w:hAnsi="仿宋_GB2312" w:cs="仿宋_GB2312" w:eastAsia="仿宋_GB2312"/>
                <w:sz w:val="21"/>
                <w:color w:val="000000"/>
              </w:rPr>
              <w:t>3.服务期内，甲方新增加人员均可作为被保险人参加本保险，新增加教职工人员在保期间按参保天数收取保费。</w:t>
            </w:r>
          </w:p>
          <w:p>
            <w:pPr>
              <w:pStyle w:val="null3"/>
              <w:ind w:firstLine="480"/>
              <w:jc w:val="left"/>
            </w:pPr>
            <w:r>
              <w:rPr>
                <w:rFonts w:ascii="仿宋_GB2312" w:hAnsi="仿宋_GB2312" w:cs="仿宋_GB2312" w:eastAsia="仿宋_GB2312"/>
                <w:sz w:val="21"/>
                <w:color w:val="000000"/>
              </w:rPr>
              <w:t>4.一般正常案件应在5个工作日内理赔结案、理赔款到账。对案件及材料有异议的，应在接到报案材料2个工作日内向报案人和甲方联系人通报情况，共同商定理赔时限。未在约定时间内理赔、拒赔案件应向报案人和甲方送达书面说明或拒赔通知。</w:t>
            </w:r>
          </w:p>
          <w:p>
            <w:pPr>
              <w:pStyle w:val="null3"/>
              <w:ind w:firstLine="480"/>
              <w:jc w:val="left"/>
            </w:pPr>
            <w:r>
              <w:rPr>
                <w:rFonts w:ascii="仿宋_GB2312" w:hAnsi="仿宋_GB2312" w:cs="仿宋_GB2312" w:eastAsia="仿宋_GB2312"/>
                <w:sz w:val="21"/>
                <w:color w:val="000000"/>
              </w:rPr>
              <w:t>5.如发生理赔纠纷，被保险人或受益人可通过包括但不限于向国家金融监督管理局、人民法院等渠道申诉、投诉、起诉等方式索赔。</w:t>
            </w:r>
          </w:p>
          <w:p>
            <w:pPr>
              <w:pStyle w:val="null3"/>
              <w:ind w:firstLine="480"/>
              <w:jc w:val="left"/>
            </w:pPr>
            <w:r>
              <w:rPr>
                <w:rFonts w:ascii="仿宋_GB2312" w:hAnsi="仿宋_GB2312" w:cs="仿宋_GB2312" w:eastAsia="仿宋_GB2312"/>
                <w:sz w:val="21"/>
                <w:color w:val="000000"/>
              </w:rPr>
              <w:t>6.提供线上理赔通道，仅需要线上上传资料，无需提供纸质版理赔资料。</w:t>
            </w:r>
          </w:p>
          <w:p>
            <w:pPr>
              <w:pStyle w:val="null3"/>
              <w:ind w:firstLine="480"/>
              <w:jc w:val="left"/>
            </w:pPr>
            <w:r>
              <w:rPr>
                <w:rFonts w:ascii="仿宋_GB2312" w:hAnsi="仿宋_GB2312" w:cs="仿宋_GB2312" w:eastAsia="仿宋_GB2312"/>
                <w:sz w:val="21"/>
                <w:color w:val="000000"/>
              </w:rPr>
              <w:t>7.乙方需对校方及其教职工提供的隐私信息保密。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供应商需在分项报价表中列明人均保费报价。</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2025年9月1日-2026年8月31日。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1.一般正常案件应在5个工作日内理赔结案、理赔款到账。 2.对案件及材料有异议的，应在接到报案材料2个工作日内向报案人和甲方联系人通报情况，共同商定理赔时限。未在约定时间内理赔、拒赔案件应向报案人和甲方送达书面说明或拒赔通知。 3.如发生理赔纠纷，被保险人或受益人可通过包括但不限于国家金融监督管理局、人民法院等渠道申诉、投诉、起诉等方式索赔。 4.校方定期向被保险职工开展对供应商的服务质量、服务满意度评价调查。 5.理赔时限、理赔纠纷、投诉案件、投诉率、赔付率等指标将纳入对供应商的服务质量考核。</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签订合同后，保单立即生效。支付按实际人数据实结算支付合同金额，收到供应商出具的正式发票、加盖供应商公章的付款申请书后，对公转账支付至供应商账户，</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凡符合国家医保报销政策的疾病之门诊、住院治疗均在承保范围。被保险人在全国范围内社保定点医疗机构就医、在全国范围内发生的意外事故的案件均为保险理赔范围。如乙方违反本条，拒绝承保，或不按合同条款理赔，被保险人或受益人可通过包括但不限于向国家金融监督管理局、人民法院等渠道申诉、投诉、起诉等方式索赔。确实属于乙方过错的，甲方及其被保险人、受益人等利益相关人，有权按照《中华人民共和国保险法》《最高人民法院关于审理医疗损害责任纠纷案件适用法律若干问题的解释》《医疗保障行政处罚程序暂行规定》等商业医疗保险纠纷的法律法规索赔，并向市场监督管理部门、向乙方上级单位，业务主管部门投诉，并依法索取民事赔偿。 2.乙方应严格遵守保密规定，不得收集、使用、处理、存储、传输、泄露隐私信息。否则，甲方及其被保险人、受益人等利益相关人，有权按照法律法规依法索赔，并向市场监督管理部门、向乙方上级单位，业务主管部门投诉，并索取民事赔偿。 3.供应商应在收到甲方投保材料后5个工作日内，完成投保及服务流程设置，确保按时赔付。未在期限内理赔的，即为违约，甲方及其被保险人、受益人等利益相关人，有权按照法律法规依法索赔，并向市场监督管理部门、向乙方上级单位，业务主管部门投诉，并索取民事赔偿。 4.一般正常案件应在5个工作日内理赔结案、理赔款到账。对案件及材料有异议的，应在接到报案材料2个工作日内向报案人和甲方联系人通报情况，共同商定理赔时限。未在约定时间内理赔、拒赔案件应向报案人和甲方送达书面说明或拒赔通知。乙方违约，甲方及其被保险人、受益人等利益相关人，有权按照法律法规依法索赔，并向市场监督管理部门、向乙方上级单位，业务主管部门投诉，并索取民事赔偿。 5.《中华人民共和国民法典》、《中华人民共和国招投标法》等相关条款和本合同约定，乙方未全面履行合同义务或者发生违约，致使保险合同无法履行的，甲方有权终止合同，依法向乙方进行经济索赔。 6.乙方服务满意度低，服务态度差、发生投诉案例的，甲方及其利益相关人有权采取包括但不限于约谈、函报、通报、投诉、诉讼等方式依法维权，乙方须按对方实际损失予以赔偿。前述损失包括但不限于守约方自身的一切损失以及任何第三方或监管机构对守约方提出的任何索赔、处罚和费用（包括诉讼仲裁费用、合理的律师费、合理调查和/或补救行动费用）。解决争议的方法 ：1.按《中华人民共和国民法典》中的相关条款执行。2.未按合同要求提供服务或服务质量不能满足服务方案与措施要求，采购单位有权终止（或解除）合同，并对供方违约行为进行追究。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其他特殊资格</w:t>
            </w:r>
          </w:p>
        </w:tc>
        <w:tc>
          <w:tcPr>
            <w:tcW w:type="dxa" w:w="3322"/>
          </w:tcPr>
          <w:p>
            <w:pPr>
              <w:pStyle w:val="null3"/>
            </w:pPr>
            <w:r>
              <w:rPr>
                <w:rFonts w:ascii="仿宋_GB2312" w:hAnsi="仿宋_GB2312" w:cs="仿宋_GB2312" w:eastAsia="仿宋_GB2312"/>
              </w:rPr>
              <w:t>供应商具备国家金融监督管理总局（原中国银行保险监督管理委员会）颁发的经营保险业务许可证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投标函 投标文件封面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投标函 残疾人福利性单位声明函 服务方案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投标函 残疾人福利性单位声明函 服务方案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保险内容</w:t>
            </w:r>
          </w:p>
        </w:tc>
        <w:tc>
          <w:tcPr>
            <w:tcW w:type="dxa" w:w="2492"/>
          </w:tcPr>
          <w:p>
            <w:pPr>
              <w:pStyle w:val="null3"/>
            </w:pPr>
            <w:r>
              <w:rPr>
                <w:rFonts w:ascii="仿宋_GB2312" w:hAnsi="仿宋_GB2312" w:cs="仿宋_GB2312" w:eastAsia="仿宋_GB2312"/>
              </w:rPr>
              <w:t>根据投标人针对本项目保险责任、理赔范围、保险项目和保险金额（被保险人的给付标准）进行综合比较，内容全面、详尽合理、可行性强、满足采购人的实际利益计10分； 方案阐述内容合理，可行性较强，基本满足采购人的实际利益计6分； 方案阐述内容不够全面，可行性一般，不满足采购人的实际利益计3分。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理赔服务</w:t>
            </w:r>
          </w:p>
        </w:tc>
        <w:tc>
          <w:tcPr>
            <w:tcW w:type="dxa" w:w="2492"/>
          </w:tcPr>
          <w:p>
            <w:pPr>
              <w:pStyle w:val="null3"/>
            </w:pPr>
            <w:r>
              <w:rPr>
                <w:rFonts w:ascii="仿宋_GB2312" w:hAnsi="仿宋_GB2312" w:cs="仿宋_GB2312" w:eastAsia="仿宋_GB2312"/>
              </w:rPr>
              <w:t>具有完整的项目理赔服务方案，包括项目理赔程序及服务流程、报案时效、理赔时效、理赔响应时间方案、项目团队方案、突发事件的处理机制和应急预案、对被保险人理赔材料的处理方案等内容。方案制定内容齐全，各类措施健全，完全满足采购需求并符合本项目实施特点得5分；以上方案中每缺少一方面内容扣1分；每有一处与实际需求不符或不满足要求或与本项目需求不切合或直接套用其他项目内容的扣0.5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理赔时所需证明资料</w:t>
            </w:r>
          </w:p>
        </w:tc>
        <w:tc>
          <w:tcPr>
            <w:tcW w:type="dxa" w:w="2492"/>
          </w:tcPr>
          <w:p>
            <w:pPr>
              <w:pStyle w:val="null3"/>
            </w:pPr>
            <w:r>
              <w:rPr>
                <w:rFonts w:ascii="仿宋_GB2312" w:hAnsi="仿宋_GB2312" w:cs="仿宋_GB2312" w:eastAsia="仿宋_GB2312"/>
              </w:rPr>
              <w:t>投标人须列明参保的保险内容及索赔时所需提供的资料。保险内容齐全、索赔时需提供的资料便捷明了、方便操作计5分；保险内容基本齐全、索赔时需提供的资料框架完整计3分；保险内容欠缺、索赔时需提供的资料未完全列明的计1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根据投标人提供的定期巡访方案和出案后定期回访方案进行综合比较，方案合理、全面、人员安排合理且证明材料详细计4分，方案不合理、不全面、人员不合理和证明材料不完善计2分。未提供不得分。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保证参保人员所有信息数据不得外泄，保密方案具体、切实可行、可追溯的，得5分；方案具体，可行性较强，得3分；档案内容不够全面，可行性差，得1分。未提供不计分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投标人有严格的投诉管理制度，并能严格执行。制度完善，合理可行计6分；制度简单、内容空泛计3分；未提供不计分。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根据投标人提供的应急方案进行赋分，主要考察方案的可行性、整体性。方案中要求包括详细的紧急故障时的判断及处理方法、故障排查范围、解决措施、保障及应急管理机制等方面。 应急响应有具体可行的应急措施和解决方案，有明确的承诺，得10分； 应急响应及突发事件具备应急措施，操作性一般，得6分； 应急响应及突发事件具备应急措施，可操作性欠缺，得3分；未提供不得分。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偿付能力</w:t>
            </w:r>
          </w:p>
        </w:tc>
        <w:tc>
          <w:tcPr>
            <w:tcW w:type="dxa" w:w="2492"/>
          </w:tcPr>
          <w:p>
            <w:pPr>
              <w:pStyle w:val="null3"/>
            </w:pPr>
            <w:r>
              <w:rPr>
                <w:rFonts w:ascii="仿宋_GB2312" w:hAnsi="仿宋_GB2312" w:cs="仿宋_GB2312" w:eastAsia="仿宋_GB2312"/>
              </w:rPr>
              <w:t>投标人针对本项目的偿付能力充足率： 1、投标人偿付能力充足率在150%及以上，计5分； 2、投标人偿付能力充足率在100%-150%之间（不含150%），计3分； 3、投标人偿付能力充足率低于100%，不得分。以最新的综合偿付能力充足率为准，需提供相关证明材料，否则不得分。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根据投标人提供的2022年1月至今所投同类业绩（以合同签订日期为准，仅限投标人本身，提供合同复印件）进行评定，每份计2分，最高计10分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赔付比例</w:t>
            </w:r>
          </w:p>
        </w:tc>
        <w:tc>
          <w:tcPr>
            <w:tcW w:type="dxa" w:w="2492"/>
          </w:tcPr>
          <w:p>
            <w:pPr>
              <w:pStyle w:val="null3"/>
            </w:pPr>
            <w:r>
              <w:rPr>
                <w:rFonts w:ascii="仿宋_GB2312" w:hAnsi="仿宋_GB2312" w:cs="仿宋_GB2312" w:eastAsia="仿宋_GB2312"/>
              </w:rPr>
              <w:t>以赔付比例90%为基数，各项赔付比例每提高1%计2分，最高计10分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详见附件：签订合同文本-8.7.docx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