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3CDDD50F">
      <w:pPr>
        <w:pStyle w:val="style4097"/>
        <w:jc w:val="center"/>
        <w:outlineLvl w:val="1"/>
        <w:rPr>
          <w:rFonts w:ascii="Times New Roman" w:cs="Times New Roman" w:eastAsia="宋体" w:hAnsi="Times New Roman" w:hint="default"/>
          <w:color w:val="auto"/>
          <w:highlight w:val="none"/>
        </w:rPr>
      </w:pPr>
      <w:r>
        <w:rPr>
          <w:rFonts w:ascii="Times New Roman" w:cs="Times New Roman" w:eastAsia="宋体" w:hAnsi="Times New Roman" w:hint="default"/>
          <w:b/>
          <w:color w:val="auto"/>
          <w:sz w:val="36"/>
          <w:highlight w:val="none"/>
        </w:rPr>
        <w:t>拟签订合同文本</w:t>
      </w:r>
    </w:p>
    <w:p w14:paraId="5B4AB6CA">
      <w:pPr>
        <w:pStyle w:val="style4097"/>
        <w:rPr>
          <w:rFonts w:ascii="Times New Roman" w:cs="Times New Roman" w:eastAsia="宋体" w:hAnsi="Times New Roman" w:hint="default"/>
          <w:color w:val="auto"/>
          <w:highlight w:val="none"/>
        </w:rPr>
      </w:pPr>
    </w:p>
    <w:p w14:paraId="4B8DE03A">
      <w:pPr>
        <w:pStyle w:val="style0"/>
        <w:keepNext w:val="false"/>
        <w:keepLines w:val="false"/>
        <w:widowControl w:val="false"/>
        <w:suppressLineNumbers w:val="false"/>
        <w:autoSpaceDE w:val="false"/>
        <w:autoSpaceDN w:val="false"/>
        <w:adjustRightInd w:val="false"/>
        <w:snapToGrid w:val="false"/>
        <w:spacing w:before="240" w:beforeLines="100" w:beforeAutospacing="false" w:after="0" w:afterAutospacing="false" w:lineRule="auto" w:line="360"/>
        <w:ind w:left="0" w:right="0" w:firstLine="629"/>
        <w:jc w:val="both"/>
        <w:rPr>
          <w:rFonts w:ascii="仿宋" w:cs="仿宋" w:eastAsia="仿宋" w:hAnsi="仿宋" w:hint="eastAsia"/>
          <w:b/>
          <w:bCs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b/>
          <w:bCs/>
          <w:color w:val="auto"/>
          <w:kern w:val="2"/>
          <w:sz w:val="24"/>
          <w:szCs w:val="24"/>
          <w:highlight w:val="none"/>
          <w:lang w:val="en-US" w:eastAsia="zh-CN"/>
        </w:rPr>
        <w:t>甲方：</w:t>
      </w:r>
      <w:r>
        <w:rPr>
          <w:rFonts w:ascii="仿宋" w:cs="仿宋" w:eastAsia="仿宋" w:hAnsi="仿宋" w:hint="eastAsia"/>
          <w:bCs/>
          <w:color w:val="auto"/>
          <w:kern w:val="2"/>
          <w:sz w:val="24"/>
          <w:szCs w:val="24"/>
          <w:highlight w:val="none"/>
          <w:lang w:val="en-US" w:eastAsia="zh-CN"/>
        </w:rPr>
        <w:t>（前款所称采购人）     住所：</w:t>
      </w:r>
    </w:p>
    <w:p w14:paraId="22A32D28">
      <w:pPr>
        <w:pStyle w:val="style0"/>
        <w:keepNext w:val="false"/>
        <w:keepLines w:val="false"/>
        <w:widowControl w:val="false"/>
        <w:suppressLineNumbers w:val="false"/>
        <w:autoSpaceDE w:val="false"/>
        <w:autoSpaceDN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631"/>
        <w:jc w:val="both"/>
        <w:rPr>
          <w:rFonts w:ascii="仿宋" w:cs="仿宋" w:eastAsia="仿宋" w:hAnsi="仿宋" w:hint="eastAsia"/>
          <w:bCs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b/>
          <w:bCs/>
          <w:color w:val="auto"/>
          <w:kern w:val="2"/>
          <w:sz w:val="24"/>
          <w:szCs w:val="24"/>
          <w:highlight w:val="none"/>
          <w:lang w:val="en-US" w:eastAsia="zh-CN"/>
        </w:rPr>
        <w:t>乙方：</w:t>
      </w:r>
      <w:r>
        <w:rPr>
          <w:rFonts w:ascii="仿宋" w:cs="仿宋" w:eastAsia="仿宋" w:hAnsi="仿宋" w:hint="eastAsia"/>
          <w:bCs/>
          <w:color w:val="auto"/>
          <w:kern w:val="2"/>
          <w:sz w:val="24"/>
          <w:szCs w:val="24"/>
          <w:highlight w:val="none"/>
          <w:lang w:val="en-US" w:eastAsia="zh-CN"/>
        </w:rPr>
        <w:t>（前款所称中标人）     住所：</w:t>
      </w:r>
    </w:p>
    <w:bookmarkStart w:id="0" w:name="_Toc19515384"/>
    <w:bookmarkEnd w:id="0"/>
    <w:p w14:paraId="2CB8761B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一、合同内容（标的、数量、质量等）:</w:t>
      </w:r>
    </w:p>
    <w:bookmarkStart w:id="1" w:name="_Toc19515385"/>
    <w:bookmarkEnd w:id="1"/>
    <w:p w14:paraId="1A9BF8F5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二、合同价款</w:t>
      </w:r>
    </w:p>
    <w:p w14:paraId="6E076DBB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u w:val="singl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1、合同总价：</w:t>
      </w: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49E985B6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2、合同总价包括：1）开展重点产业链专利导航成果推广路演活动不少于3次。2）通过一对一上门服务不少于10次，宣传专利导航标准、方法以及成果运用，提供上门服务台账。3）提供培训人员签到记录、培训现场照片、新闻稿件以及其他文档资料。4）形成重点产业专利导航成果运用项目成效报告。</w:t>
      </w:r>
    </w:p>
    <w:p w14:paraId="393A525A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3、合同总价一次包死，不受市场价变化的影响。</w:t>
      </w:r>
    </w:p>
    <w:bookmarkStart w:id="2" w:name="_Toc19515386"/>
    <w:bookmarkEnd w:id="2"/>
    <w:p w14:paraId="29DF6CF2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三、合同结算</w:t>
      </w:r>
    </w:p>
    <w:p w14:paraId="79060237">
      <w:pPr>
        <w:pStyle w:val="style0"/>
        <w:keepNext w:val="false"/>
        <w:keepLines w:val="false"/>
        <w:widowControl w:val="false"/>
        <w:suppressLineNumbers w:val="false"/>
        <w:shd w:val="clear" w:color="auto" w:fill="ffffff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  <w:lang w:val="en-US" w:eastAsia="zh-CN"/>
        </w:rPr>
        <w:t>1、付款方式：</w:t>
      </w:r>
    </w:p>
    <w:p w14:paraId="365A3BA2">
      <w:pPr>
        <w:pStyle w:val="style0"/>
        <w:keepNext w:val="false"/>
        <w:keepLines w:val="false"/>
        <w:widowControl w:val="false"/>
        <w:suppressLineNumbers w:val="false"/>
        <w:shd w:val="clear" w:color="auto" w:fill="ffffff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  <w:lang w:val="en-US" w:eastAsia="zh-CN"/>
        </w:rPr>
        <w:t>1-1签订合同后支付合同价款的80%。</w:t>
      </w:r>
    </w:p>
    <w:p w14:paraId="238FDC50">
      <w:pPr>
        <w:pStyle w:val="style0"/>
        <w:keepNext w:val="false"/>
        <w:keepLines w:val="false"/>
        <w:widowControl w:val="false"/>
        <w:suppressLineNumbers w:val="false"/>
        <w:shd w:val="clear" w:color="auto" w:fill="ffffff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  <w:lang w:val="en-US" w:eastAsia="zh-CN"/>
        </w:rPr>
        <w:t>1-2 上门服务指定次数完成后，支付合同价款的20%。</w:t>
      </w:r>
    </w:p>
    <w:p w14:paraId="1E141129">
      <w:pPr>
        <w:pStyle w:val="style0"/>
        <w:keepNext w:val="false"/>
        <w:keepLines w:val="false"/>
        <w:widowControl w:val="false"/>
        <w:suppressLineNumbers w:val="false"/>
        <w:shd w:val="clear" w:color="auto" w:fill="ffffff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  <w:lang w:val="en-US" w:eastAsia="zh-CN"/>
        </w:rPr>
        <w:t>2、结算方式：银行转账。</w:t>
      </w:r>
    </w:p>
    <w:p w14:paraId="624CD69E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  <w:lang w:val="en-US" w:eastAsia="zh-CN"/>
        </w:rPr>
        <w:t>3、结算单位：由</w:t>
      </w: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甲方 </w:t>
      </w: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负责结算，乙方开具合同总价数的全额发票交采购人。</w:t>
      </w:r>
    </w:p>
    <w:bookmarkStart w:id="3" w:name="_Toc19515387"/>
    <w:bookmarkEnd w:id="3"/>
    <w:p w14:paraId="0B2BD178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四、服务期、地点及方式:</w:t>
      </w:r>
    </w:p>
    <w:p w14:paraId="5D068E06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1、服务期：</w:t>
      </w: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  <w:lang w:val="en-US" w:eastAsia="zh-CN"/>
        </w:rPr>
        <w:t xml:space="preserve"> 自合同签订之日起一年内完成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 xml:space="preserve"> </w:t>
      </w:r>
    </w:p>
    <w:p w14:paraId="3A51FD5B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2、服务地点：</w:t>
      </w: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shd w:val="clear" w:color="auto" w:fill="ffffff"/>
          <w:lang w:val="en-US" w:eastAsia="zh-CN"/>
        </w:rPr>
        <w:t>采购人指定地点</w:t>
      </w:r>
    </w:p>
    <w:p w14:paraId="20844F6D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五、质量要求：要求供应商的实施方案内容与每期策划路演活动主题相适应；上门服务人员具备知识产权领域专业知识，每期路演活动不少于80人，邀请专家具备导航分析项目实操经验，培训地点具备办会条件，培训形式为线下培训。</w:t>
      </w:r>
    </w:p>
    <w:p w14:paraId="41086AB8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六、违约责任</w:t>
      </w:r>
    </w:p>
    <w:p w14:paraId="40ABC429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1、按《民法典》中的相关条款执行。</w:t>
      </w:r>
    </w:p>
    <w:p w14:paraId="7D8DB642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2、乙方未按合同要求提供产品及服务，质量不能满足采购要求，乙方必须无条件更换，否则，甲方会同鉴证方有权终止合同，并对乙方的违约行为进行追究，同时按《政府采购法》和陕西省政府采购供应商管理办法进行相应的处罚。</w:t>
      </w:r>
    </w:p>
    <w:bookmarkStart w:id="4" w:name="_Toc19515391"/>
    <w:bookmarkEnd w:id="4"/>
    <w:p w14:paraId="39B14F93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七、验收</w:t>
      </w:r>
    </w:p>
    <w:bookmarkStart w:id="5" w:name="_Toc19515393"/>
    <w:bookmarkEnd w:id="5"/>
    <w:p w14:paraId="02842B6D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1、验收：乙方完成服务内容后，向甲方提出书面验收申请，并提供合同内容相关重要环节的过程文档材料。</w:t>
      </w:r>
    </w:p>
    <w:p w14:paraId="06250A8B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1-1项目服务任务清单；</w:t>
      </w:r>
    </w:p>
    <w:p w14:paraId="734CAAD3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1-2项目完成情况；</w:t>
      </w:r>
    </w:p>
    <w:p w14:paraId="42848FD0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1-3重点产业专利导航成果运用项目成效报告；</w:t>
      </w:r>
    </w:p>
    <w:p w14:paraId="536DFC98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1-4上门服务台账、培训人员签到记录、</w:t>
      </w:r>
      <w:bookmarkStart w:id="6" w:name="_GoBack"/>
      <w:bookmarkEnd w:id="6"/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培训现场照片、新闻稿件以及其他文档资料。</w:t>
      </w:r>
    </w:p>
    <w:p w14:paraId="1DF34B0E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甲方应在收到申请和所需材料后出具书面验收结论，验收不合格的，乙方有3个工作日进行整改，整改后甲方再次验收，如仍不合格，甲方有权扣除合同总价20%并解除合同，追究违约责任。</w:t>
      </w:r>
    </w:p>
    <w:p w14:paraId="0C31AA25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八、合同组成</w:t>
      </w:r>
    </w:p>
    <w:p w14:paraId="0274C74A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1、中标通知书</w:t>
      </w:r>
    </w:p>
    <w:p w14:paraId="6E5B8CC6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2、合同文件</w:t>
      </w:r>
    </w:p>
    <w:p w14:paraId="05845962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3、国家相关规范及标准</w:t>
      </w:r>
    </w:p>
    <w:p w14:paraId="14A6A0AE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4、招标文件</w:t>
      </w:r>
    </w:p>
    <w:p w14:paraId="003CCF61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5、投标文件</w:t>
      </w:r>
    </w:p>
    <w:bookmarkStart w:id="7" w:name="_Toc19515394"/>
    <w:bookmarkEnd w:id="7"/>
    <w:p w14:paraId="3F250ED9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九、解决争议的方法</w:t>
      </w:r>
    </w:p>
    <w:p w14:paraId="146BF949">
      <w:pPr>
        <w:pStyle w:val="style0"/>
        <w:keepNext w:val="false"/>
        <w:keepLines w:val="false"/>
        <w:widowControl/>
        <w:suppressLineNumbers w:val="false"/>
        <w:autoSpaceDE w:val="false"/>
        <w:autoSpaceDN w:val="false"/>
        <w:snapToGrid w:val="false"/>
        <w:spacing w:before="0" w:beforeAutospacing="false" w:after="0" w:afterAutospacing="false" w:lineRule="auto" w:line="360"/>
        <w:ind w:left="0" w:right="-110" w:firstLine="480" w:firstLineChars="200"/>
        <w:jc w:val="both"/>
        <w:textAlignment w:val="bottom"/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凡因本合同引起的或与本合同有关的争议，双方应友好协商解决。协商不成时，双方均同意采用以下第（  ）种争议解决方式：</w:t>
      </w:r>
    </w:p>
    <w:p w14:paraId="67386D96">
      <w:pPr>
        <w:pStyle w:val="style0"/>
        <w:keepNext w:val="false"/>
        <w:keepLines w:val="false"/>
        <w:widowControl/>
        <w:suppressLineNumbers w:val="false"/>
        <w:autoSpaceDE w:val="false"/>
        <w:autoSpaceDN w:val="false"/>
        <w:snapToGrid w:val="false"/>
        <w:spacing w:before="0" w:beforeAutospacing="false" w:after="0" w:afterAutospacing="false" w:lineRule="auto" w:line="360"/>
        <w:ind w:left="0" w:right="-110" w:firstLine="480" w:firstLineChars="200"/>
        <w:jc w:val="both"/>
        <w:textAlignment w:val="bottom"/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（1）、甲、乙双方均同意向（甲方所在地人民法院）提起诉讼。</w:t>
      </w:r>
    </w:p>
    <w:p w14:paraId="228E3DD6">
      <w:pPr>
        <w:pStyle w:val="style0"/>
        <w:keepNext w:val="false"/>
        <w:keepLines w:val="false"/>
        <w:widowControl/>
        <w:suppressLineNumbers w:val="false"/>
        <w:autoSpaceDE w:val="false"/>
        <w:autoSpaceDN w:val="false"/>
        <w:snapToGrid w:val="false"/>
        <w:spacing w:before="0" w:beforeAutospacing="false" w:after="0" w:afterAutospacing="false" w:lineRule="auto" w:line="360"/>
        <w:ind w:left="0" w:right="-110" w:firstLine="480" w:firstLineChars="200"/>
        <w:jc w:val="both"/>
        <w:textAlignment w:val="bottom"/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（2）、甲、乙双方均同意向（</w:t>
      </w:r>
      <w:r>
        <w:rPr>
          <w:rFonts w:ascii="Times New Roman" w:cs="Times New Roman" w:eastAsia="宋体" w:hAnsi="Times New Roman" w:hint="default"/>
          <w:color w:val="auto"/>
          <w:kern w:val="2"/>
          <w:sz w:val="21"/>
          <w:szCs w:val="21"/>
          <w:highlight w:val="none"/>
          <w:lang w:val="en-US" w:eastAsia="zh-CN"/>
        </w:rPr>
        <w:fldChar w:fldCharType="begin"/>
      </w:r>
      <w:r>
        <w:rPr>
          <w:rFonts w:ascii="Times New Roman" w:cs="Times New Roman" w:eastAsia="宋体" w:hAnsi="Times New Roman" w:hint="default"/>
          <w:color w:val="auto"/>
          <w:kern w:val="2"/>
          <w:sz w:val="21"/>
          <w:szCs w:val="21"/>
          <w:highlight w:val="none"/>
          <w:lang w:val="en-US" w:eastAsia="zh-CN"/>
        </w:rPr>
        <w:instrText xml:space="preserve"> HYPERLINK "http://www.baidu.com/s?wd=%E4%BB%B2%E8%A3%81%E5%A7%94%E5%91%98%E4%BC%9A&amp;tn=SE_PcZhidaonwhc_ngpagmjz&amp;rsv_dl=gh_pc_zhidao" </w:instrText>
      </w:r>
      <w:r>
        <w:rPr>
          <w:rFonts w:ascii="Times New Roman" w:cs="Times New Roman" w:eastAsia="宋体" w:hAnsi="Times New Roman" w:hint="default"/>
          <w:color w:val="auto"/>
          <w:kern w:val="2"/>
          <w:sz w:val="21"/>
          <w:szCs w:val="21"/>
          <w:highlight w:val="none"/>
          <w:lang w:val="en-US" w:eastAsia="zh-CN"/>
        </w:rPr>
        <w:fldChar w:fldCharType="separate"/>
      </w:r>
      <w:r>
        <w:rPr>
          <w:rStyle w:val="style85"/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</w:rPr>
        <w:t>仲裁委员会</w:t>
      </w:r>
      <w:r>
        <w:rPr>
          <w:rFonts w:ascii="Times New Roman" w:cs="Times New Roman" w:eastAsia="宋体" w:hAnsi="Times New Roman" w:hint="default"/>
          <w:color w:val="auto"/>
          <w:kern w:val="2"/>
          <w:sz w:val="21"/>
          <w:szCs w:val="21"/>
          <w:highlight w:val="none"/>
          <w:lang w:val="en-US" w:eastAsia="zh-CN"/>
        </w:rPr>
        <w:fldChar w:fldCharType="end"/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）提起仲裁。</w:t>
      </w:r>
    </w:p>
    <w:bookmarkStart w:id="8" w:name="_Toc19515395"/>
    <w:bookmarkEnd w:id="8"/>
    <w:p w14:paraId="57B04B92">
      <w:pPr>
        <w:pStyle w:val="style0"/>
        <w:keepNext w:val="false"/>
        <w:keepLines w:val="false"/>
        <w:widowControl w:val="false"/>
        <w:suppressLineNumbers w:val="false"/>
        <w:adjustRightInd w:val="false"/>
        <w:snapToGrid w:val="false"/>
        <w:spacing w:before="0" w:beforeAutospacing="false" w:after="0" w:afterAutospacing="false" w:lineRule="auto" w:line="360"/>
        <w:ind w:left="0" w:right="0" w:firstLine="480" w:firstLineChars="200"/>
        <w:jc w:val="both"/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2"/>
          <w:sz w:val="24"/>
          <w:szCs w:val="24"/>
          <w:highlight w:val="none"/>
          <w:lang w:val="en-US" w:eastAsia="zh-CN"/>
        </w:rPr>
        <w:t>十、合同生效及其它</w:t>
      </w:r>
    </w:p>
    <w:p w14:paraId="7556A673">
      <w:pPr>
        <w:pStyle w:val="style0"/>
        <w:keepNext w:val="false"/>
        <w:keepLines w:val="false"/>
        <w:widowControl/>
        <w:suppressLineNumbers w:val="false"/>
        <w:autoSpaceDE w:val="false"/>
        <w:autoSpaceDN w:val="false"/>
        <w:snapToGrid w:val="false"/>
        <w:spacing w:before="0" w:beforeAutospacing="false" w:after="0" w:afterAutospacing="false" w:lineRule="auto" w:line="360"/>
        <w:ind w:left="0" w:right="-110" w:firstLine="480" w:firstLineChars="200"/>
        <w:jc w:val="both"/>
        <w:textAlignment w:val="bottom"/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1、合同未尽事宜、由甲、乙双方协商，作为合同补充，与原合同具有同等法律效力。</w:t>
      </w:r>
    </w:p>
    <w:p w14:paraId="456C3A06">
      <w:pPr>
        <w:pStyle w:val="style0"/>
        <w:keepNext w:val="false"/>
        <w:keepLines w:val="false"/>
        <w:widowControl/>
        <w:suppressLineNumbers w:val="false"/>
        <w:autoSpaceDE w:val="false"/>
        <w:autoSpaceDN w:val="false"/>
        <w:snapToGrid w:val="false"/>
        <w:spacing w:before="0" w:beforeAutospacing="false" w:after="0" w:afterAutospacing="false" w:lineRule="auto" w:line="360"/>
        <w:ind w:left="0" w:right="-69" w:firstLine="480" w:firstLineChars="200"/>
        <w:jc w:val="both"/>
        <w:textAlignment w:val="bottom"/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2、 本合同正本一式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份，甲方、乙方双方分别执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份，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备案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份。</w:t>
      </w:r>
    </w:p>
    <w:p w14:paraId="07054EA5">
      <w:pPr>
        <w:pStyle w:val="style0"/>
        <w:keepNext w:val="false"/>
        <w:keepLines w:val="false"/>
        <w:widowControl/>
        <w:suppressLineNumbers w:val="false"/>
        <w:autoSpaceDE w:val="false"/>
        <w:autoSpaceDN w:val="false"/>
        <w:snapToGrid w:val="false"/>
        <w:spacing w:before="0" w:beforeAutospacing="false" w:after="0" w:afterAutospacing="false" w:lineRule="auto" w:line="360"/>
        <w:ind w:left="0" w:right="-69" w:firstLine="480" w:firstLineChars="200"/>
        <w:jc w:val="both"/>
        <w:textAlignment w:val="bottom"/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3、合同经甲乙双方盖章、签字后生效，合同签订地点为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。</w:t>
      </w:r>
    </w:p>
    <w:p w14:paraId="6041D58F">
      <w:pPr>
        <w:pStyle w:val="style0"/>
        <w:keepNext w:val="false"/>
        <w:keepLines w:val="false"/>
        <w:widowControl/>
        <w:suppressLineNumbers w:val="false"/>
        <w:autoSpaceDE w:val="false"/>
        <w:autoSpaceDN w:val="false"/>
        <w:snapToGrid w:val="false"/>
        <w:spacing w:before="0" w:beforeAutospacing="false" w:after="0" w:afterAutospacing="false" w:lineRule="auto" w:line="360"/>
        <w:ind w:left="0" w:right="-69" w:firstLine="480" w:firstLineChars="200"/>
        <w:jc w:val="both"/>
        <w:textAlignment w:val="bottom"/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</w:rPr>
      </w:pPr>
      <w:r>
        <w:rPr>
          <w:rFonts w:ascii="仿宋" w:cs="仿宋" w:eastAsia="仿宋" w:hAnsi="仿宋" w:hint="eastAsia"/>
          <w:color w:val="auto"/>
          <w:kern w:val="0"/>
          <w:sz w:val="24"/>
          <w:szCs w:val="24"/>
          <w:highlight w:val="none"/>
          <w:lang w:val="en-US" w:eastAsia="zh-CN"/>
        </w:rPr>
        <w:t>4、生效时间：   年  月  日</w:t>
      </w:r>
    </w:p>
    <w:tbl>
      <w:tblPr>
        <w:tblStyle w:val="style10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6D9CBE32">
        <w:trPr>
          <w:jc w:val="center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A4D05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甲方名称</w:t>
            </w:r>
            <w:r>
              <w:rPr>
                <w:rFonts w:ascii="仿宋" w:cs="仿宋" w:eastAsia="仿宋" w:hAnsi="仿宋" w:hint="eastAsia"/>
                <w:color w:val="auto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>（盖章）</w:t>
            </w: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:</w:t>
            </w:r>
          </w:p>
          <w:p w14:paraId="33C86EC9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地址：</w:t>
            </w:r>
          </w:p>
          <w:p w14:paraId="6DE44D06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代表人（签字）：</w:t>
            </w:r>
          </w:p>
          <w:p w14:paraId="28631B54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电话：</w:t>
            </w:r>
          </w:p>
          <w:p w14:paraId="0A8C62D9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开户银行：</w:t>
            </w:r>
          </w:p>
          <w:p w14:paraId="2CCB116C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帐号：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82801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乙方名称</w:t>
            </w:r>
            <w:r>
              <w:rPr>
                <w:rFonts w:ascii="仿宋" w:cs="仿宋" w:eastAsia="仿宋" w:hAnsi="仿宋" w:hint="eastAsia"/>
                <w:color w:val="auto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>（盖章）</w:t>
            </w: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:</w:t>
            </w:r>
          </w:p>
          <w:p w14:paraId="0903A3D5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地址：</w:t>
            </w:r>
          </w:p>
          <w:p w14:paraId="66B23E74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代表人（签字）：</w:t>
            </w:r>
          </w:p>
          <w:p w14:paraId="111F3AFC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电话：</w:t>
            </w:r>
          </w:p>
          <w:p w14:paraId="301682DD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开户银行：</w:t>
            </w:r>
          </w:p>
          <w:p w14:paraId="4134519B">
            <w:pPr>
              <w:pStyle w:val="style0"/>
              <w:keepNext w:val="false"/>
              <w:keepLines w:val="false"/>
              <w:widowControl/>
              <w:suppressLineNumbers w:val="false"/>
              <w:autoSpaceDE w:val="false"/>
              <w:autoSpaceDN w:val="false"/>
              <w:snapToGrid w:val="false"/>
              <w:spacing w:before="0" w:beforeAutospacing="false" w:after="0" w:afterAutospacing="false" w:lineRule="auto" w:line="360"/>
              <w:ind w:left="0" w:right="-154"/>
              <w:jc w:val="both"/>
              <w:textAlignment w:val="bottom"/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" w:cs="仿宋" w:eastAsia="仿宋" w:hAnsi="仿宋" w:hint="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帐号：</w:t>
            </w:r>
          </w:p>
        </w:tc>
      </w:tr>
    </w:tbl>
    <w:p w14:paraId="1A81D950">
      <w:pPr>
        <w:pStyle w:val="style0"/>
        <w:rPr>
          <w:color w:val="auto"/>
          <w:highlight w:val="none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宋体"/>
    <w:panose1 w:val="02010600030001010101"/>
    <w:charset w:val="7a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微软雅黑">
    <w:altName w:val="微软雅黑"/>
    <w:panose1 w:val="020b0503020002020204"/>
    <w:charset w:val="86"/>
    <w:family w:val="auto"/>
    <w:pitch w:val="default"/>
    <w:sig w:usb0="80000287" w:usb1="2ACF3C50" w:usb2="00000016" w:usb3="00000000" w:csb0="0004001F" w:csb1="00000000"/>
  </w:font>
  <w:font w:name="Tahoma">
    <w:altName w:val="Tahoma"/>
    <w:panose1 w:val="020b0604030005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7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5">
    <w:name w:val="Hyperlink"/>
    <w:basedOn w:val="style65"/>
    <w:next w:val="style85"/>
    <w:qFormat/>
    <w:uiPriority w:val="0"/>
    <w:rPr>
      <w:color w:val="0000ff"/>
      <w:u w:val="single"/>
    </w:rPr>
  </w:style>
  <w:style w:type="paragraph" w:customStyle="1" w:styleId="style4097">
    <w:name w:val="null3"/>
    <w:next w:val="style4097"/>
    <w:qFormat/>
    <w:uiPriority w:val="0"/>
    <w:pPr/>
    <w:rPr>
      <w:rFonts w:ascii="Calibri" w:cs="宋体" w:eastAsia="宋体" w:hAnsi="Calibri" w:hint="eastAsia"/>
      <w:lang w:val="en-U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1138</Words>
  <Pages>3</Pages>
  <Characters>1158</Characters>
  <Application>WPS Office</Application>
  <DocSecurity>0</DocSecurity>
  <Paragraphs>58</Paragraphs>
  <ScaleCrop>false</ScaleCrop>
  <LinksUpToDate>false</LinksUpToDate>
  <CharactersWithSpaces>1221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2024-08-26T06:00:00Z</dcterms:created>
  <dc:creator>HP</dc:creator>
  <lastModifiedBy>PJH110</lastModifiedBy>
  <dcterms:modified xsi:type="dcterms:W3CDTF">2025-07-10T01:42:55Z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0c2c8a0ed4f44ba3894c9c9e117a12c2_23</vt:lpwstr>
  </property>
  <property fmtid="{D5CDD505-2E9C-101B-9397-08002B2CF9AE}" pid="4" name="KSOTemplateDocerSaveRecord">
    <vt:lpwstr>eyJoZGlkIjoiOGE2MjFmM2QyNjUxOTAwMDIzMTUyMmIwN2I5MWMwM2MiLCJ1c2VySWQiOiIzMTUyMTY1MDAifQ==</vt:lpwstr>
  </property>
</Properties>
</file>