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A11EA">
      <w:pPr>
        <w:pStyle w:val="10"/>
        <w:jc w:val="center"/>
        <w:outlineLvl w:val="1"/>
        <w:rPr>
          <w:rFonts w:hint="default" w:ascii="宋体" w:hAnsi="宋体" w:eastAsia="宋体" w:cs="宋体"/>
          <w:b/>
          <w:sz w:val="32"/>
          <w:szCs w:val="32"/>
          <w:highlight w:val="none"/>
        </w:rPr>
      </w:pPr>
      <w:r>
        <w:rPr>
          <w:rFonts w:ascii="宋体" w:hAnsi="宋体" w:eastAsia="宋体" w:cs="宋体"/>
          <w:b/>
          <w:sz w:val="32"/>
          <w:szCs w:val="32"/>
          <w:highlight w:val="none"/>
        </w:rPr>
        <w:t>政府采购合同格式</w:t>
      </w:r>
    </w:p>
    <w:p w14:paraId="1AF967CF">
      <w:pPr>
        <w:jc w:val="center"/>
        <w:rPr>
          <w:rFonts w:ascii="宋体" w:hAnsi="宋体" w:cs="宋体"/>
          <w:b/>
          <w:bCs/>
          <w:sz w:val="28"/>
          <w:szCs w:val="28"/>
          <w:highlight w:val="none"/>
        </w:rPr>
      </w:pPr>
      <w:r>
        <w:rPr>
          <w:rFonts w:hint="eastAsia" w:ascii="宋体" w:hAnsi="宋体" w:cs="宋体"/>
          <w:b/>
          <w:bCs/>
          <w:sz w:val="30"/>
          <w:szCs w:val="30"/>
          <w:highlight w:val="none"/>
        </w:rPr>
        <w:t>政府采购合同通用条款</w:t>
      </w:r>
    </w:p>
    <w:p w14:paraId="2ABAF490">
      <w:pPr>
        <w:tabs>
          <w:tab w:val="left" w:pos="8820"/>
          <w:tab w:val="left" w:pos="9345"/>
          <w:tab w:val="left" w:pos="9765"/>
        </w:tabs>
        <w:adjustRightInd w:val="0"/>
        <w:snapToGrid w:val="0"/>
        <w:spacing w:line="360" w:lineRule="auto"/>
        <w:ind w:right="384" w:rightChars="183"/>
        <w:rPr>
          <w:rFonts w:ascii="宋体" w:hAnsi="宋体"/>
          <w:b/>
          <w:bCs/>
          <w:szCs w:val="21"/>
          <w:highlight w:val="none"/>
        </w:rPr>
      </w:pPr>
      <w:r>
        <w:rPr>
          <w:rFonts w:hint="eastAsia" w:ascii="宋体" w:hAnsi="宋体"/>
          <w:b/>
          <w:szCs w:val="21"/>
          <w:highlight w:val="none"/>
        </w:rPr>
        <w:t>1.</w:t>
      </w:r>
      <w:r>
        <w:rPr>
          <w:rFonts w:hint="eastAsia" w:ascii="宋体" w:hAnsi="宋体"/>
          <w:b/>
          <w:bCs/>
          <w:szCs w:val="21"/>
          <w:highlight w:val="none"/>
        </w:rPr>
        <w:t>定义</w:t>
      </w:r>
    </w:p>
    <w:p w14:paraId="08FFCC2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1.1合同当事人</w:t>
      </w:r>
    </w:p>
    <w:p w14:paraId="6EFEA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（1）采购人(以下称甲方)是指使用财政性资金，通过政府采购程序向投标人购买货物、服务的国家机关、事业单位、团体组织。</w:t>
      </w:r>
    </w:p>
    <w:p w14:paraId="365ADBD8">
      <w:pPr>
        <w:autoSpaceDE w:val="0"/>
        <w:autoSpaceDN w:val="0"/>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（2）投标人(以下称乙方)是指参加政府采购活动而取得成交资格，并向采购人提供货物、服务的法人、其他组织或者自然人。</w:t>
      </w:r>
    </w:p>
    <w:p w14:paraId="5919A708">
      <w:pPr>
        <w:tabs>
          <w:tab w:val="left" w:pos="570"/>
          <w:tab w:val="left" w:pos="9240"/>
          <w:tab w:val="left" w:pos="9555"/>
        </w:tabs>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1.2本合同下列术语应解释为：</w:t>
      </w:r>
    </w:p>
    <w:p w14:paraId="1A0BEA4F">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（1）“合同”系指甲乙双方签署的、政府采购合同协议书中载明的甲乙双方所达成的协议，包括所有的附件、附录和上述文件所提到的构成合同的所有文件。</w:t>
      </w:r>
    </w:p>
    <w:p w14:paraId="539977FC">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（2）“合同价”系指根据本合同规定乙方在正确地完全履行合同义务后甲方应支付给乙方的价款。</w:t>
      </w:r>
    </w:p>
    <w:p w14:paraId="1B1AC438">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（3）“货物”系指乙方根据本合同规定须向甲方提供的各种形态和种类的物品，包括原资料、设备、产品(包括软件)及相关的其备品备件、工具、手册及其它技术资料和资料。</w:t>
      </w:r>
    </w:p>
    <w:p w14:paraId="678E8572">
      <w:pPr>
        <w:tabs>
          <w:tab w:val="left" w:pos="570"/>
          <w:tab w:val="left" w:pos="888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（4）“伴随服务”系指根据本合同规定乙方承担与供货有关的辅助服务，如运输、保</w:t>
      </w:r>
      <w:r>
        <w:rPr>
          <w:rFonts w:hint="eastAsia" w:ascii="宋体" w:hAnsi="宋体"/>
          <w:spacing w:val="2"/>
          <w:szCs w:val="21"/>
          <w:highlight w:val="none"/>
        </w:rPr>
        <w:t>险以及其它的伴随服务，例如安装、调试、提供技术</w:t>
      </w:r>
      <w:r>
        <w:rPr>
          <w:rFonts w:hint="eastAsia" w:ascii="宋体" w:hAnsi="宋体"/>
          <w:szCs w:val="21"/>
          <w:highlight w:val="none"/>
        </w:rPr>
        <w:t>协</w:t>
      </w:r>
      <w:r>
        <w:rPr>
          <w:rFonts w:hint="eastAsia" w:ascii="宋体" w:hAnsi="宋体"/>
          <w:spacing w:val="2"/>
          <w:szCs w:val="21"/>
          <w:highlight w:val="none"/>
        </w:rPr>
        <w:t>助、培训和合同中规定</w:t>
      </w:r>
      <w:r>
        <w:rPr>
          <w:rFonts w:hint="eastAsia" w:ascii="宋体" w:hAnsi="宋体"/>
          <w:szCs w:val="21"/>
          <w:highlight w:val="none"/>
        </w:rPr>
        <w:t>乙方应承担的其它义务。</w:t>
      </w:r>
    </w:p>
    <w:p w14:paraId="5DD01D85">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（5）“合同条款”系指本合同条款。</w:t>
      </w:r>
    </w:p>
    <w:p w14:paraId="615B8C09">
      <w:pPr>
        <w:tabs>
          <w:tab w:val="left" w:pos="570"/>
          <w:tab w:val="left" w:pos="9240"/>
          <w:tab w:val="left" w:pos="9555"/>
        </w:tabs>
        <w:adjustRightInd w:val="0"/>
        <w:snapToGrid w:val="0"/>
        <w:spacing w:line="360" w:lineRule="auto"/>
        <w:ind w:right="-92" w:rightChars="-44" w:firstLine="420" w:firstLineChars="200"/>
        <w:rPr>
          <w:rFonts w:ascii="宋体" w:hAnsi="宋体"/>
          <w:szCs w:val="21"/>
          <w:highlight w:val="none"/>
        </w:rPr>
      </w:pPr>
      <w:r>
        <w:rPr>
          <w:rFonts w:hint="eastAsia" w:ascii="宋体" w:hAnsi="宋体"/>
          <w:szCs w:val="21"/>
          <w:highlight w:val="none"/>
        </w:rPr>
        <w:t>（6）“项目现场”系指本合同项下货物安装、运行的现场，其名称在</w:t>
      </w:r>
      <w:r>
        <w:rPr>
          <w:rFonts w:hint="eastAsia" w:ascii="宋体" w:hAnsi="宋体"/>
          <w:b/>
          <w:bCs/>
          <w:szCs w:val="21"/>
          <w:highlight w:val="none"/>
        </w:rPr>
        <w:t>政府采购合同专用条款</w:t>
      </w:r>
      <w:r>
        <w:rPr>
          <w:rFonts w:hint="eastAsia" w:ascii="宋体" w:hAnsi="宋体"/>
          <w:szCs w:val="21"/>
          <w:highlight w:val="none"/>
        </w:rPr>
        <w:t>指明。</w:t>
      </w:r>
    </w:p>
    <w:p w14:paraId="7D980394">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2.合同的适用范围</w:t>
      </w:r>
    </w:p>
    <w:p w14:paraId="738CC56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 本合同条款适用于没有被本合同其他部分的条款所取代的范围。</w:t>
      </w:r>
    </w:p>
    <w:p w14:paraId="771896E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 合同内容根据招标文件、投标文件而确定。</w:t>
      </w:r>
    </w:p>
    <w:p w14:paraId="6A15671B">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3.</w:t>
      </w:r>
      <w:r>
        <w:rPr>
          <w:rFonts w:hint="eastAsia" w:ascii="宋体" w:hAnsi="宋体"/>
          <w:b/>
          <w:szCs w:val="21"/>
          <w:highlight w:val="none"/>
        </w:rPr>
        <w:t>合同标的及金额</w:t>
      </w:r>
    </w:p>
    <w:p w14:paraId="73A97DA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3.1 合同标的及金额应与成交结果一致，具体的货物名称、规格、型号、数量和价格见</w:t>
      </w:r>
      <w:r>
        <w:rPr>
          <w:rFonts w:hint="eastAsia" w:ascii="宋体" w:hAnsi="宋体"/>
          <w:b/>
          <w:bCs/>
          <w:szCs w:val="21"/>
          <w:highlight w:val="none"/>
        </w:rPr>
        <w:t>政府采购合同专用条款</w:t>
      </w:r>
      <w:r>
        <w:rPr>
          <w:rFonts w:hint="eastAsia" w:ascii="宋体" w:hAnsi="宋体"/>
          <w:szCs w:val="21"/>
          <w:highlight w:val="none"/>
        </w:rPr>
        <w:t>。</w:t>
      </w:r>
    </w:p>
    <w:p w14:paraId="46407707">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4.</w:t>
      </w:r>
      <w:r>
        <w:rPr>
          <w:rFonts w:hint="eastAsia" w:ascii="宋体" w:hAnsi="宋体"/>
          <w:b/>
          <w:szCs w:val="21"/>
          <w:highlight w:val="none"/>
        </w:rPr>
        <w:t>合同价款</w:t>
      </w:r>
    </w:p>
    <w:p w14:paraId="76690A84">
      <w:pPr>
        <w:adjustRightInd w:val="0"/>
        <w:snapToGrid w:val="0"/>
        <w:spacing w:line="360" w:lineRule="auto"/>
        <w:ind w:firstLine="560"/>
        <w:rPr>
          <w:rFonts w:ascii="宋体" w:hAnsi="宋体"/>
          <w:b/>
          <w:bCs/>
          <w:i/>
          <w:iCs/>
          <w:szCs w:val="21"/>
          <w:highlight w:val="none"/>
        </w:rPr>
      </w:pPr>
      <w:r>
        <w:rPr>
          <w:rFonts w:hint="eastAsia" w:ascii="宋体" w:hAnsi="宋体"/>
          <w:szCs w:val="21"/>
          <w:highlight w:val="none"/>
        </w:rPr>
        <w:t>4.1具体合同价款见本合同第3.1项。乙方为履行本合同而发生的所有费用均应包含在合同价款中，甲方不再另行支付其它任何费用。</w:t>
      </w:r>
    </w:p>
    <w:p w14:paraId="47EB7F2C">
      <w:pPr>
        <w:adjustRightInd w:val="0"/>
        <w:snapToGrid w:val="0"/>
        <w:spacing w:line="360" w:lineRule="auto"/>
        <w:rPr>
          <w:rFonts w:ascii="宋体" w:hAnsi="宋体"/>
          <w:b/>
          <w:szCs w:val="21"/>
          <w:highlight w:val="none"/>
        </w:rPr>
      </w:pPr>
      <w:r>
        <w:rPr>
          <w:rFonts w:hint="eastAsia" w:ascii="宋体" w:hAnsi="宋体"/>
          <w:b/>
          <w:szCs w:val="21"/>
          <w:highlight w:val="none"/>
        </w:rPr>
        <w:t>5.履行合同的时间、地点和方式</w:t>
      </w:r>
    </w:p>
    <w:p w14:paraId="4A35518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5.1 乙方应当在甲方确定的时间、指定的地点履行合同，具体的交货时间、地点和方式见</w:t>
      </w:r>
      <w:r>
        <w:rPr>
          <w:rFonts w:hint="eastAsia" w:ascii="宋体" w:hAnsi="宋体"/>
          <w:b/>
          <w:bCs/>
          <w:szCs w:val="21"/>
          <w:highlight w:val="none"/>
        </w:rPr>
        <w:t>政府采购合同专用条款</w:t>
      </w:r>
      <w:r>
        <w:rPr>
          <w:rFonts w:hint="eastAsia" w:ascii="宋体" w:hAnsi="宋体"/>
          <w:szCs w:val="21"/>
          <w:highlight w:val="none"/>
        </w:rPr>
        <w:t>。</w:t>
      </w:r>
    </w:p>
    <w:p w14:paraId="1358510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5.2 乙方提供服务的应当在甲方指定的地点完成服务项目。</w:t>
      </w:r>
    </w:p>
    <w:p w14:paraId="635199EB">
      <w:pPr>
        <w:adjustRightInd w:val="0"/>
        <w:snapToGrid w:val="0"/>
        <w:spacing w:line="360" w:lineRule="auto"/>
        <w:rPr>
          <w:rFonts w:ascii="宋体" w:hAnsi="宋体"/>
          <w:b/>
          <w:bCs/>
          <w:szCs w:val="21"/>
          <w:highlight w:val="none"/>
        </w:rPr>
      </w:pPr>
      <w:r>
        <w:rPr>
          <w:rFonts w:hint="eastAsia" w:ascii="宋体" w:hAnsi="宋体"/>
          <w:b/>
          <w:bCs/>
          <w:szCs w:val="21"/>
          <w:highlight w:val="none"/>
        </w:rPr>
        <w:t>6.</w:t>
      </w:r>
      <w:r>
        <w:rPr>
          <w:rFonts w:hint="eastAsia" w:ascii="宋体" w:hAnsi="宋体"/>
          <w:b/>
          <w:szCs w:val="21"/>
          <w:highlight w:val="none"/>
        </w:rPr>
        <w:t>货物的验收</w:t>
      </w:r>
    </w:p>
    <w:p w14:paraId="22B9EBC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6.1 甲方在收到乙方交付的货物后应当及时组织验收。</w:t>
      </w:r>
    </w:p>
    <w:p w14:paraId="67BAAC3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6.2 货物的表面瑕疵，甲方应在验收时当面提出；对质量问题有异议的应在安装调试后十个工作日内提出。</w:t>
      </w:r>
    </w:p>
    <w:p w14:paraId="238E04E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6.3 在验收过程中发现数量不足或有质量、技术等问题，乙方应负责按照甲方的要求采取补足、更换或退货等处理措施，并承担由此发生的一切费用和损失。</w:t>
      </w:r>
    </w:p>
    <w:p w14:paraId="0B65B85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6.4 甲方在乙方按合同规定交货或安装、调试后，无正当理由而拖延接收、验收或拒绝接收、验收的，应承担因此给乙方造成的直接损失。</w:t>
      </w:r>
    </w:p>
    <w:p w14:paraId="42DDEC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6.5 甲方对货物进行检查验收合格后，应当收取发票并在《交货验收单》上签署验收意见及加盖单位印章。</w:t>
      </w:r>
    </w:p>
    <w:p w14:paraId="6DA50E6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6.6 大型或者复杂的货物采购项目，甲方可以邀请国家认可的质量检测机构参加验收工作，并由其出具验收报告单。</w:t>
      </w:r>
    </w:p>
    <w:p w14:paraId="2812619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6.7 乙方提供的进口产品，乙方应出示中华人民共和国进出口商品检验部门出具的检验证书（采购文件另有约定的除外）。</w:t>
      </w:r>
    </w:p>
    <w:p w14:paraId="6DD2442B">
      <w:pPr>
        <w:adjustRightInd w:val="0"/>
        <w:snapToGrid w:val="0"/>
        <w:spacing w:line="360" w:lineRule="auto"/>
        <w:rPr>
          <w:rFonts w:ascii="宋体" w:hAnsi="宋体"/>
          <w:b/>
          <w:bCs/>
          <w:szCs w:val="21"/>
          <w:highlight w:val="none"/>
        </w:rPr>
      </w:pPr>
      <w:r>
        <w:rPr>
          <w:rFonts w:hint="eastAsia" w:ascii="宋体" w:hAnsi="宋体"/>
          <w:b/>
          <w:bCs/>
          <w:szCs w:val="21"/>
          <w:highlight w:val="none"/>
        </w:rPr>
        <w:t>7.货物包装要求</w:t>
      </w:r>
    </w:p>
    <w:p w14:paraId="697A18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6A323DA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7.2 每一个包装箱内应附一份详细装箱单、质量证书和保修保养证书。</w:t>
      </w:r>
    </w:p>
    <w:p w14:paraId="2E3C47C8">
      <w:pPr>
        <w:pStyle w:val="4"/>
        <w:adjustRightInd w:val="0"/>
        <w:snapToGrid w:val="0"/>
        <w:spacing w:line="360" w:lineRule="auto"/>
        <w:rPr>
          <w:bCs w:val="0"/>
          <w:sz w:val="21"/>
          <w:szCs w:val="21"/>
          <w:highlight w:val="none"/>
        </w:rPr>
      </w:pPr>
      <w:r>
        <w:rPr>
          <w:rFonts w:hint="eastAsia"/>
          <w:bCs w:val="0"/>
          <w:sz w:val="21"/>
          <w:szCs w:val="21"/>
          <w:highlight w:val="none"/>
        </w:rPr>
        <w:t>8.</w:t>
      </w:r>
      <w:r>
        <w:rPr>
          <w:rFonts w:hint="eastAsia"/>
          <w:sz w:val="21"/>
          <w:szCs w:val="21"/>
          <w:highlight w:val="none"/>
        </w:rPr>
        <w:t>运输和保险</w:t>
      </w:r>
    </w:p>
    <w:p w14:paraId="1728D957">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8.1乙方负责办理将货物运抵本合同第五条规定的交货地点的一切运输事项，相关费用应包括在合同总价中。</w:t>
      </w:r>
    </w:p>
    <w:p w14:paraId="2E3EBFE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8.2乙方应向保险公司投保以甲方为受益人的发运合同货物发票金额的110％运输一切险。</w:t>
      </w:r>
    </w:p>
    <w:p w14:paraId="2CCC7EE8">
      <w:pPr>
        <w:adjustRightInd w:val="0"/>
        <w:snapToGrid w:val="0"/>
        <w:spacing w:line="360" w:lineRule="auto"/>
        <w:rPr>
          <w:rFonts w:ascii="宋体" w:hAnsi="宋体"/>
          <w:b/>
          <w:szCs w:val="21"/>
          <w:highlight w:val="none"/>
        </w:rPr>
      </w:pPr>
      <w:r>
        <w:rPr>
          <w:rFonts w:hint="eastAsia" w:ascii="宋体" w:hAnsi="宋体"/>
          <w:b/>
          <w:szCs w:val="21"/>
          <w:highlight w:val="none"/>
        </w:rPr>
        <w:t>9.质量标准和保证</w:t>
      </w:r>
    </w:p>
    <w:p w14:paraId="6E31F568">
      <w:pPr>
        <w:pStyle w:val="6"/>
        <w:adjustRightInd w:val="0"/>
        <w:snapToGrid w:val="0"/>
        <w:spacing w:line="360" w:lineRule="auto"/>
        <w:ind w:firstLine="420" w:firstLineChars="200"/>
        <w:rPr>
          <w:rFonts w:hAnsi="宋体"/>
          <w:b/>
          <w:highlight w:val="none"/>
        </w:rPr>
      </w:pPr>
      <w:r>
        <w:rPr>
          <w:rFonts w:hint="eastAsia" w:hAnsi="宋体"/>
          <w:highlight w:val="none"/>
        </w:rPr>
        <w:t>9.1 质量标准</w:t>
      </w:r>
    </w:p>
    <w:p w14:paraId="3B2B778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（1）本合同下交付的货物应符合第五章采购需求所述的标准。如果没有提及适用标准，则应符合中华人民共和国有关机构发布的最新版本的标准。</w:t>
      </w:r>
    </w:p>
    <w:p w14:paraId="6AE1D869">
      <w:pPr>
        <w:pStyle w:val="6"/>
        <w:adjustRightInd w:val="0"/>
        <w:snapToGrid w:val="0"/>
        <w:spacing w:line="360" w:lineRule="auto"/>
        <w:ind w:firstLine="420" w:firstLineChars="200"/>
        <w:rPr>
          <w:rFonts w:hAnsi="宋体"/>
          <w:highlight w:val="none"/>
        </w:rPr>
      </w:pPr>
      <w:r>
        <w:rPr>
          <w:rFonts w:hint="eastAsia" w:hAnsi="宋体"/>
          <w:highlight w:val="none"/>
        </w:rPr>
        <w:t>（2）采用中华人民共和国法定计量单位。</w:t>
      </w:r>
    </w:p>
    <w:p w14:paraId="3A2B004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（3）乙方所出售的货物还应符合国家有关安全、环保、卫生之规定。</w:t>
      </w:r>
    </w:p>
    <w:p w14:paraId="182D098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9.2 保证</w:t>
      </w:r>
    </w:p>
    <w:p w14:paraId="71B7B64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b/>
          <w:bCs/>
          <w:szCs w:val="21"/>
          <w:highlight w:val="none"/>
        </w:rPr>
        <w:t>政府采购合同专用条款</w:t>
      </w:r>
      <w:r>
        <w:rPr>
          <w:rFonts w:hint="eastAsia" w:ascii="宋体" w:hAnsi="宋体"/>
          <w:szCs w:val="21"/>
          <w:highlight w:val="none"/>
        </w:rPr>
        <w:t>规定或乙方承诺（两者以较长的为准）的质量保证期内，本保证保持有效。</w:t>
      </w:r>
    </w:p>
    <w:p w14:paraId="2D508A4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（2）在质量保证期内所发现的缺陷，甲方应尽快以书面形式通知乙方。</w:t>
      </w:r>
    </w:p>
    <w:p w14:paraId="7D63331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（3）乙方收到通知后应在</w:t>
      </w:r>
      <w:r>
        <w:rPr>
          <w:rFonts w:hint="eastAsia" w:ascii="宋体" w:hAnsi="宋体"/>
          <w:b/>
          <w:bCs/>
          <w:szCs w:val="21"/>
          <w:highlight w:val="none"/>
        </w:rPr>
        <w:t>政府采购合同专用条款</w:t>
      </w:r>
      <w:r>
        <w:rPr>
          <w:rFonts w:hint="eastAsia" w:ascii="宋体" w:hAnsi="宋体"/>
          <w:szCs w:val="21"/>
          <w:highlight w:val="none"/>
        </w:rPr>
        <w:t>规定的响应时间内以合理的速度免费维修或更换有缺陷的货物或部件。</w:t>
      </w:r>
    </w:p>
    <w:p w14:paraId="396A0B5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（4）在质量保证期内，如果货物的质量或规格与合同不符，或证实货物是有缺陷的，包括潜在的缺陷或使用不符合要求的资料等，甲方可以根据本合同第15.1项规定以书面形式向乙方提出补救措施或索赔。</w:t>
      </w:r>
    </w:p>
    <w:p w14:paraId="583698E3">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（5）乙方在约定的时间内未能弥补缺陷，甲方可采取必要的补救措施，但其风险和费用将由乙方承担，甲方根据合同规定对乙方行使的其他权利不受影响。</w:t>
      </w:r>
    </w:p>
    <w:p w14:paraId="1B859292">
      <w:pPr>
        <w:adjustRightInd w:val="0"/>
        <w:snapToGrid w:val="0"/>
        <w:spacing w:line="360" w:lineRule="auto"/>
        <w:rPr>
          <w:rFonts w:ascii="宋体" w:hAnsi="宋体"/>
          <w:b/>
          <w:bCs/>
          <w:szCs w:val="21"/>
          <w:highlight w:val="none"/>
        </w:rPr>
      </w:pPr>
      <w:r>
        <w:rPr>
          <w:rFonts w:hint="eastAsia" w:ascii="宋体" w:hAnsi="宋体"/>
          <w:b/>
          <w:bCs/>
          <w:szCs w:val="21"/>
          <w:highlight w:val="none"/>
        </w:rPr>
        <w:t>10.权利瑕疵担保</w:t>
      </w:r>
    </w:p>
    <w:p w14:paraId="3ECDB7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10.1 乙方保证对其出售的货物享有合法的权利。</w:t>
      </w:r>
    </w:p>
    <w:p w14:paraId="59E05E8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10.2 乙方保证在其出售的货物上不存在任何未曾向甲方透露的担保物权，如抵押权、质押权、留置权等。</w:t>
      </w:r>
    </w:p>
    <w:p w14:paraId="22E6DB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10.3 如甲方使用该货物构成上述侵权的，则由乙方承担全部责任。</w:t>
      </w:r>
    </w:p>
    <w:p w14:paraId="70F1237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11.知识产权保护</w:t>
      </w:r>
    </w:p>
    <w:p w14:paraId="7875FAF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11.1 乙方对其所销售的货物应当享有知识产权或经权利人合法授权，保证没有侵犯任何第三人的知识产权和商业秘密等权利。</w:t>
      </w:r>
    </w:p>
    <w:p w14:paraId="4D9A972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11.2 甲方使用乙方提供的货物对第三人构成侵权的，应当由乙方承担全部法律责任，给甲方造成损害的，乙方应当承担赔偿责任。</w:t>
      </w:r>
    </w:p>
    <w:p w14:paraId="31B0558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11.3 甲方委托乙方开发的产品，甲方享有知识产权，未经甲方许可不得转让任何第三人。</w:t>
      </w:r>
    </w:p>
    <w:p w14:paraId="190AC67E">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12.保密义务</w:t>
      </w:r>
    </w:p>
    <w:p w14:paraId="2FB9E7E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12.1 甲、乙双方在采购和履行合同过程中所获悉的对方属于保密的内容，甲乙双方均有保密义务。</w:t>
      </w:r>
    </w:p>
    <w:p w14:paraId="3373A0B4">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13.合同价款支付</w:t>
      </w:r>
    </w:p>
    <w:p w14:paraId="2F8E1330">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13.1验收合格后，乙方出具正规发票给甲方，凭甲方开具的《政府采购合同验收报告单》办理合同价</w:t>
      </w:r>
      <w:r>
        <w:rPr>
          <w:rFonts w:hint="eastAsia" w:ascii="宋体" w:hAnsi="宋体"/>
          <w:bCs/>
          <w:szCs w:val="21"/>
          <w:highlight w:val="none"/>
        </w:rPr>
        <w:t>款</w:t>
      </w:r>
      <w:r>
        <w:rPr>
          <w:rFonts w:hint="eastAsia" w:ascii="宋体" w:hAnsi="宋体"/>
          <w:szCs w:val="21"/>
          <w:highlight w:val="none"/>
        </w:rPr>
        <w:t>结算手续。</w:t>
      </w:r>
    </w:p>
    <w:p w14:paraId="58424C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13.2 合同价款构成中应当由财政支付的部分，甲方应当在货物验收合格后的一个月内向国库管理部门申请支付，经国库管理部门审核后直接支付给乙方。</w:t>
      </w:r>
    </w:p>
    <w:p w14:paraId="289438D8">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13.3 合同价款构成中应当由甲方自行支付的部分，甲方应当在货物验收合格后一个月内支付。</w:t>
      </w:r>
    </w:p>
    <w:p w14:paraId="531A1A12">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13.4支付合同价</w:t>
      </w:r>
      <w:r>
        <w:rPr>
          <w:rFonts w:hint="eastAsia" w:ascii="宋体" w:hAnsi="宋体"/>
          <w:bCs/>
          <w:szCs w:val="21"/>
          <w:highlight w:val="none"/>
        </w:rPr>
        <w:t>款</w:t>
      </w:r>
      <w:r>
        <w:rPr>
          <w:rFonts w:hint="eastAsia" w:ascii="宋体" w:hAnsi="宋体"/>
          <w:szCs w:val="21"/>
          <w:highlight w:val="none"/>
        </w:rPr>
        <w:t>时，一律不向乙方以外的任何第三方办理付款手续。开户行和帐号以签订的政府采购合同为准，如果乙方要求变更，则乙方必须提供加盖财务专用章、法人代表签字的证明文件，报经甲方审查核准，并报财政部门备案。</w:t>
      </w:r>
    </w:p>
    <w:p w14:paraId="06CCD27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13.5 合同价款支付方式</w:t>
      </w:r>
      <w:r>
        <w:rPr>
          <w:rFonts w:hint="eastAsia" w:ascii="宋体" w:hAnsi="宋体"/>
          <w:bCs/>
          <w:szCs w:val="21"/>
          <w:highlight w:val="none"/>
        </w:rPr>
        <w:t>和条件在</w:t>
      </w:r>
      <w:r>
        <w:rPr>
          <w:rFonts w:hint="eastAsia" w:ascii="宋体" w:hAnsi="宋体"/>
          <w:b/>
          <w:bCs/>
          <w:szCs w:val="21"/>
          <w:highlight w:val="none"/>
        </w:rPr>
        <w:t>政府采购合同专用条款</w:t>
      </w:r>
      <w:r>
        <w:rPr>
          <w:rFonts w:hint="eastAsia" w:ascii="宋体" w:hAnsi="宋体"/>
          <w:szCs w:val="21"/>
          <w:highlight w:val="none"/>
        </w:rPr>
        <w:t>中另有规定。</w:t>
      </w:r>
    </w:p>
    <w:p w14:paraId="611C7777">
      <w:pPr>
        <w:pStyle w:val="6"/>
        <w:tabs>
          <w:tab w:val="left" w:pos="0"/>
        </w:tabs>
        <w:adjustRightInd w:val="0"/>
        <w:snapToGrid w:val="0"/>
        <w:spacing w:line="360" w:lineRule="auto"/>
        <w:ind w:firstLine="420" w:firstLineChars="200"/>
        <w:rPr>
          <w:rFonts w:hAnsi="宋体" w:cs="宋体"/>
          <w:szCs w:val="21"/>
          <w:highlight w:val="none"/>
        </w:rPr>
      </w:pPr>
      <w:r>
        <w:rPr>
          <w:rFonts w:hint="eastAsia" w:hAnsi="宋体" w:cs="宋体"/>
          <w:szCs w:val="21"/>
          <w:highlight w:val="none"/>
        </w:rPr>
        <w:t>13.6乙方为中小型企业（需提供中小型企业说明函），支付方式如下：</w:t>
      </w:r>
    </w:p>
    <w:p w14:paraId="23A16F8F">
      <w:pPr>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1）合同签订后30天</w:t>
      </w:r>
      <w:r>
        <w:rPr>
          <w:rFonts w:hint="eastAsia" w:ascii="宋体" w:hAnsi="宋体"/>
          <w:bCs/>
          <w:szCs w:val="21"/>
          <w:highlight w:val="none"/>
        </w:rPr>
        <w:t>内</w:t>
      </w:r>
      <w:r>
        <w:rPr>
          <w:rFonts w:hint="eastAsia" w:ascii="宋体" w:hAnsi="宋体"/>
          <w:szCs w:val="21"/>
          <w:highlight w:val="none"/>
        </w:rPr>
        <w:t>，甲方向乙方支付合同总价款40%作为预付款，乙方需提供相关收款依据。</w:t>
      </w:r>
    </w:p>
    <w:p w14:paraId="0A9150CD">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2）货物送达甲方指定点完成安装调试经采购人验收合格并提供增值税发票后，甲方将在一个月内支付合同总价款10%货款，剩余货款在第二年支付。</w:t>
      </w:r>
    </w:p>
    <w:p w14:paraId="49AF492A">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14.</w:t>
      </w:r>
      <w:r>
        <w:rPr>
          <w:rFonts w:hint="eastAsia" w:ascii="宋体" w:hAnsi="宋体"/>
          <w:b/>
          <w:szCs w:val="21"/>
          <w:highlight w:val="none"/>
        </w:rPr>
        <w:t>伴随服务</w:t>
      </w:r>
    </w:p>
    <w:p w14:paraId="56D667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14.1 乙方应向甲方提交所提供货物的技术文件，包括相应的中文技术文件，如：产品目录、图纸、操作手册、使用说明、维护手册或服务指南。这些文件应包装好随同货物一起发运。</w:t>
      </w:r>
    </w:p>
    <w:p w14:paraId="124A6297">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14.2 乙方还应提供下列服务：</w:t>
      </w:r>
    </w:p>
    <w:p w14:paraId="05AFD84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（1）货物的现场移动、安装、调试、启动监督及技术支持；</w:t>
      </w:r>
    </w:p>
    <w:p w14:paraId="4BB7323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（2）提供货物组装和维修所需的专用工具和辅助资料；</w:t>
      </w:r>
    </w:p>
    <w:p w14:paraId="0BE05BC1">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（3）在合同各方商定的一定期限内对所有的货物实施运行监督、维修，但前提条件是该服务并不能免除乙方在质量保证期内所承担的义务；</w:t>
      </w:r>
    </w:p>
    <w:p w14:paraId="724BDA4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（4）在制造商或项目现场就货物的安装、启动、运营、维护对甲方操作人员进行培训。</w:t>
      </w:r>
    </w:p>
    <w:p w14:paraId="25F1B20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w:t>
      </w:r>
      <w:r>
        <w:rPr>
          <w:rFonts w:hint="eastAsia" w:ascii="宋体" w:hAnsi="宋体"/>
          <w:b/>
          <w:bCs/>
          <w:szCs w:val="21"/>
          <w:highlight w:val="none"/>
        </w:rPr>
        <w:t>政府采购合同专用条款</w:t>
      </w:r>
      <w:r>
        <w:rPr>
          <w:rFonts w:hint="eastAsia" w:ascii="宋体" w:hAnsi="宋体"/>
          <w:szCs w:val="21"/>
          <w:highlight w:val="none"/>
        </w:rPr>
        <w:t>与第四章采购需求规定的其他伴随服务</w:t>
      </w:r>
    </w:p>
    <w:p w14:paraId="6B4AE30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14.3 乙方提供的伴随服务的费用应包含在合同价款中，甲方不再另行支付。</w:t>
      </w:r>
    </w:p>
    <w:p w14:paraId="7F4110BD">
      <w:pPr>
        <w:adjustRightInd w:val="0"/>
        <w:snapToGrid w:val="0"/>
        <w:spacing w:line="360" w:lineRule="auto"/>
        <w:rPr>
          <w:rFonts w:ascii="宋体" w:hAnsi="宋体"/>
          <w:b/>
          <w:bCs/>
          <w:szCs w:val="21"/>
          <w:highlight w:val="none"/>
        </w:rPr>
      </w:pPr>
      <w:r>
        <w:rPr>
          <w:rFonts w:hint="eastAsia" w:ascii="宋体" w:hAnsi="宋体"/>
          <w:b/>
          <w:bCs/>
          <w:szCs w:val="21"/>
          <w:highlight w:val="none"/>
        </w:rPr>
        <w:t>15.违约责任</w:t>
      </w:r>
    </w:p>
    <w:p w14:paraId="19C30570">
      <w:pPr>
        <w:adjustRightInd w:val="0"/>
        <w:snapToGrid w:val="0"/>
        <w:spacing w:line="360" w:lineRule="auto"/>
        <w:ind w:firstLine="315" w:firstLineChars="150"/>
        <w:rPr>
          <w:rFonts w:ascii="宋体" w:hAnsi="宋体"/>
          <w:bCs/>
          <w:szCs w:val="21"/>
          <w:highlight w:val="none"/>
        </w:rPr>
      </w:pPr>
      <w:r>
        <w:rPr>
          <w:rFonts w:hint="eastAsia" w:ascii="宋体" w:hAnsi="宋体"/>
          <w:bCs/>
          <w:szCs w:val="21"/>
          <w:highlight w:val="none"/>
        </w:rPr>
        <w:t>15.1质量瑕疵的补救措施和索赔</w:t>
      </w:r>
    </w:p>
    <w:p w14:paraId="14F78D8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04B36E7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①乙方同意退货并将货款退还给甲方，由此发生的一切费用和损失由乙方承担。</w:t>
      </w:r>
    </w:p>
    <w:p w14:paraId="14E50FE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②根据货物的质量状况以及甲方所遭受的损失，经过甲乙双方商定降低货物的价格。</w:t>
      </w:r>
    </w:p>
    <w:p w14:paraId="2DE0F7B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0AC840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6AF5F4EB">
      <w:pPr>
        <w:autoSpaceDE w:val="0"/>
        <w:autoSpaceDN w:val="0"/>
        <w:adjustRightInd w:val="0"/>
        <w:snapToGrid w:val="0"/>
        <w:spacing w:line="360" w:lineRule="auto"/>
        <w:ind w:firstLine="420" w:firstLineChars="200"/>
        <w:rPr>
          <w:rFonts w:ascii="宋体" w:hAnsi="宋体"/>
          <w:bCs/>
          <w:szCs w:val="21"/>
          <w:highlight w:val="none"/>
        </w:rPr>
      </w:pPr>
      <w:r>
        <w:rPr>
          <w:rFonts w:hint="eastAsia" w:ascii="宋体" w:hAnsi="宋体"/>
          <w:bCs/>
          <w:szCs w:val="21"/>
          <w:highlight w:val="none"/>
        </w:rPr>
        <w:t>15.2 迟延交货的违约责任</w:t>
      </w:r>
    </w:p>
    <w:p w14:paraId="0D72BD2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150E830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（2）除本合同</w:t>
      </w:r>
      <w:r>
        <w:rPr>
          <w:rFonts w:hint="eastAsia" w:ascii="宋体" w:hAnsi="宋体"/>
          <w:bCs/>
          <w:szCs w:val="21"/>
          <w:highlight w:val="none"/>
        </w:rPr>
        <w:t>第19条</w:t>
      </w:r>
      <w:r>
        <w:rPr>
          <w:rFonts w:hint="eastAsia" w:ascii="宋体" w:hAnsi="宋体"/>
          <w:szCs w:val="21"/>
          <w:highlight w:val="none"/>
        </w:rPr>
        <w:t>规定情况外，如果乙方没有按照合同规定的时间交货和提供服务，甲方有权从货款中扣除误期赔偿费而不影响合同项下的其他补救方法，赔偿费按每周（一周按七日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14:paraId="684EFBE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220539C2">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16.合同的变更</w:t>
      </w:r>
    </w:p>
    <w:p w14:paraId="6510844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16.1 在合同履行过程中，甲、乙双方可就合同履行的时间、地点和方式等协商进行变更。协商一致后，双方应签订书面的补充协议。</w:t>
      </w:r>
    </w:p>
    <w:p w14:paraId="0DAAC48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16.2 在不改变合同其他条款的前提下，甲方有权在合同价款百分之十的范围内追加与合同标的相同的货物或服务，并就此与乙方签订补充合同，乙方不得拒绝。</w:t>
      </w:r>
    </w:p>
    <w:p w14:paraId="40A2C348">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16.3 除双方签署书面协议，并成为合同不可分割的一部分外，本合同条件不得有任何变更。</w:t>
      </w:r>
    </w:p>
    <w:p w14:paraId="43C03B9D">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17.合同中止与终止</w:t>
      </w:r>
    </w:p>
    <w:p w14:paraId="5932E7CB">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17.1合同的中止</w:t>
      </w:r>
    </w:p>
    <w:p w14:paraId="3DFA2FC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（1）合同在履行过程中，因采购计划调整，甲方可以要求中止履行，待计划确定后继续履行；</w:t>
      </w:r>
    </w:p>
    <w:p w14:paraId="6E057E8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（2）合同履行过程中因投标人就采购过程或结果提起投诉的，甲方认为有必要或财政部门责令中止的，应当中止合同的履行。</w:t>
      </w:r>
    </w:p>
    <w:p w14:paraId="00272B15">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17.2合同的终止</w:t>
      </w:r>
    </w:p>
    <w:p w14:paraId="1001B6C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（1）合同因有效期限届满而终止；</w:t>
      </w:r>
    </w:p>
    <w:p w14:paraId="2E90E9E5">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（2）乙方未能依照本合同约定条件履行合同，已构成根本性违约的，甲方有权终止本合同，并追究乙方的违约责任。</w:t>
      </w:r>
    </w:p>
    <w:p w14:paraId="0815C65A">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（3）如果乙方丧失履约能力或被宣告破产，甲方可在任何时候以书面形式通知乙方终止合同而不给乙方补偿。</w:t>
      </w:r>
    </w:p>
    <w:p w14:paraId="58B380A9">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（4）如果乙方在履行合同过程中有不正当竞争行为，甲方有权解除合同，并按《中华人民共和国反不正当竞争法》规定由有关部门追究其法律责任。</w:t>
      </w:r>
    </w:p>
    <w:p w14:paraId="67D0BFE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（5）如果合同的履行将损害国家利益或社会公共利益，甲方有权终止合同的履行，给乙方造成损失的予以相应补偿。</w:t>
      </w:r>
    </w:p>
    <w:p w14:paraId="368CAB59">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18.合同转让和分包</w:t>
      </w:r>
    </w:p>
    <w:p w14:paraId="0C37664F">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18.1 乙方不得以任何形式将合同转包。</w:t>
      </w:r>
    </w:p>
    <w:p w14:paraId="4130605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18.2 乙方未在投标文件中说明，且未经甲方书面同意，乙方不得将</w:t>
      </w:r>
      <w:r>
        <w:rPr>
          <w:rFonts w:hint="eastAsia" w:ascii="宋体" w:hAnsi="宋体"/>
          <w:bCs/>
          <w:szCs w:val="21"/>
          <w:highlight w:val="none"/>
        </w:rPr>
        <w:t>合同</w:t>
      </w:r>
      <w:r>
        <w:rPr>
          <w:rFonts w:hint="eastAsia" w:ascii="宋体" w:hAnsi="宋体"/>
          <w:szCs w:val="21"/>
          <w:highlight w:val="none"/>
        </w:rPr>
        <w:t>的主体、关键性工作分包给他人。</w:t>
      </w:r>
    </w:p>
    <w:p w14:paraId="4C5ABC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18.3 根据政府采购</w:t>
      </w:r>
      <w:r>
        <w:rPr>
          <w:rFonts w:hint="eastAsia" w:ascii="宋体" w:hAnsi="宋体" w:cs="宋体"/>
          <w:bCs/>
          <w:kern w:val="0"/>
          <w:szCs w:val="21"/>
          <w:highlight w:val="none"/>
        </w:rPr>
        <w:t>支持</w:t>
      </w:r>
      <w:r>
        <w:rPr>
          <w:rFonts w:hint="eastAsia" w:ascii="宋体" w:hAnsi="宋体"/>
          <w:szCs w:val="21"/>
          <w:highlight w:val="none"/>
        </w:rPr>
        <w:t>中小企业发展政策规定，经甲方同意，获得政府采购合同的大型企业可依法向中小企业分包。</w:t>
      </w:r>
    </w:p>
    <w:p w14:paraId="209E7B51">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19.不可抗力</w:t>
      </w:r>
    </w:p>
    <w:p w14:paraId="6B9C39C4">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19.1 不可抗力是指合同双方不可预见、不可避免、不可克服的自然灾害和社会事件。</w:t>
      </w:r>
    </w:p>
    <w:p w14:paraId="03FB9510">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19.2 任何一方对由于不可抗力造成的部分或全部不能履行合同不承担违约责任。但迟延履行后发生不可抗力的，不能免除责任。</w:t>
      </w:r>
    </w:p>
    <w:p w14:paraId="73DB9FF3">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19.3 遇有不可抗力的一方，应在三日内将事件的情况以书面形式通知另一方，并在事件发生后十日内，向另一方提交合同不能履行或部分不能履行或需要延期履行理由的报告。</w:t>
      </w:r>
    </w:p>
    <w:p w14:paraId="1C46333F">
      <w:pPr>
        <w:autoSpaceDE w:val="0"/>
        <w:autoSpaceDN w:val="0"/>
        <w:adjustRightInd w:val="0"/>
        <w:snapToGrid w:val="0"/>
        <w:spacing w:line="360" w:lineRule="auto"/>
        <w:rPr>
          <w:rFonts w:ascii="宋体" w:hAnsi="宋体"/>
          <w:b/>
          <w:bCs/>
          <w:szCs w:val="21"/>
          <w:highlight w:val="none"/>
        </w:rPr>
      </w:pPr>
      <w:r>
        <w:rPr>
          <w:rFonts w:hint="eastAsia" w:ascii="宋体" w:hAnsi="宋体"/>
          <w:b/>
          <w:bCs/>
          <w:szCs w:val="21"/>
          <w:highlight w:val="none"/>
        </w:rPr>
        <w:t>20.解决争议的方法</w:t>
      </w:r>
    </w:p>
    <w:p w14:paraId="0910CDD6">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20.1 合同各方应通过友好协商，解决在执行合同过程中所发生的或与合同有关的一切争端。如从协商开始后十日内仍不能解决，可以向财政部门提请调解。</w:t>
      </w:r>
    </w:p>
    <w:p w14:paraId="7AEFDFEC">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20.2 调解不成可以按</w:t>
      </w:r>
      <w:r>
        <w:rPr>
          <w:rFonts w:hint="eastAsia" w:ascii="宋体" w:hAnsi="宋体"/>
          <w:b/>
          <w:bCs/>
          <w:szCs w:val="21"/>
          <w:highlight w:val="none"/>
        </w:rPr>
        <w:t>政府采购合同专用条款</w:t>
      </w:r>
      <w:r>
        <w:rPr>
          <w:rFonts w:hint="eastAsia" w:ascii="宋体" w:hAnsi="宋体"/>
          <w:szCs w:val="21"/>
          <w:highlight w:val="none"/>
        </w:rPr>
        <w:t>中规定下列方式之一提起仲裁或诉讼：</w:t>
      </w:r>
    </w:p>
    <w:p w14:paraId="66A935B2">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（1）向甲方所在地仲裁机构提起仲裁；</w:t>
      </w:r>
    </w:p>
    <w:p w14:paraId="0C54DA1B">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（2）向甲方所在地人民法院提起诉讼。</w:t>
      </w:r>
    </w:p>
    <w:p w14:paraId="096D9A0E">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20.3 如仲裁或诉讼事项不影响合同其它部分的履行，则在仲裁或诉讼期间，除正在进行仲裁或诉讼的部分外，合同的其它部分应继续执行。</w:t>
      </w:r>
    </w:p>
    <w:p w14:paraId="3F58226E">
      <w:pPr>
        <w:autoSpaceDE w:val="0"/>
        <w:autoSpaceDN w:val="0"/>
        <w:adjustRightInd w:val="0"/>
        <w:snapToGrid w:val="0"/>
        <w:spacing w:line="360" w:lineRule="auto"/>
        <w:rPr>
          <w:rFonts w:ascii="宋体" w:hAnsi="宋体"/>
          <w:b/>
          <w:szCs w:val="21"/>
          <w:highlight w:val="none"/>
        </w:rPr>
      </w:pPr>
      <w:r>
        <w:rPr>
          <w:rFonts w:hint="eastAsia" w:ascii="宋体" w:hAnsi="宋体"/>
          <w:b/>
          <w:szCs w:val="21"/>
          <w:highlight w:val="none"/>
        </w:rPr>
        <w:t>21.法律适用</w:t>
      </w:r>
    </w:p>
    <w:p w14:paraId="5B11BB9D">
      <w:pPr>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21.1 本合同适用中华人民共和国现行法律、行政法规和规章，如合同条款与法律、行政法规和规章不一致的，按照法律、行政法规和规章修改本合同。</w:t>
      </w:r>
    </w:p>
    <w:p w14:paraId="06166376">
      <w:pPr>
        <w:autoSpaceDE w:val="0"/>
        <w:autoSpaceDN w:val="0"/>
        <w:adjustRightInd w:val="0"/>
        <w:snapToGrid w:val="0"/>
        <w:spacing w:line="360" w:lineRule="auto"/>
        <w:rPr>
          <w:rFonts w:ascii="宋体" w:hAnsi="宋体"/>
          <w:b/>
          <w:szCs w:val="21"/>
          <w:highlight w:val="none"/>
        </w:rPr>
      </w:pPr>
      <w:r>
        <w:rPr>
          <w:rFonts w:hint="eastAsia" w:ascii="宋体" w:hAnsi="宋体"/>
          <w:b/>
          <w:bCs/>
          <w:szCs w:val="21"/>
          <w:highlight w:val="none"/>
        </w:rPr>
        <w:t>22.</w:t>
      </w:r>
      <w:r>
        <w:rPr>
          <w:rFonts w:hint="eastAsia" w:ascii="宋体" w:hAnsi="宋体"/>
          <w:b/>
          <w:szCs w:val="21"/>
          <w:highlight w:val="none"/>
        </w:rPr>
        <w:t>通知</w:t>
      </w:r>
    </w:p>
    <w:p w14:paraId="41A77FDF">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22.1本合同一方给另一方的通知均应采用书面形式，传真或快递送到本合同中规定的对方的地址和办理签收手续，</w:t>
      </w:r>
    </w:p>
    <w:p w14:paraId="0A8F3BAE">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22.2通知以送到之日或通知书中规定的生效之日起生效，两者中以较迟之日为准。</w:t>
      </w:r>
    </w:p>
    <w:p w14:paraId="62C0C851">
      <w:pPr>
        <w:adjustRightInd w:val="0"/>
        <w:snapToGrid w:val="0"/>
        <w:spacing w:line="360" w:lineRule="auto"/>
        <w:rPr>
          <w:rFonts w:ascii="宋体" w:hAnsi="宋体"/>
          <w:b/>
          <w:bCs/>
          <w:szCs w:val="21"/>
          <w:highlight w:val="none"/>
        </w:rPr>
      </w:pPr>
      <w:r>
        <w:rPr>
          <w:rFonts w:hint="eastAsia" w:ascii="宋体" w:hAnsi="宋体"/>
          <w:b/>
          <w:bCs/>
          <w:szCs w:val="21"/>
          <w:highlight w:val="none"/>
        </w:rPr>
        <w:t>23.合同生效</w:t>
      </w:r>
    </w:p>
    <w:p w14:paraId="6C2753DE">
      <w:pPr>
        <w:adjustRightInd w:val="0"/>
        <w:snapToGrid w:val="0"/>
        <w:spacing w:line="360" w:lineRule="auto"/>
        <w:ind w:firstLine="420" w:firstLineChars="200"/>
        <w:rPr>
          <w:rFonts w:ascii="宋体" w:hAnsi="宋体"/>
          <w:b/>
          <w:szCs w:val="21"/>
          <w:highlight w:val="none"/>
        </w:rPr>
      </w:pPr>
      <w:r>
        <w:rPr>
          <w:rFonts w:hint="eastAsia" w:ascii="宋体" w:hAnsi="宋体"/>
          <w:szCs w:val="21"/>
          <w:highlight w:val="none"/>
        </w:rPr>
        <w:t>23.1 本合同在合同各方签字盖章后生效</w:t>
      </w:r>
    </w:p>
    <w:p w14:paraId="2909C5FF">
      <w:pPr>
        <w:pStyle w:val="6"/>
        <w:adjustRightInd w:val="0"/>
        <w:snapToGrid w:val="0"/>
        <w:spacing w:line="360" w:lineRule="auto"/>
        <w:rPr>
          <w:rFonts w:hAnsi="宋体"/>
          <w:b/>
          <w:color w:val="000000"/>
          <w:highlight w:val="none"/>
        </w:rPr>
      </w:pPr>
      <w:r>
        <w:rPr>
          <w:rFonts w:hint="eastAsia" w:hAnsi="宋体"/>
          <w:b/>
          <w:color w:val="000000"/>
          <w:highlight w:val="none"/>
        </w:rPr>
        <w:t>24.附则</w:t>
      </w:r>
    </w:p>
    <w:p w14:paraId="7DE58749">
      <w:pPr>
        <w:pStyle w:val="7"/>
        <w:snapToGrid w:val="0"/>
        <w:spacing w:beforeAutospacing="0" w:afterAutospacing="0" w:line="360" w:lineRule="auto"/>
        <w:ind w:firstLine="480" w:firstLineChars="200"/>
        <w:rPr>
          <w:rFonts w:ascii="宋体" w:hAnsi="宋体"/>
          <w:b/>
          <w:szCs w:val="21"/>
          <w:highlight w:val="none"/>
        </w:rPr>
      </w:pPr>
      <w:r>
        <w:rPr>
          <w:rFonts w:hint="eastAsia" w:ascii="宋体" w:hAnsi="宋体"/>
          <w:color w:val="000000"/>
          <w:szCs w:val="21"/>
          <w:highlight w:val="none"/>
        </w:rPr>
        <w:t>24.1本合同未尽事宜，</w:t>
      </w:r>
      <w:r>
        <w:rPr>
          <w:rFonts w:hint="eastAsia" w:ascii="宋体" w:hAnsi="宋体"/>
          <w:szCs w:val="21"/>
          <w:highlight w:val="none"/>
        </w:rPr>
        <w:t>见</w:t>
      </w:r>
      <w:r>
        <w:rPr>
          <w:rFonts w:hint="eastAsia" w:ascii="宋体" w:hAnsi="宋体"/>
          <w:b/>
          <w:bCs/>
          <w:szCs w:val="21"/>
          <w:highlight w:val="none"/>
        </w:rPr>
        <w:t>政府采购合同专用条款</w:t>
      </w:r>
      <w:r>
        <w:rPr>
          <w:rFonts w:hint="eastAsia" w:ascii="宋体" w:hAnsi="宋体"/>
          <w:b/>
          <w:szCs w:val="21"/>
          <w:highlight w:val="none"/>
        </w:rPr>
        <w:t>。</w:t>
      </w:r>
    </w:p>
    <w:p w14:paraId="79652EF2">
      <w:pPr>
        <w:rPr>
          <w:rFonts w:ascii="宋体" w:hAnsi="宋体" w:cs="宋体"/>
          <w:sz w:val="28"/>
          <w:szCs w:val="28"/>
          <w:highlight w:val="none"/>
        </w:rPr>
      </w:pPr>
      <w:bookmarkStart w:id="0" w:name="_Toc8622"/>
      <w:r>
        <w:rPr>
          <w:rFonts w:hint="eastAsia" w:ascii="宋体" w:hAnsi="宋体" w:cs="宋体"/>
          <w:sz w:val="28"/>
          <w:szCs w:val="28"/>
          <w:highlight w:val="none"/>
        </w:rPr>
        <w:br w:type="page"/>
      </w:r>
    </w:p>
    <w:p w14:paraId="5CA10008">
      <w:pPr>
        <w:pStyle w:val="3"/>
        <w:spacing w:line="440" w:lineRule="exact"/>
        <w:jc w:val="center"/>
        <w:rPr>
          <w:rFonts w:ascii="宋体" w:hAnsi="宋体" w:cs="宋体"/>
          <w:sz w:val="28"/>
          <w:szCs w:val="28"/>
          <w:highlight w:val="none"/>
        </w:rPr>
      </w:pPr>
      <w:r>
        <w:rPr>
          <w:rFonts w:hint="eastAsia" w:ascii="宋体" w:hAnsi="宋体" w:cs="宋体"/>
          <w:sz w:val="28"/>
          <w:szCs w:val="28"/>
          <w:highlight w:val="none"/>
        </w:rPr>
        <w:t>政府采购专用条款</w:t>
      </w:r>
      <w:bookmarkEnd w:id="0"/>
    </w:p>
    <w:p w14:paraId="6705148C">
      <w:pPr>
        <w:rPr>
          <w:highlight w:val="none"/>
        </w:rPr>
      </w:pPr>
    </w:p>
    <w:p w14:paraId="535B2189">
      <w:pPr>
        <w:adjustRightInd w:val="0"/>
        <w:snapToGrid w:val="0"/>
        <w:spacing w:line="500" w:lineRule="exact"/>
        <w:rPr>
          <w:rFonts w:ascii="宋体" w:hAnsi="宋体"/>
          <w:color w:val="000000"/>
          <w:szCs w:val="21"/>
          <w:highlight w:val="none"/>
          <w:u w:val="single"/>
        </w:rPr>
      </w:pPr>
      <w:r>
        <w:rPr>
          <w:rFonts w:hint="eastAsia" w:ascii="宋体" w:hAnsi="宋体"/>
          <w:color w:val="000000"/>
          <w:szCs w:val="21"/>
          <w:highlight w:val="none"/>
        </w:rPr>
        <w:t>甲方（采购人）：                                      合同编号：</w:t>
      </w:r>
    </w:p>
    <w:p w14:paraId="2014869F">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乙方（成交投标人）：                                  签订地点：</w:t>
      </w:r>
    </w:p>
    <w:p w14:paraId="7BCB84C0">
      <w:pPr>
        <w:adjustRightInd w:val="0"/>
        <w:snapToGrid w:val="0"/>
        <w:spacing w:line="500" w:lineRule="exact"/>
        <w:ind w:firstLine="480"/>
        <w:rPr>
          <w:rFonts w:ascii="宋体" w:hAnsi="宋体"/>
          <w:color w:val="000000"/>
          <w:szCs w:val="21"/>
          <w:highlight w:val="none"/>
        </w:rPr>
      </w:pPr>
      <w:r>
        <w:rPr>
          <w:rFonts w:hint="eastAsia" w:ascii="宋体" w:hAnsi="宋体"/>
          <w:color w:val="000000"/>
          <w:szCs w:val="21"/>
          <w:highlight w:val="none"/>
        </w:rPr>
        <w:t>乙方在</w:t>
      </w:r>
      <w:r>
        <w:rPr>
          <w:rFonts w:hint="eastAsia" w:ascii="宋体" w:hAnsi="宋体"/>
          <w:color w:val="000000"/>
          <w:szCs w:val="21"/>
          <w:highlight w:val="none"/>
          <w:u w:val="single"/>
        </w:rPr>
        <w:t xml:space="preserve">             </w:t>
      </w:r>
      <w:r>
        <w:rPr>
          <w:rFonts w:hint="eastAsia" w:ascii="宋体" w:hAnsi="宋体"/>
          <w:color w:val="000000"/>
          <w:szCs w:val="21"/>
          <w:highlight w:val="none"/>
        </w:rPr>
        <w:t>组织的</w:t>
      </w:r>
      <w:r>
        <w:rPr>
          <w:rFonts w:hint="eastAsia" w:ascii="宋体" w:hAnsi="宋体"/>
          <w:color w:val="000000"/>
          <w:szCs w:val="21"/>
          <w:highlight w:val="none"/>
          <w:u w:val="single"/>
        </w:rPr>
        <w:t xml:space="preserve">           </w:t>
      </w:r>
      <w:r>
        <w:rPr>
          <w:rFonts w:hint="eastAsia" w:ascii="宋体" w:hAnsi="宋体"/>
          <w:color w:val="000000"/>
          <w:szCs w:val="21"/>
          <w:highlight w:val="none"/>
        </w:rPr>
        <w:t>采购中，通过公平竞争，成功中标。现依据《中华人民共和国民法典》、《中华人民共和国政府采购法》、《中标通知书》订立合同，以便共同遵守。</w:t>
      </w:r>
    </w:p>
    <w:p w14:paraId="7EE5A663">
      <w:pPr>
        <w:adjustRightInd w:val="0"/>
        <w:snapToGrid w:val="0"/>
        <w:spacing w:line="500" w:lineRule="exact"/>
        <w:ind w:firstLine="409" w:firstLineChars="195"/>
        <w:rPr>
          <w:rFonts w:ascii="宋体" w:hAnsi="宋体"/>
          <w:color w:val="000000"/>
          <w:szCs w:val="21"/>
          <w:highlight w:val="none"/>
        </w:rPr>
      </w:pPr>
      <w:r>
        <w:rPr>
          <w:rFonts w:hint="eastAsia" w:ascii="宋体" w:hAnsi="宋体"/>
          <w:color w:val="000000"/>
          <w:szCs w:val="21"/>
          <w:highlight w:val="none"/>
        </w:rPr>
        <w:t>一、依据采购文件（含补充、修改文件）和乙方的投标文件（含澄清、补充文件），乙方向甲方提供下列全新的标的（物资/工程/服务）。                                单位：元</w:t>
      </w:r>
    </w:p>
    <w:tbl>
      <w:tblPr>
        <w:tblStyle w:val="8"/>
        <w:tblW w:w="950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2026"/>
        <w:gridCol w:w="2063"/>
        <w:gridCol w:w="817"/>
        <w:gridCol w:w="1062"/>
        <w:gridCol w:w="1174"/>
        <w:gridCol w:w="1511"/>
      </w:tblGrid>
      <w:tr w14:paraId="02BFE1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491D4F8E">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序号</w:t>
            </w:r>
          </w:p>
        </w:tc>
        <w:tc>
          <w:tcPr>
            <w:tcW w:w="2026" w:type="dxa"/>
            <w:vAlign w:val="center"/>
          </w:tcPr>
          <w:p w14:paraId="3E1C1BEC">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标的名称</w:t>
            </w:r>
          </w:p>
        </w:tc>
        <w:tc>
          <w:tcPr>
            <w:tcW w:w="2063" w:type="dxa"/>
            <w:vAlign w:val="center"/>
          </w:tcPr>
          <w:p w14:paraId="78E56528">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服务内容/型号规格</w:t>
            </w:r>
          </w:p>
        </w:tc>
        <w:tc>
          <w:tcPr>
            <w:tcW w:w="817" w:type="dxa"/>
            <w:vAlign w:val="center"/>
          </w:tcPr>
          <w:p w14:paraId="79E7A9FA">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数量</w:t>
            </w:r>
          </w:p>
        </w:tc>
        <w:tc>
          <w:tcPr>
            <w:tcW w:w="1062" w:type="dxa"/>
            <w:vAlign w:val="center"/>
          </w:tcPr>
          <w:p w14:paraId="29C18F1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单价</w:t>
            </w:r>
          </w:p>
        </w:tc>
        <w:tc>
          <w:tcPr>
            <w:tcW w:w="1174" w:type="dxa"/>
            <w:vAlign w:val="center"/>
          </w:tcPr>
          <w:p w14:paraId="6B43BC2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总价</w:t>
            </w:r>
          </w:p>
        </w:tc>
        <w:tc>
          <w:tcPr>
            <w:tcW w:w="1511" w:type="dxa"/>
            <w:vAlign w:val="center"/>
          </w:tcPr>
          <w:p w14:paraId="74AEFF50">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备注</w:t>
            </w:r>
          </w:p>
        </w:tc>
      </w:tr>
      <w:tr w14:paraId="6788FA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FF8034C">
            <w:pPr>
              <w:adjustRightInd w:val="0"/>
              <w:snapToGrid w:val="0"/>
              <w:spacing w:line="500" w:lineRule="exact"/>
              <w:jc w:val="center"/>
              <w:rPr>
                <w:rFonts w:ascii="宋体" w:hAnsi="宋体"/>
                <w:color w:val="000000"/>
                <w:szCs w:val="21"/>
                <w:highlight w:val="none"/>
              </w:rPr>
            </w:pPr>
          </w:p>
        </w:tc>
        <w:tc>
          <w:tcPr>
            <w:tcW w:w="2026" w:type="dxa"/>
            <w:vAlign w:val="center"/>
          </w:tcPr>
          <w:p w14:paraId="14970385">
            <w:pPr>
              <w:adjustRightInd w:val="0"/>
              <w:snapToGrid w:val="0"/>
              <w:spacing w:line="500" w:lineRule="exact"/>
              <w:jc w:val="center"/>
              <w:rPr>
                <w:rFonts w:ascii="宋体" w:hAnsi="宋体"/>
                <w:color w:val="000000"/>
                <w:szCs w:val="21"/>
                <w:highlight w:val="none"/>
              </w:rPr>
            </w:pPr>
          </w:p>
        </w:tc>
        <w:tc>
          <w:tcPr>
            <w:tcW w:w="2063" w:type="dxa"/>
            <w:vAlign w:val="center"/>
          </w:tcPr>
          <w:p w14:paraId="41987698">
            <w:pPr>
              <w:adjustRightInd w:val="0"/>
              <w:snapToGrid w:val="0"/>
              <w:spacing w:line="500" w:lineRule="exact"/>
              <w:jc w:val="center"/>
              <w:rPr>
                <w:rFonts w:ascii="宋体" w:hAnsi="宋体"/>
                <w:color w:val="000000"/>
                <w:szCs w:val="21"/>
                <w:highlight w:val="none"/>
              </w:rPr>
            </w:pPr>
          </w:p>
        </w:tc>
        <w:tc>
          <w:tcPr>
            <w:tcW w:w="817" w:type="dxa"/>
            <w:vAlign w:val="center"/>
          </w:tcPr>
          <w:p w14:paraId="036EEE4B">
            <w:pPr>
              <w:adjustRightInd w:val="0"/>
              <w:snapToGrid w:val="0"/>
              <w:spacing w:line="500" w:lineRule="exact"/>
              <w:jc w:val="center"/>
              <w:rPr>
                <w:rFonts w:ascii="宋体" w:hAnsi="宋体"/>
                <w:color w:val="000000"/>
                <w:szCs w:val="21"/>
                <w:highlight w:val="none"/>
              </w:rPr>
            </w:pPr>
          </w:p>
        </w:tc>
        <w:tc>
          <w:tcPr>
            <w:tcW w:w="1062" w:type="dxa"/>
            <w:vAlign w:val="center"/>
          </w:tcPr>
          <w:p w14:paraId="7455A5E8">
            <w:pPr>
              <w:adjustRightInd w:val="0"/>
              <w:snapToGrid w:val="0"/>
              <w:spacing w:line="500" w:lineRule="exact"/>
              <w:jc w:val="center"/>
              <w:rPr>
                <w:rFonts w:ascii="宋体" w:hAnsi="宋体"/>
                <w:color w:val="000000"/>
                <w:szCs w:val="21"/>
                <w:highlight w:val="none"/>
              </w:rPr>
            </w:pPr>
          </w:p>
        </w:tc>
        <w:tc>
          <w:tcPr>
            <w:tcW w:w="1174" w:type="dxa"/>
            <w:vAlign w:val="center"/>
          </w:tcPr>
          <w:p w14:paraId="118C8DFE">
            <w:pPr>
              <w:adjustRightInd w:val="0"/>
              <w:snapToGrid w:val="0"/>
              <w:spacing w:line="500" w:lineRule="exact"/>
              <w:jc w:val="center"/>
              <w:rPr>
                <w:rFonts w:ascii="宋体" w:hAnsi="宋体"/>
                <w:color w:val="000000"/>
                <w:szCs w:val="21"/>
                <w:highlight w:val="none"/>
              </w:rPr>
            </w:pPr>
          </w:p>
        </w:tc>
        <w:tc>
          <w:tcPr>
            <w:tcW w:w="1511" w:type="dxa"/>
            <w:vAlign w:val="center"/>
          </w:tcPr>
          <w:p w14:paraId="2E15905D">
            <w:pPr>
              <w:adjustRightInd w:val="0"/>
              <w:snapToGrid w:val="0"/>
              <w:spacing w:line="500" w:lineRule="exact"/>
              <w:jc w:val="center"/>
              <w:rPr>
                <w:rFonts w:ascii="宋体" w:hAnsi="宋体"/>
                <w:color w:val="000000"/>
                <w:szCs w:val="21"/>
                <w:highlight w:val="none"/>
              </w:rPr>
            </w:pPr>
          </w:p>
        </w:tc>
      </w:tr>
      <w:tr w14:paraId="613A99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13CA9B7F">
            <w:pPr>
              <w:adjustRightInd w:val="0"/>
              <w:snapToGrid w:val="0"/>
              <w:spacing w:line="500" w:lineRule="exact"/>
              <w:jc w:val="center"/>
              <w:rPr>
                <w:rFonts w:ascii="宋体" w:hAnsi="宋体"/>
                <w:color w:val="000000"/>
                <w:szCs w:val="21"/>
                <w:highlight w:val="none"/>
              </w:rPr>
            </w:pPr>
          </w:p>
        </w:tc>
        <w:tc>
          <w:tcPr>
            <w:tcW w:w="2026" w:type="dxa"/>
            <w:vAlign w:val="center"/>
          </w:tcPr>
          <w:p w14:paraId="03F1CFF2">
            <w:pPr>
              <w:adjustRightInd w:val="0"/>
              <w:snapToGrid w:val="0"/>
              <w:spacing w:line="500" w:lineRule="exact"/>
              <w:jc w:val="center"/>
              <w:rPr>
                <w:rFonts w:ascii="宋体" w:hAnsi="宋体"/>
                <w:color w:val="000000"/>
                <w:szCs w:val="21"/>
                <w:highlight w:val="none"/>
              </w:rPr>
            </w:pPr>
          </w:p>
        </w:tc>
        <w:tc>
          <w:tcPr>
            <w:tcW w:w="2063" w:type="dxa"/>
            <w:vAlign w:val="center"/>
          </w:tcPr>
          <w:p w14:paraId="35E9ECA7">
            <w:pPr>
              <w:adjustRightInd w:val="0"/>
              <w:snapToGrid w:val="0"/>
              <w:spacing w:line="500" w:lineRule="exact"/>
              <w:jc w:val="center"/>
              <w:rPr>
                <w:rFonts w:ascii="宋体" w:hAnsi="宋体"/>
                <w:color w:val="000000"/>
                <w:szCs w:val="21"/>
                <w:highlight w:val="none"/>
              </w:rPr>
            </w:pPr>
          </w:p>
        </w:tc>
        <w:tc>
          <w:tcPr>
            <w:tcW w:w="817" w:type="dxa"/>
            <w:vAlign w:val="center"/>
          </w:tcPr>
          <w:p w14:paraId="08DC1E2D">
            <w:pPr>
              <w:adjustRightInd w:val="0"/>
              <w:snapToGrid w:val="0"/>
              <w:spacing w:line="500" w:lineRule="exact"/>
              <w:jc w:val="center"/>
              <w:rPr>
                <w:rFonts w:ascii="宋体" w:hAnsi="宋体"/>
                <w:color w:val="000000"/>
                <w:szCs w:val="21"/>
                <w:highlight w:val="none"/>
              </w:rPr>
            </w:pPr>
          </w:p>
        </w:tc>
        <w:tc>
          <w:tcPr>
            <w:tcW w:w="1062" w:type="dxa"/>
            <w:vAlign w:val="center"/>
          </w:tcPr>
          <w:p w14:paraId="28B98924">
            <w:pPr>
              <w:adjustRightInd w:val="0"/>
              <w:snapToGrid w:val="0"/>
              <w:spacing w:line="500" w:lineRule="exact"/>
              <w:jc w:val="center"/>
              <w:rPr>
                <w:rFonts w:ascii="宋体" w:hAnsi="宋体"/>
                <w:color w:val="000000"/>
                <w:szCs w:val="21"/>
                <w:highlight w:val="none"/>
              </w:rPr>
            </w:pPr>
          </w:p>
        </w:tc>
        <w:tc>
          <w:tcPr>
            <w:tcW w:w="1174" w:type="dxa"/>
            <w:vAlign w:val="center"/>
          </w:tcPr>
          <w:p w14:paraId="1939F089">
            <w:pPr>
              <w:adjustRightInd w:val="0"/>
              <w:snapToGrid w:val="0"/>
              <w:spacing w:line="500" w:lineRule="exact"/>
              <w:jc w:val="center"/>
              <w:rPr>
                <w:rFonts w:ascii="宋体" w:hAnsi="宋体"/>
                <w:color w:val="000000"/>
                <w:szCs w:val="21"/>
                <w:highlight w:val="none"/>
              </w:rPr>
            </w:pPr>
          </w:p>
        </w:tc>
        <w:tc>
          <w:tcPr>
            <w:tcW w:w="1511" w:type="dxa"/>
            <w:vAlign w:val="center"/>
          </w:tcPr>
          <w:p w14:paraId="340B2D09">
            <w:pPr>
              <w:adjustRightInd w:val="0"/>
              <w:snapToGrid w:val="0"/>
              <w:spacing w:line="500" w:lineRule="exact"/>
              <w:jc w:val="center"/>
              <w:rPr>
                <w:rFonts w:ascii="宋体" w:hAnsi="宋体"/>
                <w:color w:val="000000"/>
                <w:szCs w:val="21"/>
                <w:highlight w:val="none"/>
              </w:rPr>
            </w:pPr>
          </w:p>
        </w:tc>
      </w:tr>
      <w:tr w14:paraId="5D6291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55AA1D2">
            <w:pPr>
              <w:adjustRightInd w:val="0"/>
              <w:snapToGrid w:val="0"/>
              <w:spacing w:line="500" w:lineRule="exact"/>
              <w:jc w:val="center"/>
              <w:rPr>
                <w:rFonts w:ascii="宋体" w:hAnsi="宋体"/>
                <w:color w:val="000000"/>
                <w:szCs w:val="21"/>
                <w:highlight w:val="none"/>
              </w:rPr>
            </w:pPr>
          </w:p>
        </w:tc>
        <w:tc>
          <w:tcPr>
            <w:tcW w:w="2026" w:type="dxa"/>
            <w:vAlign w:val="center"/>
          </w:tcPr>
          <w:p w14:paraId="1A87F369">
            <w:pPr>
              <w:adjustRightInd w:val="0"/>
              <w:snapToGrid w:val="0"/>
              <w:spacing w:line="500" w:lineRule="exact"/>
              <w:jc w:val="center"/>
              <w:rPr>
                <w:rFonts w:ascii="宋体" w:hAnsi="宋体"/>
                <w:color w:val="000000"/>
                <w:szCs w:val="21"/>
                <w:highlight w:val="none"/>
              </w:rPr>
            </w:pPr>
          </w:p>
        </w:tc>
        <w:tc>
          <w:tcPr>
            <w:tcW w:w="2063" w:type="dxa"/>
            <w:vAlign w:val="center"/>
          </w:tcPr>
          <w:p w14:paraId="6CEC6006">
            <w:pPr>
              <w:adjustRightInd w:val="0"/>
              <w:snapToGrid w:val="0"/>
              <w:spacing w:line="500" w:lineRule="exact"/>
              <w:jc w:val="center"/>
              <w:rPr>
                <w:rFonts w:ascii="宋体" w:hAnsi="宋体"/>
                <w:color w:val="000000"/>
                <w:szCs w:val="21"/>
                <w:highlight w:val="none"/>
              </w:rPr>
            </w:pPr>
          </w:p>
        </w:tc>
        <w:tc>
          <w:tcPr>
            <w:tcW w:w="817" w:type="dxa"/>
            <w:vAlign w:val="center"/>
          </w:tcPr>
          <w:p w14:paraId="4E9AA626">
            <w:pPr>
              <w:adjustRightInd w:val="0"/>
              <w:snapToGrid w:val="0"/>
              <w:spacing w:line="500" w:lineRule="exact"/>
              <w:jc w:val="center"/>
              <w:rPr>
                <w:rFonts w:ascii="宋体" w:hAnsi="宋体"/>
                <w:color w:val="000000"/>
                <w:szCs w:val="21"/>
                <w:highlight w:val="none"/>
              </w:rPr>
            </w:pPr>
          </w:p>
        </w:tc>
        <w:tc>
          <w:tcPr>
            <w:tcW w:w="1062" w:type="dxa"/>
            <w:vAlign w:val="center"/>
          </w:tcPr>
          <w:p w14:paraId="256ECB07">
            <w:pPr>
              <w:adjustRightInd w:val="0"/>
              <w:snapToGrid w:val="0"/>
              <w:spacing w:line="500" w:lineRule="exact"/>
              <w:jc w:val="center"/>
              <w:rPr>
                <w:rFonts w:ascii="宋体" w:hAnsi="宋体"/>
                <w:color w:val="000000"/>
                <w:szCs w:val="21"/>
                <w:highlight w:val="none"/>
              </w:rPr>
            </w:pPr>
          </w:p>
        </w:tc>
        <w:tc>
          <w:tcPr>
            <w:tcW w:w="1174" w:type="dxa"/>
            <w:vAlign w:val="center"/>
          </w:tcPr>
          <w:p w14:paraId="42C45E6E">
            <w:pPr>
              <w:adjustRightInd w:val="0"/>
              <w:snapToGrid w:val="0"/>
              <w:spacing w:line="500" w:lineRule="exact"/>
              <w:jc w:val="center"/>
              <w:rPr>
                <w:rFonts w:ascii="宋体" w:hAnsi="宋体"/>
                <w:color w:val="000000"/>
                <w:szCs w:val="21"/>
                <w:highlight w:val="none"/>
              </w:rPr>
            </w:pPr>
          </w:p>
        </w:tc>
        <w:tc>
          <w:tcPr>
            <w:tcW w:w="1511" w:type="dxa"/>
            <w:vAlign w:val="center"/>
          </w:tcPr>
          <w:p w14:paraId="0A209A72">
            <w:pPr>
              <w:adjustRightInd w:val="0"/>
              <w:snapToGrid w:val="0"/>
              <w:spacing w:line="500" w:lineRule="exact"/>
              <w:jc w:val="center"/>
              <w:rPr>
                <w:rFonts w:ascii="宋体" w:hAnsi="宋体"/>
                <w:color w:val="000000"/>
                <w:szCs w:val="21"/>
                <w:highlight w:val="none"/>
              </w:rPr>
            </w:pPr>
          </w:p>
        </w:tc>
      </w:tr>
      <w:tr w14:paraId="14A11B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14:paraId="6F315241">
            <w:pPr>
              <w:adjustRightInd w:val="0"/>
              <w:snapToGrid w:val="0"/>
              <w:spacing w:line="500" w:lineRule="exact"/>
              <w:jc w:val="center"/>
              <w:rPr>
                <w:rFonts w:ascii="宋体" w:hAnsi="宋体"/>
                <w:color w:val="000000"/>
                <w:szCs w:val="21"/>
                <w:highlight w:val="none"/>
              </w:rPr>
            </w:pPr>
          </w:p>
        </w:tc>
        <w:tc>
          <w:tcPr>
            <w:tcW w:w="2026" w:type="dxa"/>
            <w:vAlign w:val="center"/>
          </w:tcPr>
          <w:p w14:paraId="31F09642">
            <w:pPr>
              <w:adjustRightInd w:val="0"/>
              <w:snapToGrid w:val="0"/>
              <w:spacing w:line="500" w:lineRule="exact"/>
              <w:jc w:val="center"/>
              <w:rPr>
                <w:rFonts w:ascii="宋体" w:hAnsi="宋体"/>
                <w:color w:val="000000"/>
                <w:szCs w:val="21"/>
                <w:highlight w:val="none"/>
              </w:rPr>
            </w:pPr>
          </w:p>
        </w:tc>
        <w:tc>
          <w:tcPr>
            <w:tcW w:w="2063" w:type="dxa"/>
            <w:vAlign w:val="center"/>
          </w:tcPr>
          <w:p w14:paraId="0C6C8562">
            <w:pPr>
              <w:adjustRightInd w:val="0"/>
              <w:snapToGrid w:val="0"/>
              <w:spacing w:line="500" w:lineRule="exact"/>
              <w:jc w:val="center"/>
              <w:rPr>
                <w:rFonts w:ascii="宋体" w:hAnsi="宋体"/>
                <w:color w:val="000000"/>
                <w:szCs w:val="21"/>
                <w:highlight w:val="none"/>
              </w:rPr>
            </w:pPr>
          </w:p>
        </w:tc>
        <w:tc>
          <w:tcPr>
            <w:tcW w:w="817" w:type="dxa"/>
            <w:vAlign w:val="center"/>
          </w:tcPr>
          <w:p w14:paraId="093D8565">
            <w:pPr>
              <w:adjustRightInd w:val="0"/>
              <w:snapToGrid w:val="0"/>
              <w:spacing w:line="500" w:lineRule="exact"/>
              <w:jc w:val="center"/>
              <w:rPr>
                <w:rFonts w:ascii="宋体" w:hAnsi="宋体"/>
                <w:color w:val="000000"/>
                <w:szCs w:val="21"/>
                <w:highlight w:val="none"/>
              </w:rPr>
            </w:pPr>
          </w:p>
        </w:tc>
        <w:tc>
          <w:tcPr>
            <w:tcW w:w="1062" w:type="dxa"/>
            <w:vAlign w:val="center"/>
          </w:tcPr>
          <w:p w14:paraId="057657C1">
            <w:pPr>
              <w:adjustRightInd w:val="0"/>
              <w:snapToGrid w:val="0"/>
              <w:spacing w:line="500" w:lineRule="exact"/>
              <w:jc w:val="center"/>
              <w:rPr>
                <w:rFonts w:ascii="宋体" w:hAnsi="宋体"/>
                <w:color w:val="000000"/>
                <w:szCs w:val="21"/>
                <w:highlight w:val="none"/>
              </w:rPr>
            </w:pPr>
          </w:p>
        </w:tc>
        <w:tc>
          <w:tcPr>
            <w:tcW w:w="1174" w:type="dxa"/>
            <w:vAlign w:val="center"/>
          </w:tcPr>
          <w:p w14:paraId="0D74246C">
            <w:pPr>
              <w:adjustRightInd w:val="0"/>
              <w:snapToGrid w:val="0"/>
              <w:spacing w:line="500" w:lineRule="exact"/>
              <w:jc w:val="center"/>
              <w:rPr>
                <w:rFonts w:ascii="宋体" w:hAnsi="宋体"/>
                <w:color w:val="000000"/>
                <w:szCs w:val="21"/>
                <w:highlight w:val="none"/>
              </w:rPr>
            </w:pPr>
          </w:p>
        </w:tc>
        <w:tc>
          <w:tcPr>
            <w:tcW w:w="1511" w:type="dxa"/>
            <w:vAlign w:val="center"/>
          </w:tcPr>
          <w:p w14:paraId="0A8FF72E">
            <w:pPr>
              <w:adjustRightInd w:val="0"/>
              <w:snapToGrid w:val="0"/>
              <w:spacing w:line="500" w:lineRule="exact"/>
              <w:jc w:val="center"/>
              <w:rPr>
                <w:rFonts w:ascii="宋体" w:hAnsi="宋体"/>
                <w:color w:val="000000"/>
                <w:szCs w:val="21"/>
                <w:highlight w:val="none"/>
              </w:rPr>
            </w:pPr>
          </w:p>
        </w:tc>
      </w:tr>
      <w:tr w14:paraId="372064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15" w:type="dxa"/>
            <w:gridSpan w:val="5"/>
            <w:vAlign w:val="center"/>
          </w:tcPr>
          <w:p w14:paraId="7DFB6FF6">
            <w:pPr>
              <w:adjustRightInd w:val="0"/>
              <w:snapToGrid w:val="0"/>
              <w:spacing w:line="500" w:lineRule="exact"/>
              <w:rPr>
                <w:rFonts w:ascii="宋体" w:hAnsi="宋体"/>
                <w:color w:val="000000"/>
                <w:szCs w:val="21"/>
                <w:highlight w:val="none"/>
              </w:rPr>
            </w:pPr>
            <w:r>
              <w:rPr>
                <w:rFonts w:hint="eastAsia" w:ascii="宋体" w:hAnsi="宋体"/>
                <w:color w:val="000000"/>
                <w:szCs w:val="21"/>
                <w:highlight w:val="none"/>
              </w:rPr>
              <w:t>合计金额（大写）：</w:t>
            </w:r>
          </w:p>
        </w:tc>
        <w:tc>
          <w:tcPr>
            <w:tcW w:w="1174" w:type="dxa"/>
            <w:vAlign w:val="center"/>
          </w:tcPr>
          <w:p w14:paraId="0751B79D">
            <w:pPr>
              <w:adjustRightInd w:val="0"/>
              <w:snapToGrid w:val="0"/>
              <w:spacing w:line="500" w:lineRule="exact"/>
              <w:jc w:val="center"/>
              <w:rPr>
                <w:rFonts w:ascii="宋体" w:hAnsi="宋体"/>
                <w:color w:val="000000"/>
                <w:szCs w:val="21"/>
                <w:highlight w:val="none"/>
              </w:rPr>
            </w:pPr>
            <w:r>
              <w:rPr>
                <w:rFonts w:hint="eastAsia" w:ascii="宋体" w:hAnsi="宋体"/>
                <w:color w:val="000000"/>
                <w:szCs w:val="21"/>
                <w:highlight w:val="none"/>
              </w:rPr>
              <w:t>小写</w:t>
            </w:r>
          </w:p>
        </w:tc>
        <w:tc>
          <w:tcPr>
            <w:tcW w:w="1511" w:type="dxa"/>
            <w:vAlign w:val="center"/>
          </w:tcPr>
          <w:p w14:paraId="57613AB5">
            <w:pPr>
              <w:adjustRightInd w:val="0"/>
              <w:snapToGrid w:val="0"/>
              <w:spacing w:line="500" w:lineRule="exact"/>
              <w:jc w:val="center"/>
              <w:rPr>
                <w:rFonts w:ascii="宋体" w:hAnsi="宋体"/>
                <w:color w:val="000000"/>
                <w:szCs w:val="21"/>
                <w:highlight w:val="none"/>
              </w:rPr>
            </w:pPr>
          </w:p>
        </w:tc>
      </w:tr>
    </w:tbl>
    <w:p w14:paraId="602DD7A7">
      <w:pPr>
        <w:spacing w:line="500" w:lineRule="exact"/>
        <w:ind w:firstLine="417" w:firstLineChars="198"/>
        <w:rPr>
          <w:rFonts w:ascii="宋体" w:hAnsi="宋体"/>
          <w:b/>
          <w:color w:val="000000"/>
          <w:szCs w:val="21"/>
          <w:highlight w:val="none"/>
        </w:rPr>
      </w:pPr>
      <w:r>
        <w:rPr>
          <w:rFonts w:hint="eastAsia" w:ascii="宋体" w:hAnsi="宋体"/>
          <w:b/>
          <w:color w:val="000000"/>
          <w:szCs w:val="21"/>
          <w:highlight w:val="none"/>
        </w:rPr>
        <w:t>二、技术标准</w:t>
      </w:r>
    </w:p>
    <w:p w14:paraId="3C031214">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1、乙方所提供的产品性能及质量有国家标准的应符合现行国家标准，无国家标准的应符合部颁标准或企业标准。</w:t>
      </w:r>
    </w:p>
    <w:p w14:paraId="2F602228">
      <w:pPr>
        <w:spacing w:line="500" w:lineRule="exact"/>
        <w:ind w:firstLine="415" w:firstLineChars="198"/>
        <w:rPr>
          <w:rFonts w:ascii="宋体" w:hAnsi="宋体"/>
          <w:color w:val="000000"/>
          <w:szCs w:val="21"/>
          <w:highlight w:val="none"/>
        </w:rPr>
      </w:pPr>
      <w:r>
        <w:rPr>
          <w:rFonts w:hint="eastAsia" w:ascii="宋体" w:hAnsi="宋体"/>
          <w:color w:val="000000"/>
          <w:szCs w:val="21"/>
          <w:highlight w:val="none"/>
        </w:rPr>
        <w:t>2、交付的产品应与招标文件规定的型号规格、质量要求以及投标文件的规格响应表、配置清单表、质量保证、售后服务一致。除另有规定外，计量单位应该使用法定计量单位。</w:t>
      </w:r>
    </w:p>
    <w:p w14:paraId="35F968AF">
      <w:pPr>
        <w:spacing w:line="500" w:lineRule="exact"/>
        <w:ind w:firstLine="417" w:firstLineChars="198"/>
        <w:rPr>
          <w:rFonts w:ascii="宋体" w:hAnsi="宋体"/>
          <w:color w:val="000000"/>
          <w:szCs w:val="21"/>
          <w:highlight w:val="none"/>
        </w:rPr>
      </w:pPr>
      <w:r>
        <w:rPr>
          <w:rFonts w:hint="eastAsia" w:ascii="宋体" w:hAnsi="宋体"/>
          <w:b/>
          <w:color w:val="000000"/>
          <w:szCs w:val="21"/>
          <w:highlight w:val="none"/>
        </w:rPr>
        <w:t>三、交货时间：</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321F653">
      <w:pPr>
        <w:spacing w:line="500" w:lineRule="exact"/>
        <w:ind w:firstLine="417" w:firstLineChars="198"/>
        <w:rPr>
          <w:rFonts w:ascii="宋体" w:hAnsi="宋体"/>
          <w:color w:val="000000"/>
          <w:szCs w:val="21"/>
          <w:highlight w:val="none"/>
          <w:u w:val="single"/>
        </w:rPr>
      </w:pPr>
      <w:r>
        <w:rPr>
          <w:rFonts w:hint="eastAsia" w:ascii="宋体" w:hAnsi="宋体"/>
          <w:b/>
          <w:color w:val="000000"/>
          <w:szCs w:val="21"/>
          <w:highlight w:val="none"/>
        </w:rPr>
        <w:t>四、交货地点及方式：</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62C98763">
      <w:pPr>
        <w:spacing w:line="500" w:lineRule="exact"/>
        <w:ind w:firstLine="417" w:firstLineChars="198"/>
        <w:rPr>
          <w:rFonts w:ascii="宋体" w:hAnsi="宋体"/>
          <w:color w:val="000000"/>
          <w:szCs w:val="21"/>
          <w:highlight w:val="none"/>
          <w:u w:val="single"/>
        </w:rPr>
      </w:pPr>
      <w:r>
        <w:rPr>
          <w:rFonts w:hint="eastAsia" w:ascii="宋体" w:hAnsi="宋体"/>
          <w:b/>
          <w:color w:val="000000"/>
          <w:szCs w:val="21"/>
          <w:highlight w:val="none"/>
        </w:rPr>
        <w:t>五、运输方式及费用：</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88B29EE">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六、产品质量保证及售后服务：</w:t>
      </w:r>
    </w:p>
    <w:p w14:paraId="615EF3E9">
      <w:pPr>
        <w:spacing w:line="500" w:lineRule="exact"/>
        <w:rPr>
          <w:rFonts w:ascii="宋体" w:hAnsi="宋体"/>
          <w:color w:val="000000"/>
          <w:szCs w:val="21"/>
          <w:highlight w:val="none"/>
        </w:rPr>
      </w:pPr>
      <w:r>
        <w:rPr>
          <w:rFonts w:hint="eastAsia" w:ascii="宋体" w:hAnsi="宋体"/>
          <w:color w:val="000000"/>
          <w:szCs w:val="21"/>
          <w:highlight w:val="none"/>
        </w:rPr>
        <w:t xml:space="preserve">    1、乙方应保证所提供的产品是全新、未使用过的，并应保证其产品在正确安装、正常使用和保养条件下，在其使用寿命期内应具有满意的性能。质保期以招标文件和投标文件的规定为准。在合同履行时，乙方提供的产品质量不符合合同规定，甲方有权中止合同，乙方不能提出异议。</w:t>
      </w:r>
    </w:p>
    <w:p w14:paraId="6967898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2、本合同不允许转让，否则甲方有权终止合同，视为乙方违约，乙方承担本合同总额20%的违约金。</w:t>
      </w:r>
    </w:p>
    <w:p w14:paraId="52BB6E77">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3、乙方的售后服务详见响应书中售后服务条款。</w:t>
      </w:r>
    </w:p>
    <w:p w14:paraId="7319D3BB">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七、专利权：</w:t>
      </w:r>
      <w:r>
        <w:rPr>
          <w:rFonts w:hint="eastAsia" w:ascii="宋体" w:hAnsi="宋体"/>
          <w:color w:val="000000"/>
          <w:szCs w:val="21"/>
          <w:highlight w:val="none"/>
        </w:rPr>
        <w:t>乙方应保证甲方使用乙方提供的产品时免受第三方提出侵犯其专利权、商标权或工业设计权的起诉；任何第三方如果提出指控均由乙方负责，包括法律和经济责任。</w:t>
      </w:r>
    </w:p>
    <w:p w14:paraId="1545232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八、包装要求</w:t>
      </w:r>
    </w:p>
    <w:p w14:paraId="11BFC55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1、除合同另有规定外，乙方提供的产品均应按标准保护措施进行包装，以确保产品安全无损运抵指定现场。由于包装防护措施不妥而引起的损坏、丢失由乙方负责。包装物不回收。</w:t>
      </w:r>
    </w:p>
    <w:p w14:paraId="580CFC5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2、每一包装箱内应附一份详细装箱单和质量证书、说明书。随机备品、配件和工具的种类数量按产品所附使用说明书及清单执行。</w:t>
      </w:r>
    </w:p>
    <w:p w14:paraId="2E48D317">
      <w:pPr>
        <w:spacing w:line="500" w:lineRule="exact"/>
        <w:rPr>
          <w:rFonts w:ascii="宋体" w:hAnsi="宋体"/>
          <w:color w:val="000000"/>
          <w:szCs w:val="21"/>
          <w:highlight w:val="none"/>
        </w:rPr>
      </w:pPr>
      <w:r>
        <w:rPr>
          <w:rFonts w:hint="eastAsia" w:ascii="宋体" w:hAnsi="宋体"/>
          <w:color w:val="000000"/>
          <w:szCs w:val="21"/>
          <w:highlight w:val="none"/>
        </w:rPr>
        <w:t xml:space="preserve">    3、乙方对运输产品进行保险，费用由乙方支付。</w:t>
      </w:r>
    </w:p>
    <w:p w14:paraId="47903D68">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九、验收方法及提出异议期限</w:t>
      </w:r>
    </w:p>
    <w:p w14:paraId="3E361BCA">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1、甲方组织验收，乙方积极配合。大型或者复杂项目由专家组成验收小组出具验收报告，必要时由国家认可的质量检测机构参与验收。验收具体事宜按招标文件和投标文件的规定办理。</w:t>
      </w:r>
    </w:p>
    <w:p w14:paraId="4E12642F">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2、甲方在验收中，如果发现有与合同规定不符的，应在</w:t>
      </w:r>
      <w:r>
        <w:rPr>
          <w:rFonts w:hint="eastAsia" w:ascii="宋体" w:hAnsi="宋体"/>
          <w:color w:val="000000"/>
          <w:szCs w:val="21"/>
          <w:highlight w:val="none"/>
          <w:u w:val="single"/>
        </w:rPr>
        <w:t xml:space="preserve">  </w:t>
      </w:r>
      <w:r>
        <w:rPr>
          <w:rFonts w:hint="eastAsia" w:ascii="宋体" w:hAnsi="宋体"/>
          <w:color w:val="000000"/>
          <w:szCs w:val="21"/>
          <w:highlight w:val="none"/>
        </w:rPr>
        <w:t>天内向乙方提出书面异议，不签发验收单。并同时将该书面异议报送政府采购管理部门。甲方未按规定期限提出书面异议并且未按期限签发验收单的，视为甲方验收合格。</w:t>
      </w:r>
    </w:p>
    <w:p w14:paraId="48CB2B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3、乙方在接到甲方书面异议后，应在10天内予以纠正，并对纠正情况以书面形式告知政府采购管理部门，否则视为违约。</w:t>
      </w:r>
    </w:p>
    <w:p w14:paraId="54CED1D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4、乙方提供的进口产品，乙方应出示中华人民共和国进出口商品检验部门出具的检验证书（另有约定的除外）。</w:t>
      </w:r>
    </w:p>
    <w:p w14:paraId="04639B03">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十、结算方法及期限</w:t>
      </w:r>
    </w:p>
    <w:p w14:paraId="7824DB2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1、验收合格后，乙方出具正规发票给甲方，凭甲方开具的《政府采购验收单》办理合同款项结算手续。</w:t>
      </w:r>
    </w:p>
    <w:p w14:paraId="146F6F8D">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2、支付合同款项时，一律不向乙方以外的任何第三方办理付款手续，开户行和帐号以政府采购合同签订的为准。除另有规定外，按人民币结算款项。</w:t>
      </w:r>
    </w:p>
    <w:p w14:paraId="5BE9C68A">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3、付款人及付款方式：货物送达甲方指定点完成安装调试经采购人验收合格并提供增值税发票后，达到付款条件起30日内，支付合同总金额的50.00%。剩余货款在第二年支付，中标单位的投标内容及其中标总金额，合同总价一次包死，不</w:t>
      </w:r>
      <w:bookmarkStart w:id="1" w:name="_GoBack"/>
      <w:bookmarkEnd w:id="1"/>
      <w:r>
        <w:rPr>
          <w:rFonts w:hint="eastAsia" w:ascii="宋体" w:hAnsi="宋体"/>
          <w:color w:val="000000"/>
          <w:szCs w:val="21"/>
          <w:highlight w:val="none"/>
        </w:rPr>
        <w:t>受市场价变化的影响，达到付款条件起30日内，支付合同总金额的50.00%。</w:t>
      </w:r>
    </w:p>
    <w:p w14:paraId="15C98A43">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4、乙方为中小型企业（需提供中小型企业说明函），支付方式如下：</w:t>
      </w:r>
    </w:p>
    <w:p w14:paraId="50816AC1">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1）合同签订后30天内，甲方向乙方支付合同总价款40%作为预付款，乙方需提供相关收款依据。</w:t>
      </w:r>
    </w:p>
    <w:p w14:paraId="1663DD1D">
      <w:pPr>
        <w:spacing w:line="500" w:lineRule="exact"/>
        <w:ind w:firstLine="420" w:firstLineChars="200"/>
        <w:rPr>
          <w:rFonts w:hint="eastAsia" w:ascii="宋体" w:hAnsi="宋体"/>
          <w:color w:val="000000"/>
          <w:szCs w:val="21"/>
          <w:highlight w:val="none"/>
        </w:rPr>
      </w:pPr>
      <w:r>
        <w:rPr>
          <w:rFonts w:hint="eastAsia" w:ascii="宋体" w:hAnsi="宋体"/>
          <w:color w:val="000000"/>
          <w:szCs w:val="21"/>
          <w:highlight w:val="none"/>
        </w:rPr>
        <w:t>2）货物送达甲方指定点完成安装调试经采购人验收合格并提供增值税发票后，甲方将在一个月内支付合同总价款10%货款，剩余货款在第二年支付。</w:t>
      </w:r>
    </w:p>
    <w:p w14:paraId="25EE780A">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十一、违约责任</w:t>
      </w:r>
    </w:p>
    <w:p w14:paraId="7A11ED6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1、乙方不能按时交付合同约定的产品的，每延误一天应向甲方偿付不能按时交付部分款项2‰的违约金。</w:t>
      </w:r>
    </w:p>
    <w:p w14:paraId="2FB6F861">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2、乙方所交标的的品种、型号、规格、花色、质量等不符合合同约定，且未及时纠正的，按违约处理，应承担不符合合同约定部分货款20%的违约金，并承担由此给甲方带来的损失。</w:t>
      </w:r>
    </w:p>
    <w:p w14:paraId="63D2582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3、甲方未按合同要求验收并未按时签发验收单的，应承担应付货款的银行利息。</w:t>
      </w:r>
    </w:p>
    <w:p w14:paraId="5C35CB50">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十二、不可抗力：</w:t>
      </w:r>
      <w:r>
        <w:rPr>
          <w:rFonts w:hint="eastAsia" w:ascii="宋体" w:hAnsi="宋体"/>
          <w:color w:val="000000"/>
          <w:szCs w:val="21"/>
          <w:highlight w:val="none"/>
        </w:rPr>
        <w:t>由于不可抗力的原因不能履行合同时，应及时向对方通报不能履行或不能完全履行的理由，在取得有关权威部门的证明以后，允许延期履行、部分履行或者不履行合同，并根据情况可部分或全部免予承担违约责任。</w:t>
      </w:r>
    </w:p>
    <w:p w14:paraId="72E88E01">
      <w:pPr>
        <w:spacing w:line="500" w:lineRule="exact"/>
        <w:ind w:firstLine="413" w:firstLineChars="196"/>
        <w:rPr>
          <w:rFonts w:ascii="宋体" w:hAnsi="宋体"/>
          <w:b/>
          <w:bCs/>
          <w:szCs w:val="21"/>
          <w:highlight w:val="none"/>
        </w:rPr>
      </w:pPr>
      <w:r>
        <w:rPr>
          <w:rFonts w:hint="eastAsia" w:ascii="宋体" w:hAnsi="宋体"/>
          <w:b/>
          <w:bCs/>
          <w:szCs w:val="21"/>
          <w:highlight w:val="none"/>
        </w:rPr>
        <w:t>十三、本合同的其他组成文件：</w:t>
      </w:r>
    </w:p>
    <w:p w14:paraId="0C044FE0">
      <w:pPr>
        <w:spacing w:line="500" w:lineRule="exact"/>
        <w:ind w:firstLine="411" w:firstLineChars="196"/>
        <w:rPr>
          <w:rFonts w:ascii="宋体" w:hAnsi="宋体"/>
          <w:szCs w:val="21"/>
          <w:highlight w:val="none"/>
        </w:rPr>
      </w:pPr>
      <w:r>
        <w:rPr>
          <w:rFonts w:hint="eastAsia" w:ascii="宋体" w:hAnsi="宋体"/>
          <w:szCs w:val="21"/>
          <w:highlight w:val="none"/>
        </w:rPr>
        <w:t>1、采购文件（含补充、修改文件）</w:t>
      </w:r>
    </w:p>
    <w:p w14:paraId="166B857E">
      <w:pPr>
        <w:spacing w:line="500" w:lineRule="exact"/>
        <w:ind w:firstLine="411" w:firstLineChars="196"/>
        <w:rPr>
          <w:rFonts w:ascii="宋体" w:hAnsi="宋体"/>
          <w:szCs w:val="21"/>
          <w:highlight w:val="none"/>
        </w:rPr>
      </w:pPr>
      <w:r>
        <w:rPr>
          <w:rFonts w:hint="eastAsia" w:ascii="宋体" w:hAnsi="宋体"/>
          <w:szCs w:val="21"/>
          <w:highlight w:val="none"/>
        </w:rPr>
        <w:t>2、乙方的投标文件（含澄清、补充文件）</w:t>
      </w:r>
      <w:r>
        <w:rPr>
          <w:rFonts w:hint="eastAsia" w:ascii="宋体" w:hAnsi="宋体"/>
          <w:szCs w:val="21"/>
          <w:highlight w:val="none"/>
          <w:u w:val="single"/>
        </w:rPr>
        <w:t xml:space="preserve">                                   </w:t>
      </w:r>
    </w:p>
    <w:p w14:paraId="61AD78CF">
      <w:pPr>
        <w:spacing w:line="500" w:lineRule="exact"/>
        <w:ind w:firstLine="413" w:firstLineChars="196"/>
        <w:rPr>
          <w:rFonts w:ascii="宋体" w:hAnsi="宋体"/>
          <w:b/>
          <w:bCs/>
          <w:color w:val="000000"/>
          <w:szCs w:val="21"/>
          <w:highlight w:val="none"/>
        </w:rPr>
      </w:pPr>
      <w:r>
        <w:rPr>
          <w:rFonts w:hint="eastAsia" w:ascii="宋体" w:hAnsi="宋体"/>
          <w:b/>
          <w:bCs/>
          <w:szCs w:val="21"/>
          <w:highlight w:val="none"/>
        </w:rPr>
        <w:t>十四、合同补充和修改：</w:t>
      </w:r>
      <w:r>
        <w:rPr>
          <w:rFonts w:hint="eastAsia" w:ascii="宋体" w:hAnsi="宋体"/>
          <w:szCs w:val="21"/>
          <w:highlight w:val="none"/>
        </w:rPr>
        <w:t>对合同条款作任何改动</w:t>
      </w:r>
      <w:r>
        <w:rPr>
          <w:rFonts w:hint="eastAsia" w:ascii="宋体" w:hAnsi="宋体"/>
          <w:color w:val="000000"/>
          <w:szCs w:val="21"/>
          <w:highlight w:val="none"/>
        </w:rPr>
        <w:t>或偏离，增加补充条款，均须由甲、乙双方签订书面的补充合同。</w:t>
      </w:r>
    </w:p>
    <w:p w14:paraId="5D900BEF">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十五、违约终止合同</w:t>
      </w:r>
    </w:p>
    <w:p w14:paraId="63495EB3">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在乙方收到甲方发出的违约通知后10天内，乙方仍未纠正其下述任何一种违约行为，甲方可向乙方发出终止合同通知，终止部分或全部合同，乙方除承担本合同货款总额20%的违约金外，一并承担由此带来的一切损失：</w:t>
      </w:r>
    </w:p>
    <w:p w14:paraId="2B7FD01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（1）乙方未能在合同规定的期限内交付货物的；</w:t>
      </w:r>
    </w:p>
    <w:p w14:paraId="73B86760">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（2）乙方提供的产品质量不符合合同规定，且未及时纠正的；</w:t>
      </w:r>
    </w:p>
    <w:p w14:paraId="66DD7054">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（3）乙方未能履行合同项下的任何其它义务的。</w:t>
      </w:r>
    </w:p>
    <w:p w14:paraId="180ABCC6">
      <w:pPr>
        <w:spacing w:line="500" w:lineRule="exact"/>
        <w:ind w:firstLine="420" w:firstLineChars="200"/>
        <w:rPr>
          <w:rFonts w:ascii="宋体" w:hAnsi="宋体"/>
          <w:color w:val="000000"/>
          <w:szCs w:val="21"/>
          <w:highlight w:val="none"/>
        </w:rPr>
      </w:pPr>
      <w:r>
        <w:rPr>
          <w:rFonts w:hint="eastAsia" w:ascii="宋体" w:hAnsi="宋体"/>
          <w:color w:val="000000"/>
          <w:szCs w:val="21"/>
          <w:highlight w:val="none"/>
        </w:rPr>
        <w:t>2、甲方终止部分合同，甲方可以按适当的条件和方式采购类似的由于乙方未交付部分的产品；乙方应承担甲方购买类似货物的额外费用并继续履行合同中未终止的部分。</w:t>
      </w:r>
    </w:p>
    <w:p w14:paraId="7B7A4961">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十六、破产终止合同</w:t>
      </w:r>
    </w:p>
    <w:p w14:paraId="7F9A746C">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1、当乙方破产或无清偿能力时，乙方应书面通知甲方终止合同，在甲方知情而未收到乙方终止合同书面通知时，甲方亦可书面通知乙方终止合同。</w:t>
      </w:r>
    </w:p>
    <w:p w14:paraId="34D44743">
      <w:pPr>
        <w:spacing w:line="500" w:lineRule="exact"/>
        <w:ind w:firstLine="525" w:firstLineChars="250"/>
        <w:rPr>
          <w:rFonts w:ascii="宋体" w:hAnsi="宋体"/>
          <w:color w:val="000000"/>
          <w:szCs w:val="21"/>
          <w:highlight w:val="none"/>
        </w:rPr>
      </w:pPr>
      <w:r>
        <w:rPr>
          <w:rFonts w:hint="eastAsia" w:ascii="宋体" w:hAnsi="宋体"/>
          <w:color w:val="000000"/>
          <w:szCs w:val="21"/>
          <w:highlight w:val="none"/>
        </w:rPr>
        <w:t>2、因不可抗力的自然灾害原因造成自然终止合同时按破产终止合同办法终止合同。</w:t>
      </w:r>
    </w:p>
    <w:p w14:paraId="449C9DC6">
      <w:pPr>
        <w:spacing w:line="500" w:lineRule="exact"/>
        <w:ind w:firstLine="413" w:firstLineChars="196"/>
        <w:rPr>
          <w:rFonts w:ascii="宋体" w:hAnsi="宋体"/>
          <w:b/>
          <w:bCs/>
          <w:color w:val="000000"/>
          <w:szCs w:val="21"/>
          <w:highlight w:val="none"/>
        </w:rPr>
      </w:pPr>
      <w:r>
        <w:rPr>
          <w:rFonts w:hint="eastAsia" w:ascii="宋体" w:hAnsi="宋体"/>
          <w:b/>
          <w:bCs/>
          <w:color w:val="000000"/>
          <w:szCs w:val="21"/>
          <w:highlight w:val="none"/>
        </w:rPr>
        <w:t>十七、合同纠纷：</w:t>
      </w:r>
      <w:r>
        <w:rPr>
          <w:rFonts w:hint="eastAsia" w:ascii="宋体" w:hAnsi="宋体"/>
          <w:color w:val="000000"/>
          <w:szCs w:val="21"/>
          <w:highlight w:val="none"/>
        </w:rPr>
        <w:t>如发生合同纠纷，甲、乙双方协商解决；协商不成时，可提请政府采购管理部门调解；调解不成，双方约定</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7F8BC4CC">
      <w:pPr>
        <w:spacing w:line="500" w:lineRule="exact"/>
        <w:ind w:firstLine="413" w:firstLineChars="196"/>
        <w:rPr>
          <w:rFonts w:ascii="宋体" w:hAnsi="宋体"/>
          <w:color w:val="000000"/>
          <w:szCs w:val="21"/>
          <w:highlight w:val="none"/>
        </w:rPr>
      </w:pPr>
      <w:r>
        <w:rPr>
          <w:rFonts w:hint="eastAsia" w:ascii="宋体" w:hAnsi="宋体"/>
          <w:b/>
          <w:bCs/>
          <w:color w:val="000000"/>
          <w:szCs w:val="21"/>
          <w:highlight w:val="none"/>
        </w:rPr>
        <w:t>十八、未尽事宜：</w:t>
      </w:r>
      <w:r>
        <w:rPr>
          <w:rFonts w:hint="eastAsia" w:ascii="宋体" w:hAnsi="宋体"/>
          <w:color w:val="000000"/>
          <w:szCs w:val="21"/>
          <w:highlight w:val="none"/>
        </w:rPr>
        <w:t>合同如有未尽事宜，须经甲、乙方双方共同协商，作出补充约定；补充约定与本合同具有同等效力。</w:t>
      </w:r>
    </w:p>
    <w:p w14:paraId="37D3C711">
      <w:pPr>
        <w:spacing w:line="500" w:lineRule="exact"/>
        <w:ind w:firstLine="413" w:firstLineChars="196"/>
        <w:rPr>
          <w:rFonts w:ascii="宋体" w:hAnsi="宋体"/>
          <w:color w:val="000000"/>
          <w:szCs w:val="21"/>
          <w:highlight w:val="none"/>
        </w:rPr>
      </w:pPr>
      <w:r>
        <w:rPr>
          <w:rFonts w:hint="eastAsia" w:ascii="宋体" w:hAnsi="宋体"/>
          <w:b/>
          <w:color w:val="000000"/>
          <w:szCs w:val="21"/>
          <w:highlight w:val="none"/>
        </w:rPr>
        <w:t>十九、合同份数及生效：</w:t>
      </w:r>
      <w:r>
        <w:rPr>
          <w:rFonts w:hint="eastAsia" w:ascii="宋体" w:hAnsi="宋体"/>
          <w:color w:val="000000"/>
          <w:szCs w:val="21"/>
          <w:highlight w:val="none"/>
        </w:rPr>
        <w:t>本合同一式伍份，甲方、乙方各贰份，采购代理机构一份。本合同经甲、乙双方签字盖章后生效。</w:t>
      </w:r>
    </w:p>
    <w:tbl>
      <w:tblPr>
        <w:tblStyle w:val="8"/>
        <w:tblpPr w:leftFromText="180" w:rightFromText="180" w:vertAnchor="text" w:horzAnchor="page" w:tblpX="1502" w:tblpY="493"/>
        <w:tblOverlap w:val="never"/>
        <w:tblW w:w="9380" w:type="dxa"/>
        <w:tblInd w:w="0" w:type="dxa"/>
        <w:tblLayout w:type="fixed"/>
        <w:tblCellMar>
          <w:top w:w="0" w:type="dxa"/>
          <w:left w:w="108" w:type="dxa"/>
          <w:bottom w:w="0" w:type="dxa"/>
          <w:right w:w="108" w:type="dxa"/>
        </w:tblCellMar>
      </w:tblPr>
      <w:tblGrid>
        <w:gridCol w:w="5116"/>
        <w:gridCol w:w="4264"/>
      </w:tblGrid>
      <w:tr w14:paraId="0CF8A836">
        <w:tblPrEx>
          <w:tblCellMar>
            <w:top w:w="0" w:type="dxa"/>
            <w:left w:w="108" w:type="dxa"/>
            <w:bottom w:w="0" w:type="dxa"/>
            <w:right w:w="108" w:type="dxa"/>
          </w:tblCellMar>
        </w:tblPrEx>
        <w:trPr>
          <w:cantSplit/>
          <w:trHeight w:val="4006" w:hRule="atLeast"/>
        </w:trPr>
        <w:tc>
          <w:tcPr>
            <w:tcW w:w="5116" w:type="dxa"/>
          </w:tcPr>
          <w:p w14:paraId="0B0E4839">
            <w:pPr>
              <w:spacing w:before="120" w:line="500" w:lineRule="exact"/>
              <w:rPr>
                <w:rFonts w:ascii="宋体" w:hAnsi="宋体"/>
                <w:bCs/>
                <w:color w:val="000000"/>
                <w:szCs w:val="21"/>
                <w:highlight w:val="none"/>
              </w:rPr>
            </w:pPr>
            <w:r>
              <w:rPr>
                <w:rFonts w:hint="eastAsia" w:ascii="宋体" w:hAnsi="宋体"/>
                <w:bCs/>
                <w:color w:val="000000"/>
                <w:szCs w:val="21"/>
                <w:highlight w:val="none"/>
              </w:rPr>
              <w:t>甲方（盖章）</w:t>
            </w:r>
          </w:p>
          <w:p w14:paraId="1106F7CD">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9DB480C">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41B22406">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3C061B34">
            <w:pPr>
              <w:spacing w:before="120" w:line="500" w:lineRule="exact"/>
              <w:rPr>
                <w:rFonts w:ascii="宋体" w:hAnsi="宋体"/>
                <w:bCs/>
                <w:color w:val="000000"/>
                <w:szCs w:val="21"/>
                <w:highlight w:val="none"/>
              </w:rPr>
            </w:pPr>
            <w:r>
              <w:rPr>
                <w:rFonts w:hint="eastAsia" w:ascii="宋体" w:hAnsi="宋体"/>
                <w:bCs/>
                <w:color w:val="000000"/>
                <w:szCs w:val="21"/>
                <w:highlight w:val="none"/>
              </w:rPr>
              <w:t>签订时间：</w:t>
            </w:r>
          </w:p>
        </w:tc>
        <w:tc>
          <w:tcPr>
            <w:tcW w:w="4264" w:type="dxa"/>
          </w:tcPr>
          <w:p w14:paraId="419B545C">
            <w:pPr>
              <w:spacing w:before="120" w:line="500" w:lineRule="exact"/>
              <w:rPr>
                <w:rFonts w:ascii="宋体" w:hAnsi="宋体"/>
                <w:bCs/>
                <w:color w:val="000000"/>
                <w:szCs w:val="21"/>
                <w:highlight w:val="none"/>
              </w:rPr>
            </w:pPr>
            <w:r>
              <w:rPr>
                <w:rFonts w:hint="eastAsia" w:ascii="宋体" w:hAnsi="宋体"/>
                <w:bCs/>
                <w:color w:val="000000"/>
                <w:szCs w:val="21"/>
                <w:highlight w:val="none"/>
              </w:rPr>
              <w:t>乙方（盖章）</w:t>
            </w:r>
          </w:p>
          <w:p w14:paraId="0DD8C631">
            <w:pPr>
              <w:spacing w:before="120" w:line="500" w:lineRule="exact"/>
              <w:rPr>
                <w:rFonts w:ascii="宋体" w:hAnsi="宋体"/>
                <w:bCs/>
                <w:color w:val="000000"/>
                <w:szCs w:val="21"/>
                <w:highlight w:val="none"/>
              </w:rPr>
            </w:pPr>
            <w:r>
              <w:rPr>
                <w:rFonts w:hint="eastAsia" w:ascii="宋体" w:hAnsi="宋体"/>
                <w:bCs/>
                <w:color w:val="000000"/>
                <w:szCs w:val="21"/>
                <w:highlight w:val="none"/>
              </w:rPr>
              <w:t>授权代表（签字）：</w:t>
            </w:r>
          </w:p>
          <w:p w14:paraId="0F1342EB">
            <w:pPr>
              <w:spacing w:before="120" w:line="500" w:lineRule="exact"/>
              <w:rPr>
                <w:rFonts w:ascii="宋体" w:hAnsi="宋体"/>
                <w:bCs/>
                <w:color w:val="000000"/>
                <w:szCs w:val="21"/>
                <w:highlight w:val="none"/>
              </w:rPr>
            </w:pPr>
            <w:r>
              <w:rPr>
                <w:rFonts w:hint="eastAsia" w:ascii="宋体" w:hAnsi="宋体"/>
                <w:bCs/>
                <w:color w:val="000000"/>
                <w:szCs w:val="21"/>
                <w:highlight w:val="none"/>
              </w:rPr>
              <w:t>联系电话：</w:t>
            </w:r>
          </w:p>
          <w:p w14:paraId="5344AC44">
            <w:pPr>
              <w:spacing w:before="120" w:line="500" w:lineRule="exact"/>
              <w:rPr>
                <w:rFonts w:ascii="宋体" w:hAnsi="宋体"/>
                <w:bCs/>
                <w:color w:val="000000"/>
                <w:szCs w:val="21"/>
                <w:highlight w:val="none"/>
              </w:rPr>
            </w:pPr>
            <w:r>
              <w:rPr>
                <w:rFonts w:hint="eastAsia" w:ascii="宋体" w:hAnsi="宋体"/>
                <w:bCs/>
                <w:color w:val="000000"/>
                <w:szCs w:val="21"/>
                <w:highlight w:val="none"/>
              </w:rPr>
              <w:t>单位地址：</w:t>
            </w:r>
          </w:p>
          <w:p w14:paraId="4202A7E4">
            <w:pPr>
              <w:spacing w:before="120" w:line="500" w:lineRule="exact"/>
              <w:rPr>
                <w:rFonts w:ascii="宋体" w:hAnsi="宋体"/>
                <w:bCs/>
                <w:color w:val="000000"/>
                <w:szCs w:val="21"/>
                <w:highlight w:val="none"/>
              </w:rPr>
            </w:pPr>
            <w:r>
              <w:rPr>
                <w:rFonts w:hint="eastAsia" w:ascii="宋体" w:hAnsi="宋体"/>
                <w:bCs/>
                <w:color w:val="000000"/>
                <w:szCs w:val="21"/>
                <w:highlight w:val="none"/>
              </w:rPr>
              <w:t>开户银行：</w:t>
            </w:r>
          </w:p>
          <w:p w14:paraId="5F45B706">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账    号：</w:t>
            </w:r>
          </w:p>
          <w:p w14:paraId="0A74EEC9">
            <w:pPr>
              <w:spacing w:before="120" w:line="500" w:lineRule="exact"/>
              <w:jc w:val="left"/>
              <w:rPr>
                <w:rFonts w:ascii="宋体" w:hAnsi="宋体"/>
                <w:bCs/>
                <w:color w:val="000000"/>
                <w:szCs w:val="21"/>
                <w:highlight w:val="none"/>
              </w:rPr>
            </w:pPr>
            <w:r>
              <w:rPr>
                <w:rFonts w:hint="eastAsia" w:ascii="宋体" w:hAnsi="宋体"/>
                <w:bCs/>
                <w:color w:val="000000"/>
                <w:szCs w:val="21"/>
                <w:highlight w:val="none"/>
              </w:rPr>
              <w:t>签订时间：</w:t>
            </w:r>
          </w:p>
        </w:tc>
      </w:tr>
    </w:tbl>
    <w:p w14:paraId="0C24C103">
      <w:pPr>
        <w:pStyle w:val="10"/>
        <w:rPr>
          <w:rFonts w:hint="default"/>
          <w:highlight w:val="none"/>
        </w:rPr>
      </w:pPr>
    </w:p>
    <w:p w14:paraId="30AC5950">
      <w:pPr>
        <w:pStyle w:val="10"/>
        <w:rPr>
          <w:rFonts w:hint="default"/>
          <w:highlight w:val="none"/>
        </w:rPr>
      </w:pPr>
    </w:p>
    <w:p w14:paraId="7AC6A989"/>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DC764">
    <w:pPr>
      <w:pStyle w:val="5"/>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4C55F8"/>
    <w:rsid w:val="122F3A97"/>
    <w:rsid w:val="4E4C5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3"/>
    <w:basedOn w:val="1"/>
    <w:next w:val="1"/>
    <w:qFormat/>
    <w:uiPriority w:val="1"/>
    <w:pPr>
      <w:ind w:left="648" w:hanging="543"/>
      <w:outlineLvl w:val="2"/>
    </w:pPr>
    <w:rPr>
      <w:rFonts w:ascii="宋体" w:hAnsi="宋体" w:cs="宋体"/>
      <w:b/>
      <w:bCs/>
      <w:sz w:val="19"/>
      <w:szCs w:val="19"/>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5">
    <w:name w:val="Body Text"/>
    <w:basedOn w:val="1"/>
    <w:semiHidden/>
    <w:qFormat/>
    <w:uiPriority w:val="0"/>
    <w:rPr>
      <w:rFonts w:ascii="Arial" w:hAnsi="Arial" w:eastAsia="Arial" w:cs="Arial"/>
      <w:szCs w:val="21"/>
      <w:lang w:eastAsia="en-US"/>
    </w:rPr>
  </w:style>
  <w:style w:type="paragraph" w:styleId="6">
    <w:name w:val="Plain Text"/>
    <w:basedOn w:val="1"/>
    <w:qFormat/>
    <w:uiPriority w:val="0"/>
    <w:rPr>
      <w:rFonts w:ascii="宋体" w:hAnsi="Courier New"/>
    </w:rPr>
  </w:style>
  <w:style w:type="paragraph" w:styleId="7">
    <w:name w:val="Normal (Web)"/>
    <w:basedOn w:val="1"/>
    <w:qFormat/>
    <w:uiPriority w:val="0"/>
    <w:pPr>
      <w:spacing w:beforeAutospacing="1" w:afterAutospacing="1"/>
      <w:jc w:val="left"/>
    </w:pPr>
    <w:rPr>
      <w:kern w:val="0"/>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7486</Words>
  <Characters>7710</Characters>
  <Lines>0</Lines>
  <Paragraphs>0</Paragraphs>
  <TotalTime>1</TotalTime>
  <ScaleCrop>false</ScaleCrop>
  <LinksUpToDate>false</LinksUpToDate>
  <CharactersWithSpaces>8057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2025-07-09T07:07:00Z</dcterms:created>
  <dc:creator>省略号君</dc:creator>
  <cp:lastModifiedBy>省略号君</cp:lastModifiedBy>
  <dcterms:modified xsi:type="dcterms:W3CDTF">2025-07-11T02:45:30Z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5BDA2223801E43C4B9D30E918B506E2E_11</vt:lpwstr>
  </property>
  <property fmtid="{D5CDD505-2E9C-101B-9397-08002B2CF9AE}" pid="4" name="KSOTemplateDocerSaveRecord">
    <vt:lpwstr>eyJoZGlkIjoiODg4ZTQ0YmZmMzhlYmY5ZDkzYmFhMTdhNmFjZDI2MDYiLCJ1c2VySWQiOiIyMzE3Mjk5MDAifQ==</vt:lpwstr>
  </property>
</Properties>
</file>