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版本号：SNJZ-2025-13020250709001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郭杜校区教学楼西1楼图书馆维修改造项目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SNJZ-2025-130</w:t>
      </w:r>
      <w:r>
        <w:br/>
      </w:r>
      <w:r>
        <w:br/>
      </w:r>
      <w:r>
        <w:br/>
      </w:r>
    </w:p>
    <w:p>
      <w:pPr>
        <w:pStyle w:val="null3"/>
        <w:jc w:val="center"/>
        <w:outlineLvl w:val="2"/>
      </w:pPr>
      <w:r>
        <w:rPr>
          <w:rFonts w:ascii="仿宋_GB2312" w:hAnsi="仿宋_GB2312" w:cs="仿宋_GB2312" w:eastAsia="仿宋_GB2312"/>
          <w:sz w:val="28"/>
          <w:b/>
        </w:rPr>
        <w:t>陕西开放大学</w:t>
      </w:r>
    </w:p>
    <w:p>
      <w:pPr>
        <w:pStyle w:val="null3"/>
        <w:jc w:val="center"/>
        <w:outlineLvl w:val="2"/>
      </w:pPr>
      <w:r>
        <w:rPr>
          <w:rFonts w:ascii="仿宋_GB2312" w:hAnsi="仿宋_GB2312" w:cs="仿宋_GB2312" w:eastAsia="仿宋_GB2312"/>
          <w:sz w:val="28"/>
          <w:b/>
        </w:rPr>
        <w:t>陕西教育招标有限责任公司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陕西教育招标有限责任公司</w:t>
      </w:r>
      <w:r>
        <w:rPr>
          <w:rFonts w:ascii="仿宋_GB2312" w:hAnsi="仿宋_GB2312" w:cs="仿宋_GB2312" w:eastAsia="仿宋_GB2312"/>
        </w:rPr>
        <w:t>（以下简称“代理机构”）受</w:t>
      </w:r>
      <w:r>
        <w:rPr>
          <w:rFonts w:ascii="仿宋_GB2312" w:hAnsi="仿宋_GB2312" w:cs="仿宋_GB2312" w:eastAsia="仿宋_GB2312"/>
        </w:rPr>
        <w:t>陕西开放大学</w:t>
      </w:r>
      <w:r>
        <w:rPr>
          <w:rFonts w:ascii="仿宋_GB2312" w:hAnsi="仿宋_GB2312" w:cs="仿宋_GB2312" w:eastAsia="仿宋_GB2312"/>
        </w:rPr>
        <w:t>委托，拟对</w:t>
      </w:r>
      <w:r>
        <w:rPr>
          <w:rFonts w:ascii="仿宋_GB2312" w:hAnsi="仿宋_GB2312" w:cs="仿宋_GB2312" w:eastAsia="仿宋_GB2312"/>
        </w:rPr>
        <w:t>郭杜校区教学楼西1楼图书馆维修改造项目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SNJZ-2025-130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郭杜校区教学楼西1楼图书馆维修改造项目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拟对教学楼1楼郭杜校区图书馆进行装修改造，具体详见第3章及工程量清单、图纸。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采购包1（图书馆维修改造）：属于专门面向中小企业采购。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财务状况报告：企业法人提供经审计的2024年度的财务报告或提交磋商响应文件递交截止时间前十二个月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3、授权书：法定代表人参加磋商时，提供法定代表人证明书；授权代表参加磋商时，提供法定代表人授权书；非法人单位参照执行。</w:t>
      </w:r>
    </w:p>
    <w:p>
      <w:pPr>
        <w:pStyle w:val="null3"/>
      </w:pPr>
      <w:r>
        <w:rPr>
          <w:rFonts w:ascii="仿宋_GB2312" w:hAnsi="仿宋_GB2312" w:cs="仿宋_GB2312" w:eastAsia="仿宋_GB2312"/>
        </w:rPr>
        <w:t>4、税收缴纳证明：提供磋商响应文件提交截止时间前十二个月内至少一个月已缴纳的纳税凭据或完税证明；依法免税的供应商应提供相关文件证明。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磋商响应文件截止时间前十二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6、提供具有履行本合同所必需的设备和专业技术能力的承诺：提供具有履行本合同所必需的设备和专业技术能力的承诺</w:t>
      </w:r>
    </w:p>
    <w:p>
      <w:pPr>
        <w:pStyle w:val="null3"/>
      </w:pPr>
      <w:r>
        <w:rPr>
          <w:rFonts w:ascii="仿宋_GB2312" w:hAnsi="仿宋_GB2312" w:cs="仿宋_GB2312" w:eastAsia="仿宋_GB2312"/>
        </w:rPr>
        <w:t>7、无重大违法记录的书面声明：提供参加政府采购活动前三年内在经营活动中没有重大违法记录的书面声明。</w:t>
      </w:r>
    </w:p>
    <w:p>
      <w:pPr>
        <w:pStyle w:val="null3"/>
      </w:pPr>
      <w:r>
        <w:rPr>
          <w:rFonts w:ascii="仿宋_GB2312" w:hAnsi="仿宋_GB2312" w:cs="仿宋_GB2312" w:eastAsia="仿宋_GB2312"/>
        </w:rPr>
        <w:t>8、工程资质：供应商须具有①建筑工程施工总承包三级（含三级）以上或建筑装修装饰工程专业承包二级（含二级）以上及有效的安全生产许可证。②拟派项目经理具有二级（含二级）以上注册建造师资格及有效的安全生产考核合格证B证，并提供未担任其他在建项目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陕西开放大学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西安市长安区郭杜北街19号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陕西开放大学经办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029-81896974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陕西教育招标有限责任公司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陕西省西安市太白南路181号西部电子社区A座B区401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胡荣、马子啸、程钰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029-88224929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采购包1：403,900.00元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开户名称：陕西教育招标有限责任公司</w:t>
            </w:r>
          </w:p>
          <w:p>
            <w:pPr>
              <w:pStyle w:val="null3"/>
            </w:pPr>
            <w:r>
              <w:rPr>
                <w:rFonts w:ascii="仿宋_GB2312" w:hAnsi="仿宋_GB2312" w:cs="仿宋_GB2312" w:eastAsia="仿宋_GB2312"/>
              </w:rPr>
              <w:t>开户银行：浙商银行西安长安路支行</w:t>
            </w:r>
          </w:p>
          <w:p>
            <w:pPr>
              <w:pStyle w:val="null3"/>
            </w:pPr>
            <w:r>
              <w:rPr>
                <w:rFonts w:ascii="仿宋_GB2312" w:hAnsi="仿宋_GB2312" w:cs="仿宋_GB2312" w:eastAsia="仿宋_GB2312"/>
              </w:rPr>
              <w:t>银行账号：7910000410120100071552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包1成交供应商在收到成交通知书后五(5)个日历日内，向陕西教育招标有限责任公司交纳招标代理服务费柒仟元整（7000元），招标代理服务费采用现金、电汇或银行转账方式交纳。（开户名称：陕西教育招标有限责任公司、开户银行：中 国光大银行陕西自贸试验区西安唐延路支 行、账 号：78580188000058925、银行行号：303 791000136，财务电话：029-88224928）。</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踏勘时间：2025-07-19 09:30:00</w:t>
            </w:r>
          </w:p>
          <w:p>
            <w:pPr>
              <w:pStyle w:val="null3"/>
              <w:ind w:firstLine="975"/>
            </w:pPr>
            <w:r>
              <w:rPr>
                <w:rFonts w:ascii="仿宋_GB2312" w:hAnsi="仿宋_GB2312" w:cs="仿宋_GB2312" w:eastAsia="仿宋_GB2312"/>
              </w:rPr>
              <w:t>踏勘地点：西安市长安区郭杜北街41号</w:t>
            </w:r>
          </w:p>
          <w:p>
            <w:pPr>
              <w:pStyle w:val="null3"/>
              <w:ind w:firstLine="975"/>
            </w:pPr>
            <w:r>
              <w:rPr>
                <w:rFonts w:ascii="仿宋_GB2312" w:hAnsi="仿宋_GB2312" w:cs="仿宋_GB2312" w:eastAsia="仿宋_GB2312"/>
              </w:rPr>
              <w:t>联系人：马子啸</w:t>
            </w:r>
          </w:p>
          <w:p>
            <w:pPr>
              <w:pStyle w:val="null3"/>
              <w:ind w:firstLine="975"/>
            </w:pPr>
            <w:r>
              <w:rPr>
                <w:rFonts w:ascii="仿宋_GB2312" w:hAnsi="仿宋_GB2312" w:cs="仿宋_GB2312" w:eastAsia="仿宋_GB2312"/>
              </w:rPr>
              <w:t>联系电话号码：18629341630</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陕西开放大学</w:t>
      </w:r>
      <w:r>
        <w:rPr>
          <w:rFonts w:ascii="仿宋_GB2312" w:hAnsi="仿宋_GB2312" w:cs="仿宋_GB2312" w:eastAsia="仿宋_GB2312"/>
        </w:rPr>
        <w:t>和</w:t>
      </w:r>
      <w:r>
        <w:rPr>
          <w:rFonts w:ascii="仿宋_GB2312" w:hAnsi="仿宋_GB2312" w:cs="仿宋_GB2312" w:eastAsia="仿宋_GB2312"/>
        </w:rPr>
        <w:t>陕西教育招标有限责任公司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陕西开放大学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陕西教育招标有限责任公司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陕西开放大学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陕西教育招标有限责任公司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施工完成后，工程质量到采购文件要求的为验收合格。合同文本，采购文件，磋商响应文件，国内相应标准、规范</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联系人：胡荣、程钰</w:t>
      </w:r>
    </w:p>
    <w:p>
      <w:pPr>
        <w:pStyle w:val="null3"/>
      </w:pPr>
      <w:r>
        <w:rPr>
          <w:rFonts w:ascii="仿宋_GB2312" w:hAnsi="仿宋_GB2312" w:cs="仿宋_GB2312" w:eastAsia="仿宋_GB2312"/>
        </w:rPr>
        <w:t>联系电话：029-88224929</w:t>
      </w:r>
    </w:p>
    <w:p>
      <w:pPr>
        <w:pStyle w:val="null3"/>
      </w:pPr>
      <w:r>
        <w:rPr>
          <w:rFonts w:ascii="仿宋_GB2312" w:hAnsi="仿宋_GB2312" w:cs="仿宋_GB2312" w:eastAsia="仿宋_GB2312"/>
        </w:rPr>
        <w:t>地址：陕西省西安市太白南路181号西部电子社区A座B区401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403,900.00</w:t>
      </w:r>
    </w:p>
    <w:p>
      <w:pPr>
        <w:pStyle w:val="null3"/>
      </w:pPr>
      <w:r>
        <w:rPr>
          <w:rFonts w:ascii="仿宋_GB2312" w:hAnsi="仿宋_GB2312" w:cs="仿宋_GB2312" w:eastAsia="仿宋_GB2312"/>
        </w:rPr>
        <w:t>采购包最高限价（元）: 396,191.76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图书馆维修改造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403,900.00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标的名称：图书馆维修改造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1.项目概况</w:t>
            </w:r>
          </w:p>
          <w:p>
            <w:pPr>
              <w:pStyle w:val="null3"/>
              <w:ind w:firstLine="480"/>
              <w:jc w:val="both"/>
            </w:pPr>
            <w:r>
              <w:rPr>
                <w:rFonts w:ascii="仿宋_GB2312" w:hAnsi="仿宋_GB2312" w:cs="仿宋_GB2312" w:eastAsia="仿宋_GB2312"/>
                <w:sz w:val="24"/>
              </w:rPr>
              <w:t>装修改造项目建筑总面积约</w:t>
            </w:r>
            <w:r>
              <w:rPr>
                <w:rFonts w:ascii="仿宋_GB2312" w:hAnsi="仿宋_GB2312" w:cs="仿宋_GB2312" w:eastAsia="仿宋_GB2312"/>
                <w:sz w:val="24"/>
              </w:rPr>
              <w:t>710m², 装修内容主要为：1、教学楼  南109、南110、西101、西104书籍打包，书架拆除、搬运、 恢复安装；2、拆除教室木门、侧窗户防护网拆；3、地面采 用塑胶地面；4、墙面为乳胶漆；5、走廊顶面矿棉板、石膏 板吊顶处理；6、更换走廊3樘防火疏散门；7、原图书管电 路整理，包括(有线管、开关、灯具、插座线路等拆移、整 理);8、更换装饰灯及其他灯具；9、定制临窗木质书桌台 面（座椅）和走廊阅读座椅；10、二楼防水处理。具体施工以设计图为准。</w:t>
            </w:r>
          </w:p>
          <w:p>
            <w:pPr>
              <w:pStyle w:val="null3"/>
              <w:ind w:firstLine="480"/>
              <w:jc w:val="both"/>
            </w:pPr>
            <w:r>
              <w:rPr>
                <w:rFonts w:ascii="仿宋_GB2312" w:hAnsi="仿宋_GB2312" w:cs="仿宋_GB2312" w:eastAsia="仿宋_GB2312"/>
                <w:sz w:val="24"/>
              </w:rPr>
              <w:t>须注意须注意：</w:t>
            </w:r>
            <w:r>
              <w:rPr>
                <w:rFonts w:ascii="仿宋_GB2312" w:hAnsi="仿宋_GB2312" w:cs="仿宋_GB2312" w:eastAsia="仿宋_GB2312"/>
                <w:sz w:val="24"/>
              </w:rPr>
              <w:t>1.走廊及拐角和南北两侧外墙的乳胶漆，走廊拐角木门刷漆；2.工程完工后各类保洁，包括但不限于：房顶风扇、室内及走廊窗户玻璃纱窗，窗帘。</w:t>
            </w:r>
          </w:p>
          <w:p>
            <w:pPr>
              <w:pStyle w:val="null3"/>
              <w:ind w:firstLine="480"/>
              <w:jc w:val="both"/>
            </w:pPr>
            <w:r>
              <w:rPr>
                <w:rFonts w:ascii="仿宋_GB2312" w:hAnsi="仿宋_GB2312" w:cs="仿宋_GB2312" w:eastAsia="仿宋_GB2312"/>
                <w:sz w:val="24"/>
              </w:rPr>
              <w:t>工程验收的主要依据、标准及要求：</w:t>
            </w:r>
          </w:p>
          <w:p>
            <w:pPr>
              <w:pStyle w:val="null3"/>
              <w:ind w:firstLine="480"/>
              <w:jc w:val="both"/>
            </w:pPr>
            <w:r>
              <w:rPr>
                <w:rFonts w:ascii="仿宋_GB2312" w:hAnsi="仿宋_GB2312" w:cs="仿宋_GB2312" w:eastAsia="仿宋_GB2312"/>
                <w:sz w:val="24"/>
              </w:rPr>
              <w:t>2.1《建筑工程施工质量验收统一标准》GB 50300—2013</w:t>
            </w:r>
          </w:p>
          <w:p>
            <w:pPr>
              <w:pStyle w:val="null3"/>
              <w:ind w:firstLine="480"/>
              <w:jc w:val="both"/>
            </w:pPr>
            <w:r>
              <w:rPr>
                <w:rFonts w:ascii="仿宋_GB2312" w:hAnsi="仿宋_GB2312" w:cs="仿宋_GB2312" w:eastAsia="仿宋_GB2312"/>
                <w:sz w:val="24"/>
              </w:rPr>
              <w:t>2.2《建筑装饰装修工程质量验收标准》GB/T 50210—2018</w:t>
            </w:r>
          </w:p>
          <w:p>
            <w:pPr>
              <w:pStyle w:val="null3"/>
              <w:ind w:firstLine="480"/>
              <w:jc w:val="both"/>
            </w:pPr>
            <w:r>
              <w:rPr>
                <w:rFonts w:ascii="仿宋_GB2312" w:hAnsi="仿宋_GB2312" w:cs="仿宋_GB2312" w:eastAsia="仿宋_GB2312"/>
                <w:sz w:val="24"/>
              </w:rPr>
              <w:t>质量保证</w:t>
            </w:r>
          </w:p>
          <w:p>
            <w:pPr>
              <w:pStyle w:val="null3"/>
              <w:ind w:firstLine="480"/>
              <w:jc w:val="both"/>
            </w:pPr>
            <w:r>
              <w:rPr>
                <w:rFonts w:ascii="仿宋_GB2312" w:hAnsi="仿宋_GB2312" w:cs="仿宋_GB2312" w:eastAsia="仿宋_GB2312"/>
                <w:sz w:val="24"/>
              </w:rPr>
              <w:t>3.1整体建设要求为合格，竣工验收合格后不少于2年；若该质量保证期小于国家标准，则以国家标准为准。</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具本要求如下：</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1）基层处理，牢固，不开裂、不掉粉、不起沙、不空鼓。</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2）表面清洁、无灰尘，无锈斑，无霉点。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3）表面层必须牢固，无裂缝，手摸无凹凸感。</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4）阴阳角必须垂直、方正，无缺棱掉角。</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5）乳胶漆的颜色，漆的品牌符合要求。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6）漆膜牢固、不掉粉、不反碱、不咬底；无漏刷，无透底、无留漆，无刷痕。</w:t>
            </w:r>
          </w:p>
          <w:p>
            <w:pPr>
              <w:pStyle w:val="null3"/>
              <w:ind w:firstLine="480"/>
              <w:jc w:val="both"/>
            </w:pPr>
            <w:r>
              <w:rPr>
                <w:rFonts w:ascii="仿宋_GB2312" w:hAnsi="仿宋_GB2312" w:cs="仿宋_GB2312" w:eastAsia="仿宋_GB2312"/>
                <w:sz w:val="24"/>
              </w:rPr>
              <w:t>3.2成交供应商应按法律、行政法规或国家关于工程质量保修的有关规定，对采购单位使用的工程在质量保修期内承担质量保修责任。</w:t>
            </w:r>
          </w:p>
          <w:p>
            <w:pPr>
              <w:pStyle w:val="null3"/>
              <w:ind w:firstLine="480"/>
              <w:jc w:val="both"/>
            </w:pPr>
            <w:r>
              <w:rPr>
                <w:rFonts w:ascii="仿宋_GB2312" w:hAnsi="仿宋_GB2312" w:cs="仿宋_GB2312" w:eastAsia="仿宋_GB2312"/>
                <w:sz w:val="24"/>
              </w:rPr>
              <w:t>3.3供应商应承诺在质量保证期内免费提供设备维修等服务；</w:t>
            </w:r>
          </w:p>
          <w:p>
            <w:pPr>
              <w:pStyle w:val="null3"/>
              <w:ind w:firstLine="480"/>
              <w:jc w:val="both"/>
            </w:pPr>
            <w:r>
              <w:rPr>
                <w:rFonts w:ascii="仿宋_GB2312" w:hAnsi="仿宋_GB2312" w:cs="仿宋_GB2312" w:eastAsia="仿宋_GB2312"/>
                <w:sz w:val="24"/>
              </w:rPr>
              <w:t>3.4 所有设备及辅材必须是未使用过的，用最新工艺生产的最新产品，质量优良、渠道正当，配置合理。</w:t>
            </w:r>
          </w:p>
          <w:p>
            <w:pPr>
              <w:pStyle w:val="null3"/>
              <w:ind w:firstLine="480"/>
              <w:jc w:val="both"/>
            </w:pPr>
            <w:r>
              <w:rPr>
                <w:rFonts w:ascii="仿宋_GB2312" w:hAnsi="仿宋_GB2312" w:cs="仿宋_GB2312" w:eastAsia="仿宋_GB2312"/>
                <w:sz w:val="24"/>
              </w:rPr>
              <w:t>4.其他说明</w:t>
            </w:r>
          </w:p>
          <w:p>
            <w:pPr>
              <w:pStyle w:val="null3"/>
              <w:ind w:firstLine="480"/>
              <w:jc w:val="both"/>
            </w:pPr>
            <w:r>
              <w:rPr>
                <w:rFonts w:ascii="仿宋_GB2312" w:hAnsi="仿宋_GB2312" w:cs="仿宋_GB2312" w:eastAsia="仿宋_GB2312"/>
                <w:sz w:val="24"/>
              </w:rPr>
              <w:t>供应商应负有以下责任事项：</w:t>
            </w:r>
          </w:p>
          <w:p>
            <w:pPr>
              <w:pStyle w:val="null3"/>
              <w:ind w:firstLine="480"/>
              <w:jc w:val="both"/>
            </w:pPr>
            <w:r>
              <w:rPr>
                <w:rFonts w:ascii="仿宋_GB2312" w:hAnsi="仿宋_GB2312" w:cs="仿宋_GB2312" w:eastAsia="仿宋_GB2312"/>
                <w:sz w:val="24"/>
              </w:rPr>
              <w:t>4.1负责施工期间使用的水、电线路、围栏和防护设施等；并提供施工用电、用水计划，水电费用提前与学校动力部门对接，安装水电表进行计量。</w:t>
            </w:r>
          </w:p>
          <w:p>
            <w:pPr>
              <w:pStyle w:val="null3"/>
              <w:ind w:firstLine="480"/>
              <w:jc w:val="both"/>
            </w:pPr>
            <w:r>
              <w:rPr>
                <w:rFonts w:ascii="仿宋_GB2312" w:hAnsi="仿宋_GB2312" w:cs="仿宋_GB2312" w:eastAsia="仿宋_GB2312"/>
                <w:sz w:val="24"/>
              </w:rPr>
              <w:t>4.2遵守学校对施工场地交通、卫生和施工噪音管理规定。</w:t>
            </w:r>
          </w:p>
          <w:p>
            <w:pPr>
              <w:pStyle w:val="null3"/>
              <w:ind w:firstLine="480"/>
              <w:jc w:val="both"/>
            </w:pPr>
            <w:r>
              <w:rPr>
                <w:rFonts w:ascii="仿宋_GB2312" w:hAnsi="仿宋_GB2312" w:cs="仿宋_GB2312" w:eastAsia="仿宋_GB2312"/>
                <w:sz w:val="24"/>
              </w:rPr>
              <w:t>4.3在工程未交付使用之前，承包人负责已完成工程的成品保护工作，保护期间发生损坏，由承包人负责修复。</w:t>
            </w:r>
          </w:p>
          <w:p>
            <w:pPr>
              <w:pStyle w:val="null3"/>
              <w:ind w:firstLine="480"/>
              <w:jc w:val="both"/>
            </w:pPr>
            <w:r>
              <w:rPr>
                <w:rFonts w:ascii="仿宋_GB2312" w:hAnsi="仿宋_GB2312" w:cs="仿宋_GB2312" w:eastAsia="仿宋_GB2312"/>
                <w:sz w:val="24"/>
              </w:rPr>
              <w:t>4.4做好施工场地内的管线和构筑物的成品保护工作；损坏时由承包人负责修复。</w:t>
            </w:r>
          </w:p>
          <w:p>
            <w:pPr>
              <w:pStyle w:val="null3"/>
              <w:ind w:firstLine="480"/>
              <w:jc w:val="both"/>
            </w:pPr>
            <w:r>
              <w:rPr>
                <w:rFonts w:ascii="仿宋_GB2312" w:hAnsi="仿宋_GB2312" w:cs="仿宋_GB2312" w:eastAsia="仿宋_GB2312"/>
                <w:sz w:val="24"/>
              </w:rPr>
              <w:t>4.5保证施工现场清洁符合文明工地有关规定，交工前清理现场达无污染，现场无建筑垃圾；承担因此而造成的损失和罚款。</w:t>
            </w:r>
          </w:p>
          <w:p>
            <w:pPr>
              <w:pStyle w:val="null3"/>
              <w:ind w:firstLine="480"/>
              <w:jc w:val="both"/>
            </w:pPr>
            <w:r>
              <w:rPr>
                <w:rFonts w:ascii="仿宋_GB2312" w:hAnsi="仿宋_GB2312" w:cs="仿宋_GB2312" w:eastAsia="仿宋_GB2312"/>
                <w:sz w:val="24"/>
              </w:rPr>
              <w:t>4.6组织施工人员进行施工安全、防火、防盗安全交底等，指定专人负责施工现场安全工作，承担因此而造成的损失和罚款。</w:t>
            </w:r>
          </w:p>
          <w:p>
            <w:pPr>
              <w:pStyle w:val="null3"/>
              <w:ind w:firstLine="480"/>
              <w:jc w:val="both"/>
            </w:pPr>
            <w:r>
              <w:rPr>
                <w:rFonts w:ascii="仿宋_GB2312" w:hAnsi="仿宋_GB2312" w:cs="仿宋_GB2312" w:eastAsia="仿宋_GB2312"/>
                <w:sz w:val="24"/>
              </w:rPr>
              <w:t>4.7要充分考虑天气因素、设备保护、高空作业、噪音干扰等诸多因素对施工的影响。</w:t>
            </w:r>
          </w:p>
          <w:p>
            <w:pPr>
              <w:pStyle w:val="null3"/>
              <w:ind w:firstLine="480"/>
              <w:jc w:val="both"/>
            </w:pPr>
            <w:r>
              <w:rPr>
                <w:rFonts w:ascii="仿宋_GB2312" w:hAnsi="仿宋_GB2312" w:cs="仿宋_GB2312" w:eastAsia="仿宋_GB2312"/>
                <w:sz w:val="24"/>
              </w:rPr>
              <w:t>5.工期项目：合同签订后20个日历日内完工</w:t>
            </w:r>
          </w:p>
          <w:p>
            <w:pPr>
              <w:pStyle w:val="null3"/>
              <w:ind w:firstLine="480"/>
              <w:jc w:val="both"/>
            </w:pPr>
            <w:r>
              <w:rPr>
                <w:rFonts w:ascii="仿宋_GB2312" w:hAnsi="仿宋_GB2312" w:cs="仿宋_GB2312" w:eastAsia="仿宋_GB2312"/>
                <w:sz w:val="24"/>
              </w:rPr>
              <w:t>6.款项结算：</w:t>
            </w:r>
          </w:p>
          <w:p>
            <w:pPr>
              <w:pStyle w:val="null3"/>
              <w:ind w:firstLine="480"/>
              <w:jc w:val="both"/>
            </w:pPr>
            <w:r>
              <w:rPr>
                <w:rFonts w:ascii="仿宋_GB2312" w:hAnsi="仿宋_GB2312" w:cs="仿宋_GB2312" w:eastAsia="仿宋_GB2312"/>
                <w:sz w:val="24"/>
              </w:rPr>
              <w:t>6.1合同签订后30日内采购人支付合同金额的40%（因假期可能会延期支付），项目经验收合格并审计结束后，根据实际工程量据实结算，达到付款条件起 30日内，支付剩余全部款项。</w:t>
            </w:r>
          </w:p>
          <w:p>
            <w:pPr>
              <w:pStyle w:val="null3"/>
              <w:ind w:firstLine="480"/>
              <w:jc w:val="both"/>
            </w:pPr>
            <w:r>
              <w:rPr>
                <w:rFonts w:ascii="仿宋_GB2312" w:hAnsi="仿宋_GB2312" w:cs="仿宋_GB2312" w:eastAsia="仿宋_GB2312"/>
                <w:sz w:val="24"/>
              </w:rPr>
              <w:t>6.2货款支付时，成交单位须按采购方要求提供正式发票等付款所需的材料。</w:t>
            </w:r>
          </w:p>
          <w:p>
            <w:pPr>
              <w:pStyle w:val="null3"/>
              <w:ind w:firstLine="480"/>
              <w:jc w:val="both"/>
            </w:pPr>
            <w:r>
              <w:rPr>
                <w:rFonts w:ascii="仿宋_GB2312" w:hAnsi="仿宋_GB2312" w:cs="仿宋_GB2312" w:eastAsia="仿宋_GB2312"/>
                <w:sz w:val="24"/>
              </w:rPr>
              <w:t>6.3货款支付单位为：陕西开放大学。</w:t>
            </w:r>
          </w:p>
          <w:p>
            <w:pPr>
              <w:pStyle w:val="null3"/>
              <w:ind w:firstLine="480"/>
              <w:jc w:val="both"/>
            </w:pPr>
            <w:r>
              <w:rPr>
                <w:rFonts w:ascii="仿宋_GB2312" w:hAnsi="仿宋_GB2312" w:cs="仿宋_GB2312" w:eastAsia="仿宋_GB2312"/>
                <w:sz w:val="24"/>
              </w:rPr>
              <w:t>发票开具的</w:t>
            </w:r>
            <w:r>
              <w:rPr>
                <w:rFonts w:ascii="仿宋_GB2312" w:hAnsi="仿宋_GB2312" w:cs="仿宋_GB2312" w:eastAsia="仿宋_GB2312"/>
                <w:sz w:val="24"/>
              </w:rPr>
              <w:t>“购货单位（人）名称”为：陕西开放大学。</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按国家有关验收规范和验评标准，工程质量达到合格标准。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本工程施工图纸及工程量清单详见附件。</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企业法人提供经审计的2024年度的财务报告或提交磋商响应文件递交截止时间前十二个月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法定代表人参加磋商时，提供法定代表人证明书；授权代表参加磋商时，提供法定代表人授权书；非法人单位参照执行。</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提供磋商响应文件提交截止时间前十二个月内至少一个月已缴纳的纳税凭据或完税证明；依法免税的供应商应提供相关文件证明。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提供磋商响应文件截止时间前十二个月内已缴存的至少一个月的社会保障资金缴存单据或社保机构开具的社会保险参保缴费情况证明，依法不需要缴纳社会保障资金的单位应提供相关证明材料。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提供具有履行本合同所必需的设备和专业技术能力的承诺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工程资质</w:t>
            </w:r>
          </w:p>
        </w:tc>
        <w:tc>
          <w:tcPr>
            <w:tcW w:type="dxa" w:w="3322"/>
          </w:tcPr>
          <w:p>
            <w:pPr>
              <w:pStyle w:val="null3"/>
            </w:pPr>
            <w:r>
              <w:rPr>
                <w:rFonts w:ascii="仿宋_GB2312" w:hAnsi="仿宋_GB2312" w:cs="仿宋_GB2312" w:eastAsia="仿宋_GB2312"/>
              </w:rPr>
              <w:t>供应商须具有①建筑工程施工总承包三级（含三级）以上或建筑装修装饰工程专业承包二级（含二级）以上及有效的安全生产许可证。②拟派项目经理具有二级（含二级）以上注册建造师资格及有效的安全生产考核合格证B证，并提供未担任其他在建项目承诺。</w:t>
            </w:r>
          </w:p>
        </w:tc>
        <w:tc>
          <w:tcPr>
            <w:tcW w:type="dxa" w:w="1661"/>
          </w:tcPr>
          <w:p>
            <w:pPr>
              <w:pStyle w:val="null3"/>
            </w:pPr>
            <w:r>
              <w:rPr>
                <w:rFonts w:ascii="仿宋_GB2312" w:hAnsi="仿宋_GB2312" w:cs="仿宋_GB2312" w:eastAsia="仿宋_GB2312"/>
              </w:rPr>
              <w:t>满足政府采购法第二十二条证明材料.docx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报价不得超过公布的采购预算或最高限价</w:t>
            </w:r>
          </w:p>
        </w:tc>
        <w:tc>
          <w:tcPr>
            <w:tcW w:type="dxa" w:w="3322"/>
          </w:tcPr>
          <w:p>
            <w:pPr>
              <w:pStyle w:val="null3"/>
            </w:pPr>
            <w:r>
              <w:rPr>
                <w:rFonts w:ascii="仿宋_GB2312" w:hAnsi="仿宋_GB2312" w:cs="仿宋_GB2312" w:eastAsia="仿宋_GB2312"/>
              </w:rPr>
              <w:t>报价不得超过公布的采购预算或最高限价，否则响应文件作为无效处理。</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出现不符合法律、法规和竞争性磋商文件中规定的其他实质性要求的情况， 响应文件作为无效处理。</w:t>
            </w:r>
          </w:p>
        </w:tc>
        <w:tc>
          <w:tcPr>
            <w:tcW w:type="dxa" w:w="1661"/>
          </w:tcPr>
          <w:p>
            <w:pPr>
              <w:pStyle w:val="null3"/>
            </w:pPr>
            <w:r>
              <w:rPr>
                <w:rFonts w:ascii="仿宋_GB2312" w:hAnsi="仿宋_GB2312" w:cs="仿宋_GB2312" w:eastAsia="仿宋_GB2312"/>
              </w:rPr>
              <w:t>响应文件封面 技术服务合同条款及其他商务要求应答表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供应商根据采购单位的采购需求，针对本项目提供的实施方案进行综合评审，方案包含：①施工组织方案；②项目管理目标；③工期方案；④验收方案；⑤到场离场计划；⑥环境保护措施；⑦文明施工方案。 二、评审标准 完整性：方案必须全面，对评审内容中的各项要求有详细描述； 可实施性：切合本项目实际情况，提出步骤清晰、合理的方案； 针对性：方案能够紧扣项目实际情况，内容科学合理。 三、赋分标准（满分21分） ①施工组织方案：完全满足每个评审标准得1分，有瑕疵得0.5分，有缺陷得0分。满分3分。 ②项目管理目标：完全满足每个评审标准得1分，有瑕疵得0.5分，有缺陷得0分。满分3分。 ③工期方案：完全满足每个评审标准得1分，有瑕疵得0.5分，有缺陷得0分。满分3分。 ④验收方案：完全满足每个评审标准得1分，有瑕疵得0.5分，有缺陷得0分。满分3分。 ⑤到场离场计划：完全满足每个评审标准得1分，有瑕疵得0.5分，有缺陷得0分。满分3分。 ⑥环境保护措施：完全满足每个评审标准得1分，有瑕疵得0.5分，有缺陷得0分。满分3分。 ⑦文明施工方案：完全满足每个评审标准得1分，有瑕疵得0.5分，有缺陷得0分。满分3分。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供应商根据采购单位的采购需求，针对本项目提供的质量保证进行综合评审，方案包含：①质量控制措施；②施工材料设计；③主辅材料证书及报告（包括但不限于知名品牌证书、检测报告、产品质量证书、获奖证书等）；④施工保证措施。 二、评审标准 完整性：方案必须全面，对评审内容中的各项要求有详细描述； 可实施性：切合本项目实际情况，提出步骤清晰、合理的方案； 针对性：方案能够紧扣项目实际情况，内容科学合理。 三、赋分标准（满分12分） ①质量控制措施施工材料：完全满足每个评审标准得1分，有瑕疵得0.5分，有缺陷得0分。满分3分。 ②施工材料设计：完全满足每个评审标准得1分，有瑕疵得0.5分，有缺陷得0分。满分3分。 ③主辅材料（包括但不限于知名品牌证书、检测报告、产品质量证书、获奖等）：完全满足每个评审标准得1分，有瑕疵得0.5分，有缺陷得0分。满分3分。 ④施工保证措施：完全满足每个评审标准得1分，有瑕疵得0.5分，有缺陷得0分。满分3分。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安全生产措施</w:t>
            </w:r>
          </w:p>
        </w:tc>
        <w:tc>
          <w:tcPr>
            <w:tcW w:type="dxa" w:w="2492"/>
          </w:tcPr>
          <w:p>
            <w:pPr>
              <w:pStyle w:val="null3"/>
            </w:pPr>
            <w:r>
              <w:rPr>
                <w:rFonts w:ascii="仿宋_GB2312" w:hAnsi="仿宋_GB2312" w:cs="仿宋_GB2312" w:eastAsia="仿宋_GB2312"/>
              </w:rPr>
              <w:t>一、评审内容 供应商根据采购单位的采购需求，针对本项目提供的安全生产措施进行综合评审，方案包含：①安全管理措施；②安全生产目标。 二、评审标准 完整性：方案必须全面，对评审内容中的各项要求有详细描述； 可实施性：切合本项目实际情况，提出步骤清晰、合理的方案； 针对性：方案能够紧扣项目实际情况，内容科学合理。 三、赋分标准（满分6分） ①安全管理措施：完全满足每个评审标准得1分，有瑕疵得0.5分，有缺陷得0分。满分3分。 ②安全生产目标：完全满足每个评审标准得1分，有瑕疵得0.5分，有缺陷得0分。满分3分。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安全生产措施.docx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根据本项目实际需求及特点，制定人员方案，方案包括：①人员结构及职责（投入人员与施工进度匹配）；②人员基本情况介绍（包括但不限于个人概况、岗位、证书、工作经验等）。 二、评审标准 1.完整性：方案必须全面，对评审内容中的各项要求有详细描述； 2.可实施性：切合本项目实际情况，提出步骤清晰、合理的方案； 3.针对性：方案能够紧扣项目实际情况，内容科学合理。 三、赋分标准（满分6分） ①人员结构及职责：完全满足每个评审标准得1分，有瑕疵得0.5分，有缺陷得0分。满分3分。 ②人员基本情况介绍：完全满足每个评审标准得1分，有瑕疵得0.5分，有缺陷得0分。满分3分。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环保认证</w:t>
            </w:r>
          </w:p>
        </w:tc>
        <w:tc>
          <w:tcPr>
            <w:tcW w:type="dxa" w:w="2492"/>
          </w:tcPr>
          <w:p>
            <w:pPr>
              <w:pStyle w:val="null3"/>
            </w:pPr>
            <w:r>
              <w:rPr>
                <w:rFonts w:ascii="仿宋_GB2312" w:hAnsi="仿宋_GB2312" w:cs="仿宋_GB2312" w:eastAsia="仿宋_GB2312"/>
              </w:rPr>
              <w:t>根据供应商提供的施工材料中，具有国家确定的认证机构出具的、处于有效期内的环境标志产品认证证书赋分：每提供1项得0.5分，满分3分。无响应说明或未提供技术证明材料不得分。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环保证明材料.docx</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提供近三年供应商同类项目业绩,以合同为准，每份得2分，满分12分。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业绩证明材料.docx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根据项目实际需求，提供针对本项目的售后服务方案，方案内容包含①故障处理措施；②服务范围及响应时间。 二、评审标准 1.完整性：方案必须全面，对评审内容中的各项要求有详细描述； 2.可实施性：切合本项目实际情况，提出步骤清晰、合理的方案； 3.针对性：方案能够紧扣项目实际情况，内容科学合理。 三、赋分标准（满分6分） ①故障处理措施：完全满足每个评审标准得1分，有瑕疵扣0.5分，有缺陷得0分。满分3分。 ②服务范围及保响应时间:完全满足每个评审标准得1分，有瑕疵扣0.5分，有缺陷得0分。满分3分。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满足磋商文件要求不加分；每超过一年加1分，满分4分。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质保期.docx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分值计算方法：P=30×Pmin/ Pn 其中：Pmin：所有有效磋商的最终最低报价。 Pn：第n个供应商的最终报价。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详见附件：施工方案.docx</w:t>
      </w:r>
    </w:p>
    <w:p>
      <w:pPr>
        <w:pStyle w:val="null3"/>
        <w:ind w:firstLine="960"/>
      </w:pPr>
      <w:r>
        <w:rPr>
          <w:rFonts w:ascii="仿宋_GB2312" w:hAnsi="仿宋_GB2312" w:cs="仿宋_GB2312" w:eastAsia="仿宋_GB2312"/>
        </w:rPr>
        <w:t>详见附件：安全生产措施.docx</w:t>
      </w:r>
    </w:p>
    <w:p>
      <w:pPr>
        <w:pStyle w:val="null3"/>
        <w:ind w:firstLine="960"/>
      </w:pPr>
      <w:r>
        <w:rPr>
          <w:rFonts w:ascii="仿宋_GB2312" w:hAnsi="仿宋_GB2312" w:cs="仿宋_GB2312" w:eastAsia="仿宋_GB2312"/>
        </w:rPr>
        <w:t>详见附件：环保证明材料.docx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详见附件：质保期.docx</w:t>
      </w:r>
    </w:p>
    <w:p>
      <w:pPr>
        <w:pStyle w:val="null3"/>
        <w:ind w:firstLine="960"/>
      </w:pPr>
      <w:r>
        <w:rPr>
          <w:rFonts w:ascii="仿宋_GB2312" w:hAnsi="仿宋_GB2312" w:cs="仿宋_GB2312" w:eastAsia="仿宋_GB2312"/>
        </w:rPr>
        <w:t>详见附件：满足政府采购法第二十二条证明材料.docx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