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版本号：ZMZB2025GYDX-78R20250708001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外文数据库平台使用权采购项目(二次)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ZMZB2025GYDX-78R</w:t>
      </w:r>
      <w:r>
        <w:br/>
      </w:r>
      <w:r>
        <w:br/>
      </w:r>
      <w:r>
        <w:br/>
      </w:r>
    </w:p>
    <w:p>
      <w:pPr>
        <w:pStyle w:val="null3"/>
        <w:jc w:val="center"/>
        <w:outlineLvl w:val="5"/>
      </w:pPr>
      <w:r>
        <w:rPr>
          <w:rFonts w:ascii="仿宋_GB2312" w:hAnsi="仿宋_GB2312" w:cs="仿宋_GB2312" w:eastAsia="仿宋_GB2312"/>
          <w:sz w:val="15"/>
          <w:b/>
        </w:rPr>
        <w:t>西安工业大学</w:t>
      </w:r>
    </w:p>
    <w:p>
      <w:pPr>
        <w:pStyle w:val="null3"/>
        <w:jc w:val="center"/>
        <w:outlineLvl w:val="5"/>
      </w:pPr>
      <w:r>
        <w:rPr>
          <w:rFonts w:ascii="仿宋_GB2312" w:hAnsi="仿宋_GB2312" w:cs="仿宋_GB2312" w:eastAsia="仿宋_GB2312"/>
          <w:sz w:val="15"/>
          <w:b/>
        </w:rPr>
        <w:t>陕西卓佲项目管理有限公司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外文数据库平台使用权采购项目(二次)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ZMZB2025GYDX-78R</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外文数据库平台使用权采购项目(二次)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外文数据库采购项目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1、法定代表人授权委托书：非法定代表人参加投标的，须提供法定代表人委托授权书，法定代表人参加投标时,只须提供法定代表人证明书</w:t>
      </w:r>
    </w:p>
    <w:p>
      <w:pPr>
        <w:pStyle w:val="null3"/>
      </w:pPr>
      <w:r>
        <w:rPr>
          <w:rFonts w:ascii="仿宋_GB2312" w:hAnsi="仿宋_GB2312" w:cs="仿宋_GB2312" w:eastAsia="仿宋_GB2312"/>
        </w:rPr>
        <w:t>2、非联合体投标声明：本项目不接受联合体投标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董菊莉、黄乐、马魏臣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采购包1：2,700,000.00元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采购包1：2,700,000.00元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采购包1保证金金额：54,000.00元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采购项目成交金额的0.6%计取，由中标/成交单位一次性支付给代理机构。供应商将招标代理服务费计入投标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外文数据库采购项目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2,700,000.00</w:t>
      </w:r>
    </w:p>
    <w:p>
      <w:pPr>
        <w:pStyle w:val="null3"/>
      </w:pPr>
      <w:r>
        <w:rPr>
          <w:rFonts w:ascii="仿宋_GB2312" w:hAnsi="仿宋_GB2312" w:cs="仿宋_GB2312" w:eastAsia="仿宋_GB2312"/>
        </w:rPr>
        <w:t>采购包最高限价（元）: 2,700,000.00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西安工业大学外文数据库平台使用权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标的名称：西安工业大学外文数据库平台使用权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Science Direct数据库</w:t>
            </w:r>
            <w:r>
              <w:rPr>
                <w:rFonts w:ascii="仿宋_GB2312" w:hAnsi="仿宋_GB2312" w:cs="仿宋_GB2312" w:eastAsia="仿宋_GB2312"/>
              </w:rPr>
              <w:t>（最高限价：</w:t>
            </w:r>
            <w:r>
              <w:rPr>
                <w:rFonts w:ascii="仿宋_GB2312" w:hAnsi="仿宋_GB2312" w:cs="仿宋_GB2312" w:eastAsia="仿宋_GB2312"/>
              </w:rPr>
              <w:t>118万元）：</w:t>
            </w:r>
            <w:r>
              <w:rPr>
                <w:rFonts w:ascii="仿宋_GB2312" w:hAnsi="仿宋_GB2312" w:cs="仿宋_GB2312" w:eastAsia="仿宋_GB2312"/>
              </w:rPr>
              <w:t>Elsevier ScienceDirect（SD）多学科电子期刊数据库工程和材料两个学科专辑：</w:t>
            </w:r>
          </w:p>
          <w:p>
            <w:pPr>
              <w:pStyle w:val="null3"/>
              <w:jc w:val="both"/>
            </w:pPr>
            <w:r>
              <w:rPr>
                <w:rFonts w:ascii="仿宋_GB2312" w:hAnsi="仿宋_GB2312" w:cs="仿宋_GB2312" w:eastAsia="仿宋_GB2312"/>
                <w:sz w:val="21"/>
              </w:rPr>
              <w:t>Science Direct数据库</w:t>
            </w:r>
            <w:r>
              <w:rPr>
                <w:rFonts w:ascii="仿宋_GB2312" w:hAnsi="仿宋_GB2312" w:cs="仿宋_GB2312" w:eastAsia="仿宋_GB2312"/>
                <w:sz w:val="21"/>
              </w:rPr>
              <w:t>(SD):</w:t>
            </w:r>
            <w:r>
              <w:rPr>
                <w:rFonts w:ascii="仿宋_GB2312" w:hAnsi="仿宋_GB2312" w:cs="仿宋_GB2312" w:eastAsia="仿宋_GB2312"/>
                <w:sz w:val="21"/>
              </w:rPr>
              <w:t>2025年度使用权代理订购及付费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SCIE数据库</w:t>
            </w:r>
            <w:r>
              <w:rPr>
                <w:rFonts w:ascii="仿宋_GB2312" w:hAnsi="仿宋_GB2312" w:cs="仿宋_GB2312" w:eastAsia="仿宋_GB2312"/>
              </w:rPr>
              <w:t>（最高限价：</w:t>
            </w:r>
            <w:r>
              <w:rPr>
                <w:rFonts w:ascii="仿宋_GB2312" w:hAnsi="仿宋_GB2312" w:cs="仿宋_GB2312" w:eastAsia="仿宋_GB2312"/>
              </w:rPr>
              <w:t>60万元）</w:t>
            </w:r>
            <w:r>
              <w:rPr>
                <w:rFonts w:ascii="仿宋_GB2312" w:hAnsi="仿宋_GB2312" w:cs="仿宋_GB2312" w:eastAsia="仿宋_GB2312"/>
              </w:rPr>
              <w:t>Web</w:t>
            </w:r>
            <w:r>
              <w:rPr>
                <w:rFonts w:ascii="仿宋_GB2312" w:hAnsi="仿宋_GB2312" w:cs="仿宋_GB2312" w:eastAsia="仿宋_GB2312"/>
              </w:rPr>
              <w:t xml:space="preserve"> </w:t>
            </w:r>
            <w:r>
              <w:rPr>
                <w:rFonts w:ascii="仿宋_GB2312" w:hAnsi="仿宋_GB2312" w:cs="仿宋_GB2312" w:eastAsia="仿宋_GB2312"/>
              </w:rPr>
              <w:t>of</w:t>
            </w:r>
            <w:r>
              <w:rPr>
                <w:rFonts w:ascii="仿宋_GB2312" w:hAnsi="仿宋_GB2312" w:cs="仿宋_GB2312" w:eastAsia="仿宋_GB2312"/>
              </w:rPr>
              <w:t xml:space="preserve"> </w:t>
            </w:r>
            <w:r>
              <w:rPr>
                <w:rFonts w:ascii="仿宋_GB2312" w:hAnsi="仿宋_GB2312" w:cs="仿宋_GB2312" w:eastAsia="仿宋_GB2312"/>
              </w:rPr>
              <w:t>Science-Science Citation Index Expanded</w:t>
            </w:r>
          </w:p>
          <w:p>
            <w:pPr>
              <w:pStyle w:val="null3"/>
              <w:jc w:val="both"/>
            </w:pPr>
            <w:r>
              <w:rPr>
                <w:rFonts w:ascii="仿宋_GB2312" w:hAnsi="仿宋_GB2312" w:cs="仿宋_GB2312" w:eastAsia="仿宋_GB2312"/>
                <w:sz w:val="21"/>
              </w:rPr>
              <w:t>SCIE：2025年度使用权代理订购及付费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Wiley科学技术学科分库全文</w:t>
            </w:r>
            <w:r>
              <w:rPr>
                <w:rFonts w:ascii="仿宋_GB2312" w:hAnsi="仿宋_GB2312" w:cs="仿宋_GB2312" w:eastAsia="仿宋_GB2312"/>
                <w:sz w:val="21"/>
              </w:rPr>
              <w:t>（最高限价：</w:t>
            </w:r>
            <w:r>
              <w:rPr>
                <w:rFonts w:ascii="仿宋_GB2312" w:hAnsi="仿宋_GB2312" w:cs="仿宋_GB2312" w:eastAsia="仿宋_GB2312"/>
                <w:sz w:val="21"/>
              </w:rPr>
              <w:t>46万元）</w:t>
            </w:r>
            <w:r>
              <w:rPr>
                <w:rFonts w:ascii="仿宋_GB2312" w:hAnsi="仿宋_GB2312" w:cs="仿宋_GB2312" w:eastAsia="仿宋_GB2312"/>
                <w:sz w:val="21"/>
              </w:rPr>
              <w:t>Wiley</w:t>
            </w:r>
            <w:r>
              <w:rPr>
                <w:rFonts w:ascii="仿宋_GB2312" w:hAnsi="仿宋_GB2312" w:cs="仿宋_GB2312" w:eastAsia="仿宋_GB2312"/>
                <w:sz w:val="21"/>
              </w:rPr>
              <w:t xml:space="preserve"> </w:t>
            </w:r>
            <w:r>
              <w:rPr>
                <w:rFonts w:ascii="仿宋_GB2312" w:hAnsi="仿宋_GB2312" w:cs="仿宋_GB2312" w:eastAsia="仿宋_GB2312"/>
                <w:sz w:val="21"/>
              </w:rPr>
              <w:t>2025年度使用权代理订购及付费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Emerald 管理学全集期刊</w:t>
            </w:r>
            <w:r>
              <w:rPr>
                <w:rFonts w:ascii="仿宋_GB2312" w:hAnsi="仿宋_GB2312" w:cs="仿宋_GB2312" w:eastAsia="仿宋_GB2312"/>
                <w:sz w:val="21"/>
              </w:rPr>
              <w:t>（最高限价：</w:t>
            </w:r>
            <w:r>
              <w:rPr>
                <w:rFonts w:ascii="仿宋_GB2312" w:hAnsi="仿宋_GB2312" w:cs="仿宋_GB2312" w:eastAsia="仿宋_GB2312"/>
                <w:sz w:val="21"/>
              </w:rPr>
              <w:t>19万元）</w:t>
            </w:r>
            <w:r>
              <w:rPr>
                <w:rFonts w:ascii="仿宋_GB2312" w:hAnsi="仿宋_GB2312" w:cs="仿宋_GB2312" w:eastAsia="仿宋_GB2312"/>
                <w:sz w:val="21"/>
              </w:rPr>
              <w:t>Emerald</w:t>
            </w:r>
            <w:r>
              <w:rPr>
                <w:rFonts w:ascii="仿宋_GB2312" w:hAnsi="仿宋_GB2312" w:cs="仿宋_GB2312" w:eastAsia="仿宋_GB2312"/>
                <w:sz w:val="21"/>
              </w:rPr>
              <w:t>:</w:t>
            </w:r>
            <w:r>
              <w:rPr>
                <w:rFonts w:ascii="仿宋_GB2312" w:hAnsi="仿宋_GB2312" w:cs="仿宋_GB2312" w:eastAsia="仿宋_GB2312"/>
                <w:sz w:val="21"/>
              </w:rPr>
              <w:t>2025年度使用权代理订购及付费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EI数据库</w:t>
            </w:r>
            <w:r>
              <w:rPr>
                <w:rFonts w:ascii="仿宋_GB2312" w:hAnsi="仿宋_GB2312" w:cs="仿宋_GB2312" w:eastAsia="仿宋_GB2312"/>
              </w:rPr>
              <w:t>（最高限价：</w:t>
            </w:r>
            <w:r>
              <w:rPr>
                <w:rFonts w:ascii="仿宋_GB2312" w:hAnsi="仿宋_GB2312" w:cs="仿宋_GB2312" w:eastAsia="仿宋_GB2312"/>
              </w:rPr>
              <w:t>27万元）</w:t>
            </w:r>
          </w:p>
          <w:p>
            <w:pPr>
              <w:pStyle w:val="null3"/>
              <w:jc w:val="both"/>
            </w:pPr>
            <w:r>
              <w:rPr>
                <w:rFonts w:ascii="仿宋_GB2312" w:hAnsi="仿宋_GB2312" w:cs="仿宋_GB2312" w:eastAsia="仿宋_GB2312"/>
                <w:sz w:val="21"/>
              </w:rPr>
              <w:t>Ei Village（EI）</w:t>
            </w:r>
            <w:r>
              <w:rPr>
                <w:rFonts w:ascii="仿宋_GB2312" w:hAnsi="仿宋_GB2312" w:cs="仿宋_GB2312" w:eastAsia="仿宋_GB2312"/>
                <w:sz w:val="21"/>
              </w:rPr>
              <w:t>:</w:t>
            </w:r>
            <w:r>
              <w:rPr>
                <w:rFonts w:ascii="仿宋_GB2312" w:hAnsi="仿宋_GB2312" w:cs="仿宋_GB2312" w:eastAsia="仿宋_GB2312"/>
                <w:sz w:val="21"/>
              </w:rPr>
              <w:t>2025年度使用权代理订购及付费</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color w:val="000000"/>
              </w:rPr>
              <w:t>服务要求：</w:t>
            </w:r>
          </w:p>
          <w:p>
            <w:pPr>
              <w:pStyle w:val="null3"/>
              <w:jc w:val="both"/>
            </w:pPr>
            <w:r>
              <w:rPr>
                <w:rFonts w:ascii="仿宋_GB2312" w:hAnsi="仿宋_GB2312" w:cs="仿宋_GB2312" w:eastAsia="仿宋_GB2312"/>
                <w:color w:val="000000"/>
              </w:rPr>
              <w:t>1、乙方承诺数据库内容采用包库的访问方式。甲方读者可通过内部局域网或外网认证使用；通过互联网访问，IP 地址授权访问，无并发用户限制、不限检索次数，提供全天24 小时网络服务。</w:t>
            </w:r>
          </w:p>
          <w:p>
            <w:pPr>
              <w:pStyle w:val="null3"/>
              <w:jc w:val="both"/>
            </w:pPr>
            <w:r>
              <w:rPr>
                <w:rFonts w:ascii="仿宋_GB2312" w:hAnsi="仿宋_GB2312" w:cs="仿宋_GB2312" w:eastAsia="仿宋_GB2312"/>
                <w:color w:val="000000"/>
              </w:rPr>
              <w:t>2、乙方保证已妥善解决好所有资源的版权问题，如因版权等任何知识产权问题引起一切纠纷，乙方承担全部责任，造成甲方损失的应予以全部赔偿。</w:t>
            </w:r>
          </w:p>
          <w:p>
            <w:pPr>
              <w:pStyle w:val="null3"/>
              <w:jc w:val="both"/>
            </w:pPr>
            <w:r>
              <w:rPr>
                <w:rFonts w:ascii="仿宋_GB2312" w:hAnsi="仿宋_GB2312" w:cs="仿宋_GB2312" w:eastAsia="仿宋_GB2312"/>
                <w:color w:val="000000"/>
              </w:rPr>
              <w:t>3、乙方保证甲方所购买数据库的有效性和合法性，并为甲方提供和安装当前最新的数据库版本。</w:t>
            </w:r>
          </w:p>
          <w:p>
            <w:pPr>
              <w:pStyle w:val="null3"/>
              <w:jc w:val="both"/>
            </w:pPr>
            <w:r>
              <w:rPr>
                <w:rFonts w:ascii="仿宋_GB2312" w:hAnsi="仿宋_GB2312" w:cs="仿宋_GB2312" w:eastAsia="仿宋_GB2312"/>
                <w:color w:val="000000"/>
              </w:rPr>
              <w:t>4、乙方提供每月一次回访，了解甲方所购买数据库的使用情况并解答疑难问题，负责数据库的免费维护，乙方协助甲方联系出版商提供系统维护、读者使用情况统计等服务。</w:t>
            </w:r>
          </w:p>
          <w:p>
            <w:pPr>
              <w:pStyle w:val="null3"/>
              <w:jc w:val="both"/>
            </w:pPr>
            <w:r>
              <w:rPr>
                <w:rFonts w:ascii="仿宋_GB2312" w:hAnsi="仿宋_GB2312" w:cs="仿宋_GB2312" w:eastAsia="仿宋_GB2312"/>
                <w:color w:val="000000"/>
              </w:rPr>
              <w:t>5、免费提供培训及业务讲座等活动</w:t>
            </w:r>
          </w:p>
          <w:p>
            <w:pPr>
              <w:pStyle w:val="null3"/>
              <w:jc w:val="both"/>
            </w:pPr>
            <w:r>
              <w:rPr>
                <w:rFonts w:ascii="仿宋_GB2312" w:hAnsi="仿宋_GB2312" w:cs="仿宋_GB2312" w:eastAsia="仿宋_GB2312"/>
                <w:color w:val="000000"/>
              </w:rPr>
              <w:t>（</w:t>
            </w:r>
            <w:r>
              <w:rPr>
                <w:rFonts w:ascii="仿宋_GB2312" w:hAnsi="仿宋_GB2312" w:cs="仿宋_GB2312" w:eastAsia="仿宋_GB2312"/>
                <w:color w:val="000000"/>
              </w:rPr>
              <w:t>1）培训方式：面授、在线或甲方要求的其它方式。</w:t>
            </w:r>
          </w:p>
          <w:p>
            <w:pPr>
              <w:pStyle w:val="null3"/>
              <w:jc w:val="both"/>
            </w:pPr>
            <w:r>
              <w:rPr>
                <w:rFonts w:ascii="仿宋_GB2312" w:hAnsi="仿宋_GB2312" w:cs="仿宋_GB2312" w:eastAsia="仿宋_GB2312"/>
                <w:color w:val="000000"/>
              </w:rPr>
              <w:t>（</w:t>
            </w:r>
            <w:r>
              <w:rPr>
                <w:rFonts w:ascii="仿宋_GB2312" w:hAnsi="仿宋_GB2312" w:cs="仿宋_GB2312" w:eastAsia="仿宋_GB2312"/>
                <w:color w:val="000000"/>
              </w:rPr>
              <w:t>2）培训地点：根据甲方所需，由甲方指定。</w:t>
            </w:r>
          </w:p>
          <w:p>
            <w:pPr>
              <w:pStyle w:val="null3"/>
              <w:jc w:val="both"/>
            </w:pPr>
            <w:r>
              <w:rPr>
                <w:rFonts w:ascii="仿宋_GB2312" w:hAnsi="仿宋_GB2312" w:cs="仿宋_GB2312" w:eastAsia="仿宋_GB2312"/>
                <w:color w:val="000000"/>
              </w:rPr>
              <w:t>（</w:t>
            </w:r>
            <w:r>
              <w:rPr>
                <w:rFonts w:ascii="仿宋_GB2312" w:hAnsi="仿宋_GB2312" w:cs="仿宋_GB2312" w:eastAsia="仿宋_GB2312"/>
                <w:color w:val="000000"/>
              </w:rPr>
              <w:t>3）培训次数：每年不少于</w:t>
            </w:r>
            <w:r>
              <w:rPr>
                <w:rFonts w:ascii="仿宋_GB2312" w:hAnsi="仿宋_GB2312" w:cs="仿宋_GB2312" w:eastAsia="仿宋_GB2312"/>
                <w:color w:val="000000"/>
              </w:rPr>
              <w:t>2</w:t>
            </w:r>
            <w:r>
              <w:rPr>
                <w:rFonts w:ascii="仿宋_GB2312" w:hAnsi="仿宋_GB2312" w:cs="仿宋_GB2312" w:eastAsia="仿宋_GB2312"/>
                <w:color w:val="000000"/>
              </w:rPr>
              <w:t>次或根据甲方所需，免费提供培训课件。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4）培训人员：符合甲方要求专业的培训讲师。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西安工业大学IP范围服务</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项目验收合格后，支付前乙方需提供全额增值税普通发票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纸质版投标文件，正本壹份、副本贰份。若线上电子投标文件与纸质投标文件不一致的，以线上电子投标文件为准；若正本和副本不符，以正本为准。线下递交文件截止时间:详见本项目招标公告文件递交截止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证明文件：1、具有独立承担民事责任能力的法人、其他组织或自然人：提供合法有效的统一社会信用代码营业执照（事业单位提供事业单位法人证书，自然人应提供身份证） 2、财务状况证明：供应商提供2023年度或2024年度完整的财务审计报告（成立时间至提交响应文件截止时间不足一年的可提供成立后任意时段的资产负债表），或其开标前三个月内银行出具的资信证明，或财政部门认可的政府采购专业担保机构出具的投标担保函 3、税收缴纳证明：提供2024年6月以来任意时间段的依法缴纳税收的相关凭据（时间以税款所属日期为准），凭据应有税务机关或代收机关的公章或业务专用章。依法免税或无须缴纳税收的供应商应提供相应证明文件 4、社会保障资金缴纳证明：提供2024年6月以来任意时间段的社会保障资金缴存单据或社保机构开具的社会保险参保缴费情况证明。依法不需要缴纳社会保障资金的供应商应提供相关文件证明 5、具有履行合同所必需的设备和专业技术能力的书面声明：具有履行合同所必需的设备和专业技术能力的书面声明 6、无重大违法记录声明：参加政府采购活动前3年内在经营活动中没有重大违法记录的书面声明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供应商资格要求文件.docx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非法定代表人参加投标的，须提供法定代表人委托授权书，法定代表人参加投标时,只须提供法定代表人证明书</w:t>
            </w:r>
          </w:p>
        </w:tc>
        <w:tc>
          <w:tcPr>
            <w:tcW w:type="dxa" w:w="1661"/>
          </w:tcPr>
          <w:p>
            <w:pPr>
              <w:pStyle w:val="null3"/>
            </w:pPr>
            <w:r>
              <w:rPr>
                <w:rFonts w:ascii="仿宋_GB2312" w:hAnsi="仿宋_GB2312" w:cs="仿宋_GB2312" w:eastAsia="仿宋_GB2312"/>
              </w:rPr>
              <w:t>响应文件封面 供应商资格要求文件.docx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响应文件封面 供应商资格要求文件.docx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响应报价未超过采购预算或者最高限价(合格)，响应报价超过采购预算或者最高限价(不合格)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响应文件服务期限符合采购文件要求的（合格），响应文件服务期限不符合采购文件要求的（不合格）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响应文件响应有效期达到采购文件要求的（合格），响应文件无响应有效期或响应有效期达不到采购文件要求的（不合格）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响应文件的签署、盖章符合采购文件要求(合格)，响应文件的签署、盖章不符合采购文件要求 (不合格)</w:t>
            </w:r>
          </w:p>
        </w:tc>
        <w:tc>
          <w:tcPr>
            <w:tcW w:type="dxa" w:w="1661"/>
          </w:tcPr>
          <w:p>
            <w:pPr>
              <w:pStyle w:val="null3"/>
            </w:pPr>
            <w:r>
              <w:rPr>
                <w:rFonts w:ascii="仿宋_GB2312" w:hAnsi="仿宋_GB2312" w:cs="仿宋_GB2312" w:eastAsia="仿宋_GB2312"/>
              </w:rPr>
              <w:t>服务内容及服务邀请应答表 商务应答表 响应函 供应商资格要求文件.docx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详见附件：服务合同模板.docx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