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B06E6">
      <w:pPr>
        <w:pStyle w:val="2"/>
        <w:keepNext/>
        <w:keepLines/>
        <w:pageBreakBefore/>
        <w:widowControl w:val="0"/>
        <w:numPr>
          <w:ilvl w:val="0"/>
          <w:numId w:val="0"/>
        </w:numPr>
        <w:kinsoku/>
        <w:wordWrap/>
        <w:overflowPunct/>
        <w:topLinePunct w:val="0"/>
        <w:autoSpaceDE/>
        <w:autoSpaceDN/>
        <w:bidi w:val="0"/>
        <w:adjustRightInd/>
        <w:snapToGrid/>
        <w:jc w:val="center"/>
        <w:textAlignment w:val="auto"/>
        <w:rPr>
          <w:rFonts w:hint="eastAsia"/>
          <w:color w:val="auto"/>
          <w:highlight w:val="none"/>
        </w:rPr>
      </w:pPr>
      <w:r>
        <w:rPr>
          <w:rFonts w:hint="eastAsia"/>
          <w:color w:val="auto"/>
          <w:highlight w:val="none"/>
        </w:rPr>
        <w:t>政府采购合同格式</w:t>
      </w:r>
    </w:p>
    <w:p w14:paraId="2164A75C">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合同编号： </w:t>
      </w:r>
    </w:p>
    <w:p w14:paraId="43C8D52D">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签订地点： </w:t>
      </w:r>
    </w:p>
    <w:p w14:paraId="57832674">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签订时间:</w:t>
      </w:r>
    </w:p>
    <w:p w14:paraId="0B7EFA5A">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采购人（甲方）：</w:t>
      </w:r>
    </w:p>
    <w:p w14:paraId="6E3E5507">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供应商（乙方）：</w:t>
      </w:r>
    </w:p>
    <w:p w14:paraId="09008676">
      <w:pPr>
        <w:pStyle w:val="8"/>
        <w:ind w:firstLine="562"/>
        <w:rPr>
          <w:rFonts w:hint="eastAsia" w:ascii="仿宋_GB2312" w:hAnsi="宋体" w:eastAsia="仿宋_GB2312"/>
          <w:b/>
          <w:color w:val="auto"/>
          <w:sz w:val="28"/>
          <w:szCs w:val="28"/>
          <w:highlight w:val="none"/>
        </w:rPr>
      </w:pPr>
    </w:p>
    <w:p w14:paraId="50F6A718">
      <w:pPr>
        <w:pStyle w:val="8"/>
        <w:spacing w:before="120" w:beforeLines="50"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根据《中华人民共和国政府采购法》及实施条例、《中华人民共和国民法典》和甲方</w:t>
      </w:r>
      <w:r>
        <w:rPr>
          <w:rFonts w:hint="eastAsia" w:ascii="宋体" w:hAnsi="宋体"/>
          <w:color w:val="auto"/>
          <w:sz w:val="21"/>
          <w:szCs w:val="21"/>
          <w:highlight w:val="none"/>
          <w:u w:val="single"/>
        </w:rPr>
        <w:t>陕西省地下水环境监管平台二期项目</w:t>
      </w:r>
      <w:r>
        <w:rPr>
          <w:rFonts w:hint="eastAsia" w:ascii="宋体" w:hAnsi="宋体"/>
          <w:color w:val="auto"/>
          <w:sz w:val="21"/>
          <w:szCs w:val="21"/>
          <w:highlight w:val="none"/>
          <w:u w:val="single"/>
          <w:lang w:val="en-US" w:eastAsia="zh-CN"/>
        </w:rPr>
        <w:t xml:space="preserve">合同包二    </w:t>
      </w:r>
      <w:r>
        <w:rPr>
          <w:rFonts w:hint="eastAsia" w:ascii="宋体" w:hAnsi="宋体"/>
          <w:color w:val="auto"/>
          <w:sz w:val="21"/>
          <w:szCs w:val="21"/>
          <w:highlight w:val="none"/>
        </w:rPr>
        <w:t>（采购项目编号：</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）的采购文件、</w:t>
      </w:r>
      <w:r>
        <w:rPr>
          <w:rFonts w:hint="eastAsia" w:ascii="宋体" w:hAnsi="宋体"/>
          <w:color w:val="auto"/>
          <w:sz w:val="21"/>
          <w:szCs w:val="21"/>
          <w:highlight w:val="none"/>
          <w:lang w:val="en-US" w:eastAsia="zh-CN"/>
        </w:rPr>
        <w:t>投标</w:t>
      </w:r>
      <w:r>
        <w:rPr>
          <w:rFonts w:hint="eastAsia" w:ascii="宋体" w:hAnsi="宋体"/>
          <w:color w:val="auto"/>
          <w:sz w:val="21"/>
          <w:szCs w:val="21"/>
          <w:highlight w:val="none"/>
        </w:rPr>
        <w:t>文件等有关规定，为确保甲方采购项目的顺利实施，甲、乙双方在平等自愿原则下签订本合同，并共同遵守如下条款：</w:t>
      </w:r>
    </w:p>
    <w:p w14:paraId="6E33F0BB">
      <w:pPr>
        <w:numPr>
          <w:ilvl w:val="0"/>
          <w:numId w:val="0"/>
        </w:numPr>
        <w:tabs>
          <w:tab w:val="left" w:pos="1379"/>
        </w:tabs>
        <w:spacing w:before="120" w:beforeLines="50" w:after="120" w:afterLines="50" w:line="360" w:lineRule="auto"/>
        <w:ind w:left="1519" w:leftChars="0" w:hanging="1094" w:firstLineChars="0"/>
        <w:rPr>
          <w:rFonts w:hint="eastAsia" w:ascii="宋体" w:hAnsi="宋体"/>
          <w:b/>
          <w:color w:val="auto"/>
          <w:sz w:val="30"/>
          <w:szCs w:val="30"/>
          <w:highlight w:val="none"/>
        </w:rPr>
      </w:pPr>
      <w:r>
        <w:rPr>
          <w:rFonts w:hint="eastAsia" w:ascii="宋体" w:hAnsi="宋体" w:eastAsia="宋体" w:cs="Times New Roman"/>
          <w:b/>
          <w:color w:val="auto"/>
          <w:kern w:val="2"/>
          <w:sz w:val="30"/>
          <w:szCs w:val="30"/>
          <w:lang w:val="en-US" w:eastAsia="zh-CN" w:bidi="ar-SA"/>
        </w:rPr>
        <w:t>第一条</w:t>
      </w:r>
      <w:r>
        <w:rPr>
          <w:rFonts w:hint="eastAsia" w:ascii="宋体" w:hAnsi="宋体"/>
          <w:b/>
          <w:color w:val="auto"/>
          <w:sz w:val="30"/>
          <w:szCs w:val="30"/>
          <w:highlight w:val="none"/>
        </w:rPr>
        <w:t>项目基本情况</w:t>
      </w:r>
    </w:p>
    <w:p w14:paraId="042179E3">
      <w:pPr>
        <w:spacing w:line="360" w:lineRule="auto"/>
        <w:ind w:left="567"/>
        <w:rPr>
          <w:rFonts w:hint="eastAsia" w:ascii="宋体" w:hAnsi="宋体" w:eastAsia="宋体"/>
          <w:b/>
          <w:color w:val="auto"/>
          <w:szCs w:val="21"/>
          <w:highlight w:val="none"/>
          <w:lang w:val="en-US" w:eastAsia="zh-CN"/>
        </w:rPr>
      </w:pPr>
      <w:r>
        <w:rPr>
          <w:rFonts w:hint="eastAsia" w:ascii="宋体" w:hAnsi="宋体"/>
          <w:color w:val="auto"/>
          <w:szCs w:val="21"/>
          <w:highlight w:val="none"/>
        </w:rPr>
        <w:t>1.XXXX；</w:t>
      </w:r>
    </w:p>
    <w:p w14:paraId="2C4CC853">
      <w:pPr>
        <w:numPr>
          <w:ilvl w:val="0"/>
          <w:numId w:val="0"/>
        </w:numPr>
        <w:tabs>
          <w:tab w:val="left" w:pos="1379"/>
        </w:tabs>
        <w:spacing w:before="120" w:beforeLines="50" w:after="120" w:afterLines="50" w:line="360" w:lineRule="auto"/>
        <w:ind w:left="1519" w:leftChars="0" w:hanging="1094" w:firstLineChars="0"/>
        <w:rPr>
          <w:rFonts w:ascii="宋体" w:hAnsi="宋体"/>
          <w:b/>
          <w:color w:val="auto"/>
          <w:sz w:val="30"/>
          <w:szCs w:val="30"/>
          <w:highlight w:val="none"/>
        </w:rPr>
      </w:pPr>
      <w:r>
        <w:rPr>
          <w:rFonts w:hint="eastAsia" w:ascii="宋体" w:hAnsi="宋体" w:eastAsia="宋体" w:cs="Times New Roman"/>
          <w:b/>
          <w:color w:val="auto"/>
          <w:kern w:val="2"/>
          <w:sz w:val="30"/>
          <w:szCs w:val="30"/>
          <w:lang w:val="en-US" w:eastAsia="zh-CN" w:bidi="ar-SA"/>
        </w:rPr>
        <w:t>第二条</w:t>
      </w:r>
      <w:r>
        <w:rPr>
          <w:rFonts w:hint="eastAsia" w:ascii="宋体" w:hAnsi="宋体"/>
          <w:b/>
          <w:color w:val="auto"/>
          <w:sz w:val="30"/>
          <w:szCs w:val="30"/>
          <w:highlight w:val="none"/>
        </w:rPr>
        <w:t>合同期限</w:t>
      </w:r>
    </w:p>
    <w:p w14:paraId="1385EAD8">
      <w:pPr>
        <w:spacing w:line="360" w:lineRule="auto"/>
        <w:ind w:firstLine="420" w:firstLineChars="200"/>
        <w:rPr>
          <w:rFonts w:hint="eastAsia" w:ascii="宋体" w:hAnsi="宋体"/>
          <w:color w:val="auto"/>
          <w:szCs w:val="21"/>
          <w:highlight w:val="none"/>
          <w:u w:val="single"/>
          <w:lang w:val="en-US" w:eastAsia="zh-CN"/>
        </w:rPr>
      </w:pPr>
      <w:r>
        <w:rPr>
          <w:rFonts w:hint="eastAsia" w:ascii="宋体" w:hAnsi="宋体"/>
          <w:color w:val="auto"/>
          <w:szCs w:val="21"/>
          <w:highlight w:val="none"/>
          <w:lang w:val="en-US" w:eastAsia="zh-CN"/>
        </w:rPr>
        <w:t>合同履行期限：</w:t>
      </w:r>
      <w:r>
        <w:rPr>
          <w:rFonts w:hint="eastAsia" w:ascii="宋体" w:hAnsi="宋体"/>
          <w:color w:val="auto"/>
          <w:szCs w:val="21"/>
          <w:highlight w:val="none"/>
          <w:u w:val="single"/>
          <w:lang w:val="en-US" w:eastAsia="zh-CN"/>
        </w:rPr>
        <w:t xml:space="preserve">                </w:t>
      </w:r>
    </w:p>
    <w:p w14:paraId="1A32B362">
      <w:pPr>
        <w:numPr>
          <w:ilvl w:val="0"/>
          <w:numId w:val="0"/>
        </w:numPr>
        <w:tabs>
          <w:tab w:val="left" w:pos="1379"/>
        </w:tabs>
        <w:spacing w:before="120" w:beforeLines="50" w:after="120" w:afterLines="50" w:line="360" w:lineRule="auto"/>
        <w:ind w:left="1519" w:leftChars="0" w:hanging="1094" w:firstLineChars="0"/>
        <w:rPr>
          <w:rFonts w:hint="eastAsia" w:ascii="宋体" w:hAnsi="宋体"/>
          <w:b/>
          <w:color w:val="auto"/>
          <w:sz w:val="30"/>
          <w:szCs w:val="30"/>
          <w:highlight w:val="none"/>
        </w:rPr>
      </w:pPr>
      <w:bookmarkStart w:id="0" w:name="_Toc282696226"/>
      <w:bookmarkStart w:id="1" w:name="_Toc238984975"/>
      <w:bookmarkStart w:id="2" w:name="_Toc283019214"/>
      <w:bookmarkStart w:id="3" w:name="_Toc211911348"/>
      <w:bookmarkStart w:id="4" w:name="_Toc185395249"/>
      <w:bookmarkStart w:id="5" w:name="_Toc237145406"/>
      <w:bookmarkStart w:id="6" w:name="_Toc241833903"/>
      <w:bookmarkStart w:id="7" w:name="_Toc286993786"/>
      <w:bookmarkStart w:id="8" w:name="_Toc247334841"/>
      <w:bookmarkStart w:id="9" w:name="_Toc251768862"/>
      <w:bookmarkStart w:id="10" w:name="_Toc239568418"/>
      <w:bookmarkStart w:id="11" w:name="_Toc225654644"/>
      <w:bookmarkStart w:id="12" w:name="_Toc225670751"/>
      <w:bookmarkStart w:id="13" w:name="_Toc232492928"/>
      <w:bookmarkStart w:id="14" w:name="_Toc239233914"/>
      <w:bookmarkStart w:id="15" w:name="_Toc211854449"/>
      <w:bookmarkStart w:id="16" w:name="_Toc225244852"/>
      <w:bookmarkStart w:id="17" w:name="_Toc212019594"/>
      <w:r>
        <w:rPr>
          <w:rFonts w:hint="eastAsia" w:ascii="宋体" w:hAnsi="宋体" w:eastAsia="宋体" w:cs="Times New Roman"/>
          <w:b/>
          <w:color w:val="auto"/>
          <w:kern w:val="2"/>
          <w:sz w:val="30"/>
          <w:szCs w:val="30"/>
          <w:lang w:val="en-US" w:eastAsia="zh-CN" w:bidi="ar-SA"/>
        </w:rPr>
        <w:t>第三条</w:t>
      </w:r>
      <w:r>
        <w:rPr>
          <w:rFonts w:hint="eastAsia" w:ascii="宋体" w:hAnsi="宋体"/>
          <w:b/>
          <w:color w:val="auto"/>
          <w:sz w:val="30"/>
          <w:szCs w:val="30"/>
          <w:highlight w:val="none"/>
        </w:rPr>
        <w:t>服务内容与质量标准</w:t>
      </w:r>
    </w:p>
    <w:p w14:paraId="105E1596">
      <w:pPr>
        <w:spacing w:line="360" w:lineRule="auto"/>
        <w:ind w:left="567"/>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服务内容：</w:t>
      </w:r>
    </w:p>
    <w:p w14:paraId="6290194D">
      <w:pPr>
        <w:spacing w:line="360" w:lineRule="auto"/>
        <w:ind w:left="567"/>
        <w:rPr>
          <w:rFonts w:hint="eastAsia" w:ascii="宋体" w:hAnsi="宋体"/>
          <w:color w:val="auto"/>
          <w:szCs w:val="21"/>
          <w:highlight w:val="none"/>
        </w:rPr>
      </w:pPr>
      <w:r>
        <w:rPr>
          <w:rFonts w:hint="eastAsia" w:ascii="宋体" w:hAnsi="宋体"/>
          <w:color w:val="auto"/>
          <w:szCs w:val="21"/>
          <w:highlight w:val="none"/>
        </w:rPr>
        <w:t>1.XXXX；</w:t>
      </w:r>
    </w:p>
    <w:p w14:paraId="450F99DD">
      <w:pPr>
        <w:spacing w:line="360" w:lineRule="auto"/>
        <w:ind w:left="567"/>
        <w:rPr>
          <w:rFonts w:hint="eastAsia" w:ascii="宋体" w:hAnsi="宋体"/>
          <w:color w:val="auto"/>
          <w:szCs w:val="21"/>
          <w:highlight w:val="none"/>
        </w:rPr>
      </w:pPr>
      <w:r>
        <w:rPr>
          <w:rFonts w:hint="eastAsia" w:ascii="宋体" w:hAnsi="宋体"/>
          <w:color w:val="auto"/>
          <w:szCs w:val="21"/>
          <w:highlight w:val="none"/>
        </w:rPr>
        <w:t>2.XXXX；</w:t>
      </w:r>
    </w:p>
    <w:p w14:paraId="375506A8">
      <w:pPr>
        <w:spacing w:line="360" w:lineRule="auto"/>
        <w:ind w:left="567"/>
        <w:rPr>
          <w:rFonts w:hint="eastAsia" w:ascii="宋体" w:hAnsi="宋体"/>
          <w:color w:val="auto"/>
          <w:szCs w:val="21"/>
          <w:highlight w:val="none"/>
        </w:rPr>
      </w:pPr>
      <w:r>
        <w:rPr>
          <w:rFonts w:hint="eastAsia" w:ascii="宋体" w:hAnsi="宋体"/>
          <w:color w:val="auto"/>
          <w:szCs w:val="21"/>
          <w:highlight w:val="none"/>
        </w:rPr>
        <w:t>3.XXXX．</w:t>
      </w:r>
    </w:p>
    <w:p w14:paraId="7B486492">
      <w:pPr>
        <w:pStyle w:val="8"/>
        <w:spacing w:before="120" w:beforeLines="50" w:line="360" w:lineRule="auto"/>
        <w:ind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质量标准</w:t>
      </w:r>
      <w:r>
        <w:rPr>
          <w:rFonts w:hint="eastAsia" w:ascii="宋体" w:hAnsi="宋体" w:eastAsia="宋体" w:cs="宋体"/>
          <w:color w:val="auto"/>
          <w:sz w:val="21"/>
          <w:szCs w:val="21"/>
          <w:highlight w:val="none"/>
          <w:lang w:eastAsia="zh-CN"/>
        </w:rPr>
        <w:t>：</w:t>
      </w:r>
    </w:p>
    <w:p w14:paraId="165305D8">
      <w:pPr>
        <w:pStyle w:val="8"/>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1.乙方须提供全新的、未使用过的合格正品货物（含零部件、配件等），完全符合合同规定的质量、规格和性能的要求。</w:t>
      </w:r>
    </w:p>
    <w:p w14:paraId="49A5A3EA">
      <w:pPr>
        <w:pStyle w:val="8"/>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.质量标准按照最新颁布的国家标准、行业标准或制造商企业标准确定，上述标准不一致的，以严格标准为准。</w:t>
      </w:r>
    </w:p>
    <w:p w14:paraId="01AB8906">
      <w:pPr>
        <w:pStyle w:val="8"/>
        <w:spacing w:line="360" w:lineRule="auto"/>
        <w:ind w:firstLine="525" w:firstLineChars="250"/>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.乙方所提供</w:t>
      </w:r>
      <w:r>
        <w:rPr>
          <w:rFonts w:hint="eastAsia" w:ascii="宋体" w:hAnsi="宋体"/>
          <w:color w:val="auto"/>
          <w:sz w:val="21"/>
          <w:szCs w:val="21"/>
          <w:highlight w:val="none"/>
          <w:lang w:val="en-US" w:eastAsia="zh-CN"/>
        </w:rPr>
        <w:t>服务（如包含</w:t>
      </w:r>
      <w:r>
        <w:rPr>
          <w:rFonts w:hint="eastAsia" w:ascii="宋体" w:hAnsi="宋体"/>
          <w:color w:val="auto"/>
          <w:sz w:val="21"/>
          <w:szCs w:val="21"/>
          <w:highlight w:val="none"/>
        </w:rPr>
        <w:t>货物还应符合国家和陕西省有关安全、环保、节能之规定，“3C”认证的货物（产品）应加贴“3C”认证标志。</w:t>
      </w:r>
      <w:r>
        <w:rPr>
          <w:rFonts w:hint="eastAsia" w:ascii="宋体" w:hAnsi="宋体"/>
          <w:color w:val="auto"/>
          <w:sz w:val="21"/>
          <w:szCs w:val="21"/>
          <w:highlight w:val="none"/>
          <w:lang w:eastAsia="zh-CN"/>
        </w:rPr>
        <w:t>）</w:t>
      </w:r>
    </w:p>
    <w:p w14:paraId="1A1556B1">
      <w:pPr>
        <w:numPr>
          <w:ilvl w:val="0"/>
          <w:numId w:val="0"/>
        </w:numPr>
        <w:tabs>
          <w:tab w:val="left" w:pos="1379"/>
        </w:tabs>
        <w:spacing w:before="120" w:beforeLines="50" w:after="120" w:afterLines="50" w:line="360" w:lineRule="auto"/>
        <w:ind w:left="1661" w:leftChars="0" w:hanging="1094" w:firstLineChars="0"/>
        <w:rPr>
          <w:rFonts w:hint="eastAsia" w:ascii="宋体" w:hAnsi="宋体"/>
          <w:b/>
          <w:color w:val="auto"/>
          <w:sz w:val="30"/>
          <w:szCs w:val="30"/>
          <w:highlight w:val="none"/>
        </w:rPr>
      </w:pPr>
      <w:r>
        <w:rPr>
          <w:rFonts w:hint="eastAsia" w:ascii="宋体" w:hAnsi="宋体" w:eastAsia="宋体" w:cs="Times New Roman"/>
          <w:b/>
          <w:color w:val="auto"/>
          <w:kern w:val="2"/>
          <w:sz w:val="30"/>
          <w:szCs w:val="30"/>
          <w:lang w:val="en-US" w:eastAsia="zh-CN" w:bidi="ar-SA"/>
        </w:rPr>
        <w:t>第五条</w:t>
      </w:r>
      <w:r>
        <w:rPr>
          <w:rFonts w:hint="eastAsia" w:ascii="宋体" w:hAnsi="宋体"/>
          <w:b/>
          <w:color w:val="auto"/>
          <w:sz w:val="30"/>
          <w:szCs w:val="30"/>
          <w:highlight w:val="none"/>
        </w:rPr>
        <w:t>服务费用</w:t>
      </w:r>
    </w:p>
    <w:p w14:paraId="7C0AF8AF">
      <w:pPr>
        <w:pStyle w:val="3"/>
        <w:spacing w:before="0" w:after="0" w:line="360" w:lineRule="auto"/>
        <w:ind w:firstLine="411" w:firstLineChars="196"/>
        <w:rPr>
          <w:rFonts w:hint="eastAsia" w:ascii="宋体" w:hAnsi="宋体" w:eastAsia="宋体"/>
          <w:b w:val="0"/>
          <w:color w:val="auto"/>
          <w:sz w:val="21"/>
          <w:szCs w:val="21"/>
          <w:highlight w:val="none"/>
        </w:rPr>
      </w:pPr>
      <w:r>
        <w:rPr>
          <w:rFonts w:hint="eastAsia" w:ascii="宋体" w:hAnsi="宋体" w:eastAsia="宋体"/>
          <w:b w:val="0"/>
          <w:color w:val="auto"/>
          <w:sz w:val="21"/>
          <w:szCs w:val="21"/>
          <w:highlight w:val="none"/>
        </w:rPr>
        <w:t xml:space="preserve">  1.服务总费用为人民币（大写）：</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元， ￥</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w:t>
      </w:r>
    </w:p>
    <w:p w14:paraId="0373BAE7">
      <w:pPr>
        <w:spacing w:line="360" w:lineRule="auto"/>
        <w:ind w:firstLine="411" w:firstLineChars="196"/>
        <w:rPr>
          <w:rFonts w:hint="eastAsia" w:ascii="宋体" w:hAnsi="宋体"/>
          <w:color w:val="auto"/>
          <w:szCs w:val="21"/>
          <w:highlight w:val="none"/>
        </w:rPr>
      </w:pPr>
      <w:r>
        <w:rPr>
          <w:rFonts w:hint="eastAsia" w:ascii="宋体" w:hAnsi="宋体"/>
          <w:color w:val="auto"/>
          <w:szCs w:val="21"/>
          <w:highlight w:val="none"/>
        </w:rPr>
        <w:t xml:space="preserve">  2.本项目服务费用由以下组成：</w:t>
      </w:r>
    </w:p>
    <w:p w14:paraId="2D571299">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（1）XX万元；</w:t>
      </w:r>
    </w:p>
    <w:p w14:paraId="419EA5F9">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（2）XX万元；</w:t>
      </w:r>
    </w:p>
    <w:p w14:paraId="742F119C">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（3）XX万元。</w:t>
      </w:r>
    </w:p>
    <w:p w14:paraId="6487B789">
      <w:pPr>
        <w:spacing w:line="360" w:lineRule="auto"/>
        <w:ind w:firstLine="525" w:firstLineChars="250"/>
        <w:rPr>
          <w:rFonts w:hint="eastAsia" w:ascii="宋体" w:hAnsi="宋体"/>
          <w:color w:val="auto"/>
          <w:szCs w:val="21"/>
          <w:highlight w:val="none"/>
        </w:rPr>
      </w:pPr>
      <w:r>
        <w:rPr>
          <w:rFonts w:ascii="宋体" w:hAnsi="宋体"/>
          <w:color w:val="auto"/>
          <w:szCs w:val="21"/>
          <w:highlight w:val="none"/>
        </w:rPr>
        <w:t>……</w:t>
      </w:r>
    </w:p>
    <w:p w14:paraId="15D94D8B">
      <w:pPr>
        <w:spacing w:line="360" w:lineRule="auto"/>
        <w:ind w:firstLine="525" w:firstLineChars="250"/>
        <w:rPr>
          <w:rFonts w:hint="eastAsia" w:ascii="宋体" w:hAnsi="宋体"/>
          <w:b/>
          <w:color w:val="auto"/>
          <w:sz w:val="30"/>
          <w:szCs w:val="30"/>
          <w:highlight w:val="none"/>
        </w:rPr>
      </w:pPr>
      <w:r>
        <w:rPr>
          <w:rFonts w:hint="eastAsia" w:ascii="宋体" w:hAnsi="宋体"/>
          <w:color w:val="auto"/>
          <w:szCs w:val="21"/>
          <w:highlight w:val="none"/>
        </w:rPr>
        <w:t>4.本合同执行期间服务总费用不变，甲方无须另向乙方支付本合同规定之外的其他任何费用。</w:t>
      </w:r>
    </w:p>
    <w:p w14:paraId="0366F16C">
      <w:pPr>
        <w:spacing w:before="120" w:beforeLines="50" w:after="120" w:afterLines="50" w:line="360" w:lineRule="auto"/>
        <w:ind w:left="425"/>
        <w:rPr>
          <w:rFonts w:hint="eastAsia" w:ascii="宋体" w:hAnsi="宋体" w:eastAsia="宋体" w:cs="Times New Roman"/>
          <w:b/>
          <w:color w:val="auto"/>
          <w:sz w:val="30"/>
          <w:szCs w:val="30"/>
          <w:highlight w:val="none"/>
          <w:lang w:val="en-US" w:eastAsia="zh-CN"/>
        </w:rPr>
      </w:pPr>
      <w:r>
        <w:rPr>
          <w:rFonts w:hint="eastAsia" w:ascii="宋体" w:hAnsi="宋体" w:eastAsia="宋体" w:cs="Times New Roman"/>
          <w:b/>
          <w:color w:val="auto"/>
          <w:sz w:val="30"/>
          <w:szCs w:val="30"/>
          <w:highlight w:val="none"/>
        </w:rPr>
        <w:t>第五条  服务费支付方式</w:t>
      </w:r>
    </w:p>
    <w:p w14:paraId="5AF4844F">
      <w:pPr>
        <w:spacing w:line="360" w:lineRule="auto"/>
        <w:ind w:firstLine="525" w:firstLineChars="250"/>
        <w:rPr>
          <w:rFonts w:hint="eastAsia" w:ascii="宋体" w:hAnsi="宋体" w:cs="Times New Roman"/>
          <w:color w:val="auto"/>
          <w:szCs w:val="21"/>
          <w:highlight w:val="none"/>
        </w:rPr>
      </w:pPr>
      <w:r>
        <w:rPr>
          <w:rFonts w:hint="eastAsia" w:ascii="宋体" w:hAnsi="宋体" w:cs="Times New Roman"/>
          <w:color w:val="auto"/>
          <w:szCs w:val="21"/>
          <w:highlight w:val="none"/>
        </w:rPr>
        <w:t>付款条件说明： 合同签订后 ，达到付款条件起 10 日内，支付合同总金额的 50.00%。</w:t>
      </w:r>
    </w:p>
    <w:p w14:paraId="6FEE6368">
      <w:pPr>
        <w:spacing w:line="360" w:lineRule="auto"/>
        <w:ind w:firstLine="525" w:firstLineChars="250"/>
        <w:rPr>
          <w:rFonts w:hint="eastAsia" w:ascii="宋体" w:hAnsi="宋体" w:cs="Times New Roman"/>
          <w:color w:val="auto"/>
          <w:szCs w:val="21"/>
          <w:highlight w:val="none"/>
        </w:rPr>
      </w:pPr>
      <w:r>
        <w:rPr>
          <w:rFonts w:hint="eastAsia" w:ascii="宋体" w:hAnsi="宋体" w:cs="Times New Roman"/>
          <w:color w:val="auto"/>
          <w:szCs w:val="21"/>
          <w:highlight w:val="none"/>
        </w:rPr>
        <w:t xml:space="preserve"> 付款条件说明： 完成陕西省地下水环境监测网布设方案，出具 400 个点位陕西省地下水环境监测网摸底监测 CMA资质报告及质控报告，提交不少于 63 个点位监测井“一井一档”资料后，达到付款条件起 10 日内，支付合同总金额的 30.00%。</w:t>
      </w:r>
    </w:p>
    <w:p w14:paraId="66339AEA">
      <w:pPr>
        <w:spacing w:line="360" w:lineRule="auto"/>
        <w:ind w:firstLine="525" w:firstLineChars="250"/>
        <w:rPr>
          <w:rFonts w:hint="eastAsia" w:ascii="宋体" w:hAnsi="宋体" w:cs="Times New Roman"/>
          <w:color w:val="auto"/>
          <w:szCs w:val="21"/>
          <w:highlight w:val="none"/>
        </w:rPr>
      </w:pPr>
      <w:r>
        <w:rPr>
          <w:rFonts w:hint="eastAsia" w:ascii="宋体" w:hAnsi="宋体" w:cs="Times New Roman"/>
          <w:color w:val="auto"/>
          <w:szCs w:val="21"/>
          <w:highlight w:val="none"/>
        </w:rPr>
        <w:t>付款条件说明： 项目全部完成经采购人及相关部门验收合格后 ，达到付款条件起 10 日内，支付合同总金额的 20.00%。</w:t>
      </w:r>
    </w:p>
    <w:p w14:paraId="588BF4B4">
      <w:pPr>
        <w:spacing w:line="360" w:lineRule="auto"/>
        <w:ind w:firstLine="753" w:firstLineChars="250"/>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第六条   知识产权</w:t>
      </w:r>
    </w:p>
    <w:p w14:paraId="61322929">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乙方应保证所提供的服务或其任何一部分均不会侵犯任何第三方的专利权、商标权或著作权。</w:t>
      </w:r>
    </w:p>
    <w:p w14:paraId="275A3468">
      <w:pPr>
        <w:spacing w:before="120" w:beforeLines="50" w:after="120" w:afterLines="50" w:line="360" w:lineRule="auto"/>
        <w:ind w:left="425"/>
        <w:rPr>
          <w:rFonts w:hint="eastAsia" w:ascii="宋体" w:hAnsi="宋体"/>
          <w:b/>
          <w:color w:val="auto"/>
          <w:sz w:val="30"/>
          <w:szCs w:val="30"/>
          <w:highlight w:val="none"/>
        </w:rPr>
      </w:pPr>
      <w:r>
        <w:rPr>
          <w:rFonts w:hint="eastAsia" w:ascii="宋体" w:hAnsi="宋体"/>
          <w:b/>
          <w:color w:val="auto"/>
          <w:sz w:val="30"/>
          <w:szCs w:val="30"/>
          <w:highlight w:val="none"/>
        </w:rPr>
        <w:t>第七条  无产权瑕疵条款</w:t>
      </w:r>
    </w:p>
    <w:p w14:paraId="33268B75">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乙方保证所提供的服务的所有权完全属于乙方且无任何抵押、查封等产权瑕疵。如有产权瑕疵的，视为乙方违约。乙方应负担由此而产生的一切损失。</w:t>
      </w:r>
    </w:p>
    <w:p w14:paraId="62A4E8C6">
      <w:pPr>
        <w:widowControl/>
        <w:spacing w:before="120" w:beforeLines="50" w:after="120" w:afterLines="50" w:line="360" w:lineRule="auto"/>
        <w:jc w:val="left"/>
        <w:rPr>
          <w:rFonts w:hint="eastAsia" w:ascii="宋体" w:hAnsi="宋体"/>
          <w:b/>
          <w:color w:val="auto"/>
          <w:sz w:val="30"/>
          <w:szCs w:val="30"/>
          <w:highlight w:val="none"/>
        </w:rPr>
      </w:pPr>
      <w:r>
        <w:rPr>
          <w:rFonts w:hint="eastAsia" w:ascii="宋体" w:hAnsi="宋体"/>
          <w:b/>
          <w:color w:val="auto"/>
          <w:sz w:val="30"/>
          <w:szCs w:val="30"/>
          <w:highlight w:val="none"/>
        </w:rPr>
        <w:t xml:space="preserve">   第八条   履约保证金</w:t>
      </w:r>
    </w:p>
    <w:p w14:paraId="746986F0">
      <w:pPr>
        <w:widowControl/>
        <w:spacing w:line="360" w:lineRule="auto"/>
        <w:ind w:firstLine="420" w:firstLineChars="200"/>
        <w:jc w:val="left"/>
        <w:rPr>
          <w:rFonts w:hint="eastAsia" w:ascii="宋体" w:hAnsi="宋体"/>
          <w:b/>
          <w:color w:val="auto"/>
          <w:szCs w:val="21"/>
          <w:highlight w:val="none"/>
        </w:rPr>
      </w:pPr>
      <w:r>
        <w:rPr>
          <w:rFonts w:hint="eastAsia" w:ascii="宋体" w:hAnsi="宋体" w:cs="宋体"/>
          <w:color w:val="auto"/>
          <w:kern w:val="0"/>
          <w:szCs w:val="21"/>
          <w:highlight w:val="none"/>
        </w:rPr>
        <w:t>1.乙方在签订本合同之前，向甲方构提交履约保证金人民币（大写）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1B92B6D0">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bCs/>
          <w:color w:val="auto"/>
          <w:szCs w:val="21"/>
          <w:highlight w:val="none"/>
        </w:rPr>
        <w:t>2.</w:t>
      </w:r>
      <w:r>
        <w:rPr>
          <w:rFonts w:hint="eastAsia" w:ascii="宋体" w:hAnsi="宋体" w:cs="宋体"/>
          <w:color w:val="auto"/>
          <w:kern w:val="0"/>
          <w:szCs w:val="21"/>
          <w:highlight w:val="none"/>
        </w:rPr>
        <w:t>履约保证金的有效期为乙方承诺的服务期限。</w:t>
      </w:r>
    </w:p>
    <w:p w14:paraId="19CCC5B4">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3.履约保证金作为违约金的一部分及用于补偿甲方因乙方不能履行合同义务而蒙受的损失。</w:t>
      </w:r>
    </w:p>
    <w:p w14:paraId="0F504C74">
      <w:pPr>
        <w:widowControl/>
        <w:spacing w:line="360" w:lineRule="auto"/>
        <w:ind w:firstLine="420" w:firstLineChars="200"/>
        <w:jc w:val="left"/>
        <w:rPr>
          <w:rFonts w:hint="eastAsia" w:ascii="宋体" w:hAnsi="宋体"/>
          <w:color w:val="auto"/>
          <w:szCs w:val="21"/>
          <w:highlight w:val="none"/>
        </w:rPr>
      </w:pPr>
      <w:r>
        <w:rPr>
          <w:rFonts w:hint="eastAsia" w:ascii="宋体" w:hAnsi="宋体" w:cs="宋体"/>
          <w:color w:val="auto"/>
          <w:kern w:val="0"/>
          <w:szCs w:val="21"/>
          <w:highlight w:val="none"/>
        </w:rPr>
        <w:t>4.</w:t>
      </w:r>
      <w:r>
        <w:rPr>
          <w:rFonts w:hint="eastAsia" w:ascii="宋体" w:hAnsi="宋体"/>
          <w:color w:val="auto"/>
          <w:szCs w:val="21"/>
          <w:highlight w:val="none"/>
        </w:rPr>
        <w:t>服务期限结束后，甲方财务部门接到甲方确认本合同服务等约定事项已经履行完毕的正式书面文件后的</w:t>
      </w:r>
      <w:r>
        <w:rPr>
          <w:rFonts w:hint="eastAsia" w:ascii="宋体" w:hAnsi="宋体"/>
          <w:color w:val="auto"/>
          <w:szCs w:val="21"/>
          <w:highlight w:val="none"/>
          <w:u w:val="single"/>
        </w:rPr>
        <w:t xml:space="preserve">   </w:t>
      </w:r>
      <w:r>
        <w:rPr>
          <w:rFonts w:hint="eastAsia" w:ascii="宋体" w:hAnsi="宋体"/>
          <w:color w:val="auto"/>
          <w:szCs w:val="21"/>
          <w:highlight w:val="none"/>
        </w:rPr>
        <w:t>日内，向乙方退还履约保证金。</w:t>
      </w:r>
    </w:p>
    <w:p w14:paraId="4EF1B3CA">
      <w:pPr>
        <w:widowControl/>
        <w:spacing w:line="360" w:lineRule="auto"/>
        <w:ind w:firstLine="420" w:firstLineChars="200"/>
        <w:jc w:val="left"/>
        <w:rPr>
          <w:rFonts w:hint="eastAsia" w:ascii="宋体" w:hAnsi="宋体"/>
          <w:bCs/>
          <w:color w:val="auto"/>
          <w:szCs w:val="21"/>
          <w:highlight w:val="none"/>
        </w:rPr>
      </w:pPr>
      <w:r>
        <w:rPr>
          <w:rFonts w:hint="eastAsia" w:ascii="宋体" w:hAnsi="宋体"/>
          <w:color w:val="auto"/>
          <w:szCs w:val="21"/>
          <w:highlight w:val="none"/>
        </w:rPr>
        <w:t>5.乙方可以履约担保函的形式交纳履约保证金。</w:t>
      </w:r>
    </w:p>
    <w:p w14:paraId="53410742">
      <w:pPr>
        <w:spacing w:before="120" w:beforeLines="50" w:after="120" w:afterLines="50" w:line="360" w:lineRule="auto"/>
        <w:ind w:left="425"/>
        <w:rPr>
          <w:rFonts w:ascii="宋体" w:hAnsi="宋体"/>
          <w:b/>
          <w:color w:val="auto"/>
          <w:sz w:val="30"/>
          <w:szCs w:val="30"/>
          <w:highlight w:val="none"/>
        </w:rPr>
      </w:pPr>
      <w:r>
        <w:rPr>
          <w:rFonts w:hint="eastAsia" w:ascii="宋体" w:hAnsi="宋体"/>
          <w:b/>
          <w:color w:val="auto"/>
          <w:sz w:val="30"/>
          <w:szCs w:val="30"/>
          <w:highlight w:val="none"/>
        </w:rPr>
        <w:t xml:space="preserve">第九条  </w:t>
      </w:r>
      <w:r>
        <w:rPr>
          <w:rFonts w:ascii="宋体" w:hAnsi="宋体"/>
          <w:b/>
          <w:color w:val="auto"/>
          <w:sz w:val="30"/>
          <w:szCs w:val="30"/>
          <w:highlight w:val="none"/>
        </w:rPr>
        <w:t>甲方的权利和义务</w:t>
      </w:r>
    </w:p>
    <w:p w14:paraId="032CDA28">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甲方有权对合同规定范围内</w:t>
      </w:r>
      <w:r>
        <w:rPr>
          <w:rFonts w:hint="eastAsia" w:ascii="宋体" w:hAnsi="宋体"/>
          <w:bCs/>
          <w:color w:val="auto"/>
          <w:szCs w:val="21"/>
          <w:highlight w:val="none"/>
        </w:rPr>
        <w:t>乙方的服务行为</w:t>
      </w:r>
      <w:r>
        <w:rPr>
          <w:rFonts w:ascii="宋体" w:hAnsi="宋体"/>
          <w:bCs/>
          <w:color w:val="auto"/>
          <w:szCs w:val="21"/>
          <w:highlight w:val="none"/>
        </w:rPr>
        <w:t>进行监督和检查，拥有监管权。有权定期核对乙方提供服务所配备的人员数量。对甲方认为不合理的部分有权</w:t>
      </w:r>
      <w:r>
        <w:rPr>
          <w:rFonts w:hint="eastAsia" w:ascii="宋体" w:hAnsi="宋体"/>
          <w:bCs/>
          <w:color w:val="auto"/>
          <w:szCs w:val="21"/>
          <w:highlight w:val="none"/>
        </w:rPr>
        <w:t>下达整改通知书，并</w:t>
      </w:r>
      <w:r>
        <w:rPr>
          <w:rFonts w:ascii="宋体" w:hAnsi="宋体"/>
          <w:bCs/>
          <w:color w:val="auto"/>
          <w:szCs w:val="21"/>
          <w:highlight w:val="none"/>
        </w:rPr>
        <w:t>要求乙方</w:t>
      </w:r>
      <w:r>
        <w:rPr>
          <w:rFonts w:hint="eastAsia" w:ascii="宋体" w:hAnsi="宋体"/>
          <w:bCs/>
          <w:color w:val="auto"/>
          <w:szCs w:val="21"/>
          <w:highlight w:val="none"/>
        </w:rPr>
        <w:t>限期整改</w:t>
      </w:r>
      <w:r>
        <w:rPr>
          <w:rFonts w:ascii="宋体" w:hAnsi="宋体"/>
          <w:bCs/>
          <w:color w:val="auto"/>
          <w:szCs w:val="21"/>
          <w:highlight w:val="none"/>
        </w:rPr>
        <w:t>。</w:t>
      </w:r>
    </w:p>
    <w:p w14:paraId="29E4B00F">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2.甲方有权依据双方签订的考评办法对乙方提供的服务进行定期考评。当考评结果未达到标准时，有权依据考评办法约定的数额扣除履约保证金。</w:t>
      </w:r>
    </w:p>
    <w:p w14:paraId="6AD660D0">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w:t>
      </w:r>
      <w:r>
        <w:rPr>
          <w:rFonts w:ascii="宋体" w:hAnsi="宋体"/>
          <w:bCs/>
          <w:color w:val="auto"/>
          <w:szCs w:val="21"/>
          <w:highlight w:val="none"/>
        </w:rPr>
        <w:t>负责检查监督乙方管理工作的实施及制度的执行情况。</w:t>
      </w:r>
    </w:p>
    <w:p w14:paraId="345B2D3D">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4.</w:t>
      </w:r>
      <w:r>
        <w:rPr>
          <w:rFonts w:ascii="宋体" w:hAnsi="宋体"/>
          <w:bCs/>
          <w:color w:val="auto"/>
          <w:szCs w:val="21"/>
          <w:highlight w:val="none"/>
        </w:rPr>
        <w:t>根据本合同规定，按时向乙方支付应付</w:t>
      </w:r>
      <w:r>
        <w:rPr>
          <w:rFonts w:hint="eastAsia" w:ascii="宋体" w:hAnsi="宋体"/>
          <w:bCs/>
          <w:color w:val="auto"/>
          <w:szCs w:val="21"/>
          <w:highlight w:val="none"/>
        </w:rPr>
        <w:t>服务费用</w:t>
      </w:r>
      <w:r>
        <w:rPr>
          <w:rFonts w:ascii="宋体" w:hAnsi="宋体"/>
          <w:bCs/>
          <w:color w:val="auto"/>
          <w:szCs w:val="21"/>
          <w:highlight w:val="none"/>
        </w:rPr>
        <w:t>。</w:t>
      </w:r>
    </w:p>
    <w:p w14:paraId="16E75CD9">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国家法律、法规所规定由甲方承担的其它责任。</w:t>
      </w:r>
    </w:p>
    <w:p w14:paraId="19E4CDCA">
      <w:pPr>
        <w:spacing w:before="120" w:beforeLines="50" w:after="120" w:afterLines="50" w:line="360" w:lineRule="auto"/>
        <w:ind w:left="425"/>
        <w:rPr>
          <w:rFonts w:ascii="宋体" w:hAnsi="宋体"/>
          <w:b/>
          <w:color w:val="auto"/>
          <w:sz w:val="30"/>
          <w:szCs w:val="30"/>
          <w:highlight w:val="none"/>
        </w:rPr>
      </w:pPr>
      <w:r>
        <w:rPr>
          <w:rFonts w:hint="eastAsia" w:ascii="宋体" w:hAnsi="宋体"/>
          <w:b/>
          <w:color w:val="auto"/>
          <w:sz w:val="30"/>
          <w:szCs w:val="30"/>
          <w:highlight w:val="none"/>
        </w:rPr>
        <w:t xml:space="preserve">第十条  </w:t>
      </w:r>
      <w:r>
        <w:rPr>
          <w:rFonts w:ascii="宋体" w:hAnsi="宋体"/>
          <w:b/>
          <w:color w:val="auto"/>
          <w:sz w:val="30"/>
          <w:szCs w:val="30"/>
          <w:highlight w:val="none"/>
        </w:rPr>
        <w:t>乙方的权利和义务</w:t>
      </w:r>
    </w:p>
    <w:p w14:paraId="159291BE">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对本合同规定的委托</w:t>
      </w:r>
      <w:r>
        <w:rPr>
          <w:rFonts w:hint="eastAsia" w:ascii="宋体" w:hAnsi="宋体"/>
          <w:bCs/>
          <w:color w:val="auto"/>
          <w:szCs w:val="21"/>
          <w:highlight w:val="none"/>
        </w:rPr>
        <w:t>服务</w:t>
      </w:r>
      <w:r>
        <w:rPr>
          <w:rFonts w:ascii="宋体" w:hAnsi="宋体"/>
          <w:bCs/>
          <w:color w:val="auto"/>
          <w:szCs w:val="21"/>
          <w:highlight w:val="none"/>
        </w:rPr>
        <w:t>范围内的</w:t>
      </w:r>
      <w:r>
        <w:rPr>
          <w:rFonts w:hint="eastAsia" w:ascii="宋体" w:hAnsi="宋体"/>
          <w:bCs/>
          <w:color w:val="auto"/>
          <w:szCs w:val="21"/>
          <w:highlight w:val="none"/>
        </w:rPr>
        <w:t>项目</w:t>
      </w:r>
      <w:r>
        <w:rPr>
          <w:rFonts w:ascii="宋体" w:hAnsi="宋体"/>
          <w:bCs/>
          <w:color w:val="auto"/>
          <w:szCs w:val="21"/>
          <w:highlight w:val="none"/>
        </w:rPr>
        <w:t>享有管理权及服务义务。</w:t>
      </w:r>
    </w:p>
    <w:p w14:paraId="5A6BFD04">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根据本合同的规定向甲方收取相关</w:t>
      </w:r>
      <w:r>
        <w:rPr>
          <w:rFonts w:hint="eastAsia" w:ascii="宋体" w:hAnsi="宋体"/>
          <w:bCs/>
          <w:color w:val="auto"/>
          <w:szCs w:val="21"/>
          <w:highlight w:val="none"/>
        </w:rPr>
        <w:t>服务</w:t>
      </w:r>
      <w:r>
        <w:rPr>
          <w:rFonts w:ascii="宋体" w:hAnsi="宋体"/>
          <w:bCs/>
          <w:color w:val="auto"/>
          <w:szCs w:val="21"/>
          <w:highlight w:val="none"/>
        </w:rPr>
        <w:t>费用，并有权</w:t>
      </w:r>
      <w:r>
        <w:rPr>
          <w:rFonts w:hint="eastAsia" w:ascii="宋体" w:hAnsi="宋体"/>
          <w:bCs/>
          <w:color w:val="auto"/>
          <w:szCs w:val="21"/>
          <w:highlight w:val="none"/>
        </w:rPr>
        <w:t>在本项目管理范围内</w:t>
      </w:r>
      <w:r>
        <w:rPr>
          <w:rFonts w:ascii="宋体" w:hAnsi="宋体"/>
          <w:bCs/>
          <w:color w:val="auto"/>
          <w:szCs w:val="21"/>
          <w:highlight w:val="none"/>
        </w:rPr>
        <w:t>管理及合理使用。</w:t>
      </w:r>
    </w:p>
    <w:p w14:paraId="11D7A81D">
      <w:pPr>
        <w:adjustRightIn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olor w:val="auto"/>
          <w:szCs w:val="21"/>
          <w:highlight w:val="none"/>
        </w:rPr>
        <w:t>3.及时向甲方通告本项目服务范围内有关服务的重大事项，及时配合处理投诉。</w:t>
      </w:r>
    </w:p>
    <w:p w14:paraId="32BB8474">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4.</w:t>
      </w:r>
      <w:r>
        <w:rPr>
          <w:rFonts w:ascii="宋体" w:hAnsi="宋体"/>
          <w:bCs/>
          <w:color w:val="auto"/>
          <w:szCs w:val="21"/>
          <w:highlight w:val="none"/>
        </w:rPr>
        <w:t>接受</w:t>
      </w:r>
      <w:r>
        <w:rPr>
          <w:rFonts w:hint="eastAsia" w:ascii="宋体" w:hAnsi="宋体"/>
          <w:bCs/>
          <w:color w:val="auto"/>
          <w:szCs w:val="21"/>
          <w:highlight w:val="none"/>
        </w:rPr>
        <w:t>项目行</w:t>
      </w:r>
      <w:r>
        <w:rPr>
          <w:rFonts w:ascii="宋体" w:hAnsi="宋体"/>
          <w:bCs/>
          <w:color w:val="auto"/>
          <w:szCs w:val="21"/>
          <w:highlight w:val="none"/>
        </w:rPr>
        <w:t>业管理部门及政府有关部门的指导，接受甲方的监督。</w:t>
      </w:r>
    </w:p>
    <w:p w14:paraId="29CEB84D">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国家法律、法规所规定由乙方承担的其它责任。</w:t>
      </w:r>
    </w:p>
    <w:p w14:paraId="07C11185">
      <w:pPr>
        <w:spacing w:before="120" w:beforeLines="50" w:after="120" w:afterLines="50" w:line="360" w:lineRule="auto"/>
        <w:ind w:left="425"/>
        <w:rPr>
          <w:rFonts w:ascii="宋体" w:hAnsi="宋体"/>
          <w:b/>
          <w:color w:val="auto"/>
          <w:sz w:val="30"/>
          <w:szCs w:val="30"/>
          <w:highlight w:val="none"/>
        </w:rPr>
      </w:pPr>
      <w:r>
        <w:rPr>
          <w:rFonts w:hint="eastAsia" w:ascii="宋体" w:hAnsi="宋体"/>
          <w:b/>
          <w:color w:val="auto"/>
          <w:sz w:val="30"/>
          <w:szCs w:val="30"/>
          <w:highlight w:val="none"/>
        </w:rPr>
        <w:t xml:space="preserve">第十一条  </w:t>
      </w:r>
      <w:r>
        <w:rPr>
          <w:rFonts w:ascii="宋体" w:hAnsi="宋体"/>
          <w:b/>
          <w:color w:val="auto"/>
          <w:sz w:val="30"/>
          <w:szCs w:val="30"/>
          <w:highlight w:val="none"/>
        </w:rPr>
        <w:t>违约责任</w:t>
      </w:r>
    </w:p>
    <w:p w14:paraId="47617038">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甲乙双方必须遵守本合同并执行合同中的各项规定，保证</w:t>
      </w:r>
      <w:r>
        <w:rPr>
          <w:rFonts w:hint="eastAsia" w:ascii="宋体" w:hAnsi="宋体"/>
          <w:bCs/>
          <w:color w:val="auto"/>
          <w:szCs w:val="21"/>
          <w:highlight w:val="none"/>
        </w:rPr>
        <w:t>本</w:t>
      </w:r>
      <w:r>
        <w:rPr>
          <w:rFonts w:ascii="宋体" w:hAnsi="宋体"/>
          <w:bCs/>
          <w:color w:val="auto"/>
          <w:szCs w:val="21"/>
          <w:highlight w:val="none"/>
        </w:rPr>
        <w:t>合同的正常</w:t>
      </w:r>
      <w:r>
        <w:rPr>
          <w:rFonts w:hint="eastAsia" w:ascii="宋体" w:hAnsi="宋体"/>
          <w:bCs/>
          <w:color w:val="auto"/>
          <w:szCs w:val="21"/>
          <w:highlight w:val="none"/>
        </w:rPr>
        <w:t>履行</w:t>
      </w:r>
      <w:r>
        <w:rPr>
          <w:rFonts w:ascii="宋体" w:hAnsi="宋体"/>
          <w:bCs/>
          <w:color w:val="auto"/>
          <w:szCs w:val="21"/>
          <w:highlight w:val="none"/>
        </w:rPr>
        <w:t>。</w:t>
      </w:r>
    </w:p>
    <w:p w14:paraId="01BC86A0">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如因乙方</w:t>
      </w:r>
      <w:r>
        <w:rPr>
          <w:rFonts w:hint="eastAsia" w:ascii="宋体" w:hAnsi="宋体"/>
          <w:bCs/>
          <w:color w:val="auto"/>
          <w:szCs w:val="21"/>
          <w:highlight w:val="none"/>
        </w:rPr>
        <w:t>工作人员在履行职务过程中的</w:t>
      </w:r>
      <w:r>
        <w:rPr>
          <w:rFonts w:ascii="宋体" w:hAnsi="宋体"/>
          <w:bCs/>
          <w:color w:val="auto"/>
          <w:szCs w:val="21"/>
          <w:highlight w:val="none"/>
        </w:rPr>
        <w:t>的疏忽、失职、过错等</w:t>
      </w:r>
      <w:r>
        <w:rPr>
          <w:rFonts w:hint="eastAsia" w:ascii="宋体" w:hAnsi="宋体"/>
          <w:bCs/>
          <w:color w:val="auto"/>
          <w:szCs w:val="21"/>
          <w:highlight w:val="none"/>
        </w:rPr>
        <w:t>故意或者过失</w:t>
      </w:r>
      <w:r>
        <w:rPr>
          <w:rFonts w:ascii="宋体" w:hAnsi="宋体"/>
          <w:bCs/>
          <w:color w:val="auto"/>
          <w:szCs w:val="21"/>
          <w:highlight w:val="none"/>
        </w:rPr>
        <w:t>原因给甲方造成损失或侵害，</w:t>
      </w:r>
      <w:r>
        <w:rPr>
          <w:rFonts w:hint="eastAsia" w:ascii="宋体" w:hAnsi="宋体"/>
          <w:bCs/>
          <w:color w:val="auto"/>
          <w:szCs w:val="21"/>
          <w:highlight w:val="none"/>
        </w:rPr>
        <w:t>包括但不限于甲方本身的财产损失、由此而导致的甲方对任何第三方的法律责任等，乙方对此均应承担全部的赔偿责任</w:t>
      </w:r>
      <w:r>
        <w:rPr>
          <w:rFonts w:ascii="宋体" w:hAnsi="宋体"/>
          <w:bCs/>
          <w:color w:val="auto"/>
          <w:szCs w:val="21"/>
          <w:highlight w:val="none"/>
        </w:rPr>
        <w:t>。</w:t>
      </w:r>
    </w:p>
    <w:p w14:paraId="1CB1992C">
      <w:pPr>
        <w:spacing w:before="120" w:beforeLines="50" w:after="120" w:afterLines="50" w:line="360" w:lineRule="auto"/>
        <w:ind w:left="425"/>
        <w:rPr>
          <w:rFonts w:hint="eastAsia" w:ascii="宋体" w:hAnsi="宋体"/>
          <w:b/>
          <w:color w:val="auto"/>
          <w:sz w:val="30"/>
          <w:szCs w:val="30"/>
          <w:highlight w:val="none"/>
        </w:rPr>
      </w:pPr>
      <w:r>
        <w:rPr>
          <w:rFonts w:hint="eastAsia" w:ascii="宋体" w:hAnsi="宋体"/>
          <w:b/>
          <w:color w:val="auto"/>
          <w:sz w:val="30"/>
          <w:szCs w:val="30"/>
          <w:highlight w:val="none"/>
        </w:rPr>
        <w:t>第十二条  不可抗力事件处理</w:t>
      </w:r>
    </w:p>
    <w:p w14:paraId="13A6B13F">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1.在合同有效期内，任何一方因不可抗力事件导致不能履行合同，则合同履行期可延长，其延长期与不可抗力影响期相同。</w:t>
      </w:r>
    </w:p>
    <w:p w14:paraId="5B1BFBA7">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2.不可抗力事件发生后，应立即通知对方，并寄送有关权威机构出具的证明。</w:t>
      </w:r>
    </w:p>
    <w:p w14:paraId="42557BEE">
      <w:pPr>
        <w:tabs>
          <w:tab w:val="left" w:pos="0"/>
        </w:tabs>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8B74296">
      <w:pPr>
        <w:widowControl/>
        <w:spacing w:before="120" w:beforeLines="50" w:after="120" w:afterLines="50" w:line="360" w:lineRule="auto"/>
        <w:jc w:val="left"/>
        <w:rPr>
          <w:rFonts w:hint="eastAsia" w:ascii="宋体" w:hAnsi="宋体" w:cs="宋体"/>
          <w:color w:val="auto"/>
          <w:kern w:val="0"/>
          <w:sz w:val="30"/>
          <w:szCs w:val="30"/>
          <w:highlight w:val="none"/>
        </w:rPr>
      </w:pPr>
      <w:bookmarkStart w:id="18" w:name="_Toc225654649"/>
      <w:bookmarkStart w:id="19" w:name="_Toc212019599"/>
      <w:bookmarkStart w:id="20" w:name="_Toc251768867"/>
      <w:bookmarkStart w:id="21" w:name="_Toc225670756"/>
      <w:bookmarkStart w:id="22" w:name="_Toc211854454"/>
      <w:bookmarkStart w:id="23" w:name="_Toc232492933"/>
      <w:bookmarkStart w:id="24" w:name="_Toc239233919"/>
      <w:bookmarkStart w:id="25" w:name="_Toc286993792"/>
      <w:bookmarkStart w:id="26" w:name="_Toc247334846"/>
      <w:bookmarkStart w:id="27" w:name="_Toc239568423"/>
      <w:bookmarkStart w:id="28" w:name="_Toc241833908"/>
      <w:bookmarkStart w:id="29" w:name="_Toc237145411"/>
      <w:bookmarkStart w:id="30" w:name="_Toc238984980"/>
      <w:bookmarkStart w:id="31" w:name="_Toc225244857"/>
      <w:bookmarkStart w:id="32" w:name="_Toc185395254"/>
      <w:bookmarkStart w:id="33" w:name="_Toc211911353"/>
      <w:r>
        <w:rPr>
          <w:rFonts w:hint="eastAsia" w:ascii="宋体" w:hAnsi="宋体"/>
          <w:b/>
          <w:color w:val="auto"/>
          <w:sz w:val="30"/>
          <w:szCs w:val="30"/>
          <w:highlight w:val="none"/>
        </w:rPr>
        <w:t xml:space="preserve">   第十三条  </w:t>
      </w:r>
      <w:r>
        <w:rPr>
          <w:rFonts w:hint="eastAsia" w:ascii="宋体" w:hAnsi="宋体" w:cs="宋体"/>
          <w:b/>
          <w:color w:val="auto"/>
          <w:kern w:val="0"/>
          <w:sz w:val="30"/>
          <w:szCs w:val="30"/>
          <w:highlight w:val="none"/>
        </w:rPr>
        <w:t>合同的变更和终止</w:t>
      </w:r>
    </w:p>
    <w:p w14:paraId="0441165E">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除《中华人民共和国政府采购法》第49条、第50条第二款规定的情形外，本合同一经签订，甲乙双方不得擅自变更、中止或终止合同。</w:t>
      </w:r>
    </w:p>
    <w:p w14:paraId="6BA38392">
      <w:pPr>
        <w:spacing w:before="120" w:beforeLines="50" w:after="120" w:afterLines="50" w:line="360" w:lineRule="auto"/>
        <w:ind w:left="425"/>
        <w:rPr>
          <w:rFonts w:ascii="宋体" w:hAnsi="宋体"/>
          <w:b/>
          <w:color w:val="auto"/>
          <w:szCs w:val="21"/>
          <w:highlight w:val="none"/>
        </w:rPr>
      </w:pPr>
      <w:r>
        <w:rPr>
          <w:rFonts w:hint="eastAsia" w:ascii="宋体" w:hAnsi="宋体"/>
          <w:b/>
          <w:color w:val="auto"/>
          <w:sz w:val="30"/>
          <w:szCs w:val="30"/>
          <w:highlight w:val="none"/>
        </w:rPr>
        <w:t>第十四条  解</w:t>
      </w:r>
      <w:r>
        <w:rPr>
          <w:rFonts w:ascii="宋体" w:hAnsi="宋体"/>
          <w:b/>
          <w:color w:val="auto"/>
          <w:sz w:val="30"/>
          <w:szCs w:val="30"/>
          <w:highlight w:val="none"/>
        </w:rPr>
        <w:t>决合同纠纷的方</w:t>
      </w:r>
      <w:r>
        <w:rPr>
          <w:rFonts w:ascii="宋体" w:hAnsi="宋体"/>
          <w:b/>
          <w:color w:val="auto"/>
          <w:szCs w:val="21"/>
          <w:highlight w:val="none"/>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9ABFC2C">
      <w:pPr>
        <w:pStyle w:val="8"/>
        <w:spacing w:line="360" w:lineRule="auto"/>
        <w:ind w:firstLine="420"/>
        <w:rPr>
          <w:rFonts w:hint="eastAsia" w:ascii="宋体" w:hAnsi="宋体"/>
          <w:color w:val="auto"/>
          <w:kern w:val="0"/>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在执行本合同中发生的或与本合同有关的争端，双方应通过友好协商解决，经协商在</w:t>
      </w:r>
      <w:r>
        <w:rPr>
          <w:rFonts w:hint="eastAsia" w:ascii="宋体" w:hAnsi="宋体"/>
          <w:color w:val="auto"/>
          <w:sz w:val="21"/>
          <w:szCs w:val="21"/>
          <w:highlight w:val="none"/>
        </w:rPr>
        <w:t>XX</w:t>
      </w:r>
      <w:r>
        <w:rPr>
          <w:rFonts w:ascii="宋体" w:hAnsi="宋体"/>
          <w:color w:val="auto"/>
          <w:sz w:val="21"/>
          <w:szCs w:val="21"/>
          <w:highlight w:val="none"/>
        </w:rPr>
        <w:t>天内不能达成协议时，</w:t>
      </w:r>
      <w:r>
        <w:rPr>
          <w:rFonts w:hint="eastAsia" w:ascii="宋体" w:hAnsi="宋体"/>
          <w:color w:val="auto"/>
          <w:kern w:val="0"/>
          <w:sz w:val="21"/>
          <w:szCs w:val="21"/>
          <w:highlight w:val="none"/>
        </w:rPr>
        <w:t>则采取以下第</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rPr>
        <w:t>_种方式解决争议：</w:t>
      </w:r>
    </w:p>
    <w:p w14:paraId="04E61D83">
      <w:pPr>
        <w:pStyle w:val="8"/>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（1）向甲方所在地有管辖权的人民法院提起诉讼；</w:t>
      </w:r>
    </w:p>
    <w:p w14:paraId="1FF8B07A">
      <w:pPr>
        <w:pStyle w:val="8"/>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（2）向</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rPr>
        <w:t>仲裁委员会按其仲裁规则申请仲裁。</w:t>
      </w:r>
    </w:p>
    <w:p w14:paraId="1820386A">
      <w:pPr>
        <w:tabs>
          <w:tab w:val="left" w:pos="0"/>
        </w:tabs>
        <w:spacing w:line="360" w:lineRule="auto"/>
        <w:ind w:firstLine="420" w:firstLineChars="200"/>
        <w:rPr>
          <w:rFonts w:ascii="宋体" w:hAnsi="宋体"/>
          <w:color w:val="auto"/>
          <w:szCs w:val="21"/>
          <w:highlight w:val="none"/>
        </w:rPr>
      </w:pPr>
      <w:r>
        <w:rPr>
          <w:rFonts w:hint="eastAsia" w:ascii="宋体" w:hAnsi="宋体"/>
          <w:color w:val="auto"/>
          <w:kern w:val="0"/>
          <w:szCs w:val="21"/>
          <w:highlight w:val="none"/>
        </w:rPr>
        <w:t>2.在仲裁期间，本合同应继续履行。</w:t>
      </w:r>
    </w:p>
    <w:p w14:paraId="527F7836">
      <w:pPr>
        <w:spacing w:before="120" w:beforeLines="50" w:after="120" w:afterLines="50" w:line="360" w:lineRule="auto"/>
        <w:ind w:left="425"/>
        <w:rPr>
          <w:rFonts w:ascii="宋体" w:hAnsi="宋体"/>
          <w:b/>
          <w:color w:val="auto"/>
          <w:sz w:val="30"/>
          <w:szCs w:val="30"/>
          <w:highlight w:val="none"/>
        </w:rPr>
      </w:pPr>
      <w:bookmarkStart w:id="34" w:name="_Toc251768868"/>
      <w:bookmarkStart w:id="35" w:name="_Toc282696231"/>
      <w:bookmarkStart w:id="36" w:name="_Toc211911354"/>
      <w:bookmarkStart w:id="37" w:name="_Toc283019219"/>
      <w:bookmarkStart w:id="38" w:name="_Toc286993793"/>
      <w:bookmarkStart w:id="39" w:name="_Toc247334847"/>
      <w:bookmarkStart w:id="40" w:name="_Toc212019600"/>
      <w:bookmarkStart w:id="41" w:name="_Toc237145412"/>
      <w:bookmarkStart w:id="42" w:name="_Toc239568424"/>
      <w:bookmarkStart w:id="43" w:name="_Toc239233920"/>
      <w:bookmarkStart w:id="44" w:name="_Toc241833909"/>
      <w:bookmarkStart w:id="45" w:name="_Toc232492934"/>
      <w:bookmarkStart w:id="46" w:name="_Toc238984981"/>
      <w:bookmarkStart w:id="47" w:name="_Toc225670757"/>
      <w:bookmarkStart w:id="48" w:name="_Toc225244858"/>
      <w:bookmarkStart w:id="49" w:name="_Toc211854455"/>
      <w:bookmarkStart w:id="50" w:name="_Toc225654650"/>
      <w:bookmarkStart w:id="51" w:name="_Toc185395255"/>
      <w:r>
        <w:rPr>
          <w:rFonts w:hint="eastAsia" w:ascii="宋体" w:hAnsi="宋体"/>
          <w:b/>
          <w:color w:val="auto"/>
          <w:sz w:val="30"/>
          <w:szCs w:val="30"/>
          <w:highlight w:val="none"/>
        </w:rPr>
        <w:t xml:space="preserve">第十四条  </w:t>
      </w:r>
      <w:r>
        <w:rPr>
          <w:rFonts w:ascii="宋体" w:hAnsi="宋体"/>
          <w:b/>
          <w:color w:val="auto"/>
          <w:sz w:val="30"/>
          <w:szCs w:val="30"/>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color w:val="auto"/>
          <w:sz w:val="30"/>
          <w:szCs w:val="30"/>
          <w:highlight w:val="none"/>
        </w:rPr>
        <w:t>生效及其他</w:t>
      </w:r>
    </w:p>
    <w:p w14:paraId="64FA2B9A">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1.合同经双方法定代表人或授权委托代理人签字并加盖单位公章后生效。</w:t>
      </w:r>
    </w:p>
    <w:p w14:paraId="235A3212">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6819E3D0">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3.本合同一式XX份，自双方签章之日起起效。甲方XX份，乙方XX份，政府采购代理机构XX份，同级财政部门备案XX份，具有同等法律效力。</w:t>
      </w:r>
    </w:p>
    <w:p w14:paraId="36954B05">
      <w:pPr>
        <w:spacing w:after="120" w:afterLines="50" w:line="360" w:lineRule="auto"/>
        <w:ind w:left="425"/>
        <w:rPr>
          <w:rFonts w:hint="eastAsia" w:ascii="宋体" w:hAnsi="宋体"/>
          <w:b/>
          <w:color w:val="auto"/>
          <w:sz w:val="30"/>
          <w:szCs w:val="30"/>
          <w:highlight w:val="none"/>
        </w:rPr>
      </w:pPr>
      <w:r>
        <w:rPr>
          <w:rFonts w:hint="eastAsia" w:ascii="宋体" w:hAnsi="宋体"/>
          <w:b/>
          <w:color w:val="auto"/>
          <w:sz w:val="30"/>
          <w:szCs w:val="30"/>
          <w:highlight w:val="none"/>
        </w:rPr>
        <w:t>第十五条  附件</w:t>
      </w:r>
    </w:p>
    <w:p w14:paraId="7A86FF0D">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1.项目招标文件</w:t>
      </w:r>
    </w:p>
    <w:p w14:paraId="028C9ABA">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2.项目修改澄清文件</w:t>
      </w:r>
    </w:p>
    <w:p w14:paraId="320DE89F">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3.项目投标文件</w:t>
      </w:r>
    </w:p>
    <w:p w14:paraId="1085FA52">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4.中标通知书</w:t>
      </w:r>
    </w:p>
    <w:p w14:paraId="3BBA1E0A">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5.其他</w:t>
      </w:r>
    </w:p>
    <w:p w14:paraId="530D69C9">
      <w:pPr>
        <w:spacing w:line="360" w:lineRule="auto"/>
        <w:rPr>
          <w:rFonts w:hint="eastAsia" w:ascii="宋体" w:hAnsi="宋体"/>
          <w:color w:val="auto"/>
          <w:szCs w:val="21"/>
          <w:highlight w:val="none"/>
        </w:rPr>
      </w:pPr>
    </w:p>
    <w:p w14:paraId="52A4773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甲方：   （盖章）</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 xml:space="preserve">    </w:t>
      </w:r>
      <w:r>
        <w:rPr>
          <w:rFonts w:hint="eastAsia" w:ascii="宋体" w:hAnsi="宋体"/>
          <w:color w:val="auto"/>
          <w:szCs w:val="21"/>
          <w:highlight w:val="none"/>
        </w:rPr>
        <w:t xml:space="preserve">   乙方：</w:t>
      </w:r>
      <w:r>
        <w:rPr>
          <w:rFonts w:ascii="宋体" w:hAnsi="宋体"/>
          <w:color w:val="auto"/>
          <w:szCs w:val="21"/>
          <w:highlight w:val="none"/>
        </w:rPr>
        <w:t xml:space="preserve">   </w:t>
      </w:r>
      <w:r>
        <w:rPr>
          <w:rFonts w:hint="eastAsia" w:ascii="宋体" w:hAnsi="宋体"/>
          <w:color w:val="auto"/>
          <w:szCs w:val="21"/>
          <w:highlight w:val="none"/>
        </w:rPr>
        <w:t>（盖章）</w:t>
      </w:r>
    </w:p>
    <w:p w14:paraId="2F7CFFE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法定代表人（委托代理人）：</w:t>
      </w:r>
      <w:r>
        <w:rPr>
          <w:rFonts w:ascii="宋体" w:hAnsi="宋体"/>
          <w:color w:val="auto"/>
          <w:szCs w:val="21"/>
          <w:highlight w:val="none"/>
        </w:rPr>
        <w:t xml:space="preserve">           </w:t>
      </w:r>
      <w:r>
        <w:rPr>
          <w:rFonts w:hint="eastAsia" w:ascii="宋体" w:hAnsi="宋体"/>
          <w:color w:val="auto"/>
          <w:szCs w:val="21"/>
          <w:highlight w:val="none"/>
        </w:rPr>
        <w:t xml:space="preserve">   法定代表人（委托代理人）：</w:t>
      </w:r>
    </w:p>
    <w:p w14:paraId="22D9297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p>
    <w:p w14:paraId="2117B05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开户银行：</w:t>
      </w:r>
      <w:r>
        <w:rPr>
          <w:rFonts w:ascii="宋体" w:hAnsi="宋体"/>
          <w:color w:val="auto"/>
          <w:szCs w:val="21"/>
          <w:highlight w:val="none"/>
        </w:rPr>
        <w:t xml:space="preserve">                         </w:t>
      </w:r>
      <w:r>
        <w:rPr>
          <w:rFonts w:hint="eastAsia" w:ascii="宋体" w:hAnsi="宋体"/>
          <w:color w:val="auto"/>
          <w:szCs w:val="21"/>
          <w:highlight w:val="none"/>
        </w:rPr>
        <w:t xml:space="preserve">    开户银行：</w:t>
      </w:r>
    </w:p>
    <w:p w14:paraId="6ACADAD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账号：</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账号：</w:t>
      </w:r>
    </w:p>
    <w:p w14:paraId="5A39401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ascii="宋体" w:hAnsi="宋体"/>
          <w:color w:val="auto"/>
          <w:szCs w:val="21"/>
          <w:highlight w:val="none"/>
        </w:rPr>
        <w:t xml:space="preserve">                         </w:t>
      </w:r>
      <w:r>
        <w:rPr>
          <w:rFonts w:hint="eastAsia" w:ascii="宋体" w:hAnsi="宋体"/>
          <w:color w:val="auto"/>
          <w:szCs w:val="21"/>
          <w:highlight w:val="none"/>
        </w:rPr>
        <w:t xml:space="preserve">    电</w:t>
      </w:r>
      <w:r>
        <w:rPr>
          <w:rFonts w:ascii="宋体" w:hAnsi="宋体"/>
          <w:color w:val="auto"/>
          <w:szCs w:val="21"/>
          <w:highlight w:val="none"/>
        </w:rPr>
        <w:t xml:space="preserve">    </w:t>
      </w:r>
      <w:r>
        <w:rPr>
          <w:rFonts w:hint="eastAsia" w:ascii="宋体" w:hAnsi="宋体"/>
          <w:color w:val="auto"/>
          <w:szCs w:val="21"/>
          <w:highlight w:val="none"/>
        </w:rPr>
        <w:t>话：</w:t>
      </w:r>
    </w:p>
    <w:p w14:paraId="7269128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p>
    <w:p w14:paraId="0204CC1B">
      <w:pPr>
        <w:spacing w:before="120" w:beforeLines="50" w:after="120" w:afterLines="50" w:line="360" w:lineRule="auto"/>
        <w:ind w:firstLine="210" w:firstLineChars="100"/>
        <w:rPr>
          <w:rFonts w:hint="eastAsia" w:ascii="宋体" w:hAnsi="宋体"/>
          <w:color w:val="auto"/>
          <w:szCs w:val="21"/>
          <w:highlight w:val="none"/>
        </w:rPr>
      </w:pPr>
      <w:r>
        <w:rPr>
          <w:rFonts w:hint="eastAsia" w:ascii="宋体" w:hAnsi="宋体"/>
          <w:color w:val="auto"/>
          <w:szCs w:val="21"/>
          <w:highlight w:val="none"/>
        </w:rPr>
        <w:t>签约日期：  年  月  日</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hint="eastAsia" w:ascii="宋体" w:hAnsi="宋体"/>
          <w:color w:val="auto"/>
          <w:szCs w:val="21"/>
          <w:highlight w:val="none"/>
        </w:rPr>
        <w:t xml:space="preserve">   签约日期：    年  月  日</w:t>
      </w:r>
    </w:p>
    <w:p w14:paraId="34CAC8F0">
      <w:pPr>
        <w:pStyle w:val="10"/>
        <w:ind w:firstLine="200" w:firstLineChars="100"/>
        <w:rPr>
          <w:rFonts w:hint="eastAsia"/>
          <w:color w:val="auto"/>
          <w:lang w:val="en-US" w:eastAsia="zh-CN"/>
        </w:rPr>
      </w:pPr>
    </w:p>
    <w:p w14:paraId="1F73911D">
      <w:pPr>
        <w:pStyle w:val="10"/>
        <w:spacing w:line="360" w:lineRule="auto"/>
        <w:ind w:firstLine="200" w:firstLineChars="100"/>
        <w:rPr>
          <w:rFonts w:hint="eastAsia"/>
          <w:color w:val="auto"/>
          <w:lang w:val="en-US" w:eastAsia="zh-CN"/>
        </w:rPr>
      </w:pPr>
      <w:r>
        <w:rPr>
          <w:rFonts w:hint="eastAsia"/>
          <w:color w:val="auto"/>
          <w:lang w:val="en-US" w:eastAsia="zh-CN"/>
        </w:rPr>
        <w:t>见证方：</w:t>
      </w:r>
      <w:bookmarkStart w:id="52" w:name="_GoBack"/>
      <w:bookmarkEnd w:id="52"/>
    </w:p>
    <w:p w14:paraId="55D3DADE">
      <w:pPr>
        <w:pStyle w:val="10"/>
        <w:spacing w:line="360" w:lineRule="auto"/>
        <w:ind w:firstLine="200" w:firstLineChars="100"/>
        <w:rPr>
          <w:rFonts w:hint="eastAsia" w:ascii="宋体" w:hAnsi="宋体"/>
          <w:color w:val="auto"/>
          <w:szCs w:val="21"/>
          <w:highlight w:val="none"/>
        </w:rPr>
      </w:pPr>
      <w:r>
        <w:rPr>
          <w:rFonts w:hint="eastAsia" w:ascii="宋体" w:hAnsi="宋体"/>
          <w:color w:val="auto"/>
          <w:szCs w:val="21"/>
          <w:highlight w:val="none"/>
        </w:rPr>
        <w:t>法定代表人（委托代理人）：</w:t>
      </w:r>
    </w:p>
    <w:p w14:paraId="6983E0D6">
      <w:pPr>
        <w:pStyle w:val="10"/>
        <w:spacing w:line="360" w:lineRule="auto"/>
        <w:ind w:firstLine="200" w:firstLineChars="100"/>
        <w:rPr>
          <w:rFonts w:hint="eastAsia"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p>
    <w:p w14:paraId="63667EB3">
      <w:pPr>
        <w:pStyle w:val="10"/>
        <w:spacing w:line="360" w:lineRule="auto"/>
        <w:ind w:firstLine="200" w:firstLineChars="100"/>
        <w:rPr>
          <w:rFonts w:hint="eastAsia" w:ascii="宋体" w:hAnsi="宋体"/>
          <w:color w:val="auto"/>
          <w:szCs w:val="21"/>
          <w:highlight w:val="none"/>
        </w:rPr>
      </w:pPr>
      <w:r>
        <w:rPr>
          <w:rFonts w:hint="eastAsia" w:ascii="宋体" w:hAnsi="宋体"/>
          <w:color w:val="auto"/>
          <w:szCs w:val="21"/>
          <w:highlight w:val="none"/>
        </w:rPr>
        <w:t>开户银行：</w:t>
      </w:r>
    </w:p>
    <w:p w14:paraId="0EE45580">
      <w:pPr>
        <w:pStyle w:val="10"/>
        <w:spacing w:line="360" w:lineRule="auto"/>
        <w:ind w:firstLine="200" w:firstLineChars="100"/>
        <w:rPr>
          <w:rFonts w:ascii="宋体" w:hAnsi="宋体"/>
          <w:color w:val="auto"/>
          <w:szCs w:val="21"/>
          <w:highlight w:val="none"/>
        </w:rPr>
      </w:pPr>
      <w:r>
        <w:rPr>
          <w:rFonts w:hint="eastAsia" w:ascii="宋体" w:hAnsi="宋体"/>
          <w:color w:val="auto"/>
          <w:szCs w:val="21"/>
          <w:highlight w:val="none"/>
        </w:rPr>
        <w:t>账号：</w:t>
      </w:r>
      <w:r>
        <w:rPr>
          <w:rFonts w:ascii="宋体" w:hAnsi="宋体"/>
          <w:color w:val="auto"/>
          <w:szCs w:val="21"/>
          <w:highlight w:val="none"/>
        </w:rPr>
        <w:t xml:space="preserve"> </w:t>
      </w:r>
    </w:p>
    <w:p w14:paraId="3003CF2C">
      <w:pPr>
        <w:pStyle w:val="10"/>
        <w:spacing w:line="360" w:lineRule="auto"/>
        <w:ind w:firstLine="200" w:firstLineChars="100"/>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ascii="宋体" w:hAnsi="宋体"/>
          <w:color w:val="auto"/>
          <w:szCs w:val="21"/>
          <w:highlight w:val="none"/>
        </w:rPr>
        <w:t xml:space="preserve">  </w:t>
      </w:r>
    </w:p>
    <w:p w14:paraId="091E95B4">
      <w:pPr>
        <w:pStyle w:val="10"/>
        <w:spacing w:line="360" w:lineRule="auto"/>
        <w:ind w:firstLine="200" w:firstLineChars="100"/>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ascii="宋体" w:hAnsi="宋体"/>
          <w:color w:val="auto"/>
          <w:szCs w:val="21"/>
          <w:highlight w:val="none"/>
        </w:rPr>
        <w:t xml:space="preserve"> </w:t>
      </w:r>
    </w:p>
    <w:p w14:paraId="0CC31336">
      <w:pPr>
        <w:pStyle w:val="10"/>
        <w:spacing w:line="360" w:lineRule="auto"/>
        <w:ind w:firstLine="200" w:firstLineChars="100"/>
        <w:rPr>
          <w:rFonts w:hint="default" w:ascii="宋体" w:hAnsi="宋体"/>
          <w:color w:val="auto"/>
          <w:szCs w:val="21"/>
          <w:highlight w:val="none"/>
          <w:lang w:val="en-US" w:eastAsia="zh-CN"/>
        </w:rPr>
      </w:pPr>
      <w:r>
        <w:rPr>
          <w:rFonts w:hint="eastAsia" w:ascii="宋体" w:hAnsi="宋体"/>
          <w:color w:val="auto"/>
          <w:szCs w:val="21"/>
          <w:highlight w:val="none"/>
        </w:rPr>
        <w:t>日期：  年  月  日</w:t>
      </w:r>
      <w:r>
        <w:rPr>
          <w:rFonts w:ascii="宋体" w:hAnsi="宋体"/>
          <w:color w:val="auto"/>
          <w:szCs w:val="21"/>
          <w:highlight w:val="none"/>
        </w:rPr>
        <w:t xml:space="preserve">    </w:t>
      </w:r>
    </w:p>
    <w:p w14:paraId="6EAC7014">
      <w:pPr>
        <w:spacing w:line="360" w:lineRule="auto"/>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2A02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C764F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9C764F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upperLetter"/>
      <w:pStyle w:val="2"/>
      <w:lvlText w:val="%1．"/>
      <w:lvlJc w:val="left"/>
      <w:pPr>
        <w:tabs>
          <w:tab w:val="left" w:pos="324"/>
        </w:tabs>
        <w:ind w:left="4524" w:hanging="32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D65316"/>
    <w:rsid w:val="29C23C24"/>
    <w:rsid w:val="3ED35F18"/>
    <w:rsid w:val="50977D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jc w:val="center"/>
      <w:outlineLvl w:val="0"/>
    </w:pPr>
    <w:rPr>
      <w:rFonts w:ascii="黑体" w:eastAsia="黑体"/>
      <w:sz w:val="30"/>
      <w:szCs w:val="20"/>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unhideWhenUsed/>
    <w:qFormat/>
    <w:uiPriority w:val="0"/>
    <w:pPr>
      <w:spacing w:after="120" w:line="324" w:lineRule="auto"/>
    </w:pPr>
    <w:rPr>
      <w:rFonts w:ascii="Calibri" w:hAnsi="Calibri" w:eastAsia="宋体" w:cs="Times New Roman"/>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 w:type="paragraph" w:customStyle="1" w:styleId="10">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2178</Words>
  <Characters>2271</Characters>
  <Lines>0</Lines>
  <Paragraphs>0</Paragraphs>
  <TotalTime>1</TotalTime>
  <ScaleCrop>false</ScaleCrop>
  <LinksUpToDate>false</LinksUpToDate>
  <CharactersWithSpaces>2652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2025-06-10T08:28:00Z</dcterms:created>
  <dc:creator>Administrator</dc:creator>
  <cp:lastModifiedBy>Regina</cp:lastModifiedBy>
  <dcterms:modified xsi:type="dcterms:W3CDTF">2025-07-09T01:48:42Z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eyJoZGlkIjoiOWI4Yjg4NjQyOTg2MDVmMzVlMzQwZDIzODEwNTIyNjIiLCJ1c2VySWQiOiIyODcyOTM2OTEifQ==</vt:lpwstr>
  </property>
  <property fmtid="{D5CDD505-2E9C-101B-9397-08002B2CF9AE}" pid="4" name="ICV">
    <vt:lpwstr>2D992B94C80F4029A140A3495E9E44D4_13</vt:lpwstr>
  </property>
</Properties>
</file>