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版本号：【KRDL】K1-250714220250710001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大数据与审计专业省级教学资源库建设项目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【KRDL】K1-2507142</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大数据与审计专业省级教学资源库建设项目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大数据与审计专业省级教学资源库建设项目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旨在打造具有陕西财经职业技术学院特色的大数据与审计专业教学资源库建设，满足线上学习及线上线下混合教学模式的需求，全面推进资源库建设，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国资处原老师、国资处党老师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029-89569197、18291007611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029-89569197、19829085077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无 </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采购包1保证金金额：4,001.00元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联系电话：029-89569197、19829085077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打造具有陕西财经职业技术学院特色的大数据与审计专业教学资源库建设，满足线上学习及线上线下混合教学模式的需求，全面推进资源库建设，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一、课程</w:t>
            </w:r>
            <w:r>
              <w:rPr>
                <w:rFonts w:ascii="仿宋_GB2312" w:hAnsi="仿宋_GB2312" w:cs="仿宋_GB2312" w:eastAsia="仿宋_GB2312"/>
                <w:sz w:val="24"/>
              </w:rPr>
              <w:t>资源</w:t>
            </w:r>
            <w:r>
              <w:rPr>
                <w:rFonts w:ascii="仿宋_GB2312" w:hAnsi="仿宋_GB2312" w:cs="仿宋_GB2312" w:eastAsia="仿宋_GB2312"/>
                <w:sz w:val="24"/>
              </w:rPr>
              <w:t>内容要求</w:t>
            </w:r>
          </w:p>
          <w:p>
            <w:pPr>
              <w:pStyle w:val="null3"/>
              <w:jc w:val="both"/>
            </w:pPr>
            <w:r>
              <w:rPr>
                <w:rFonts w:ascii="仿宋_GB2312" w:hAnsi="仿宋_GB2312" w:cs="仿宋_GB2312" w:eastAsia="仿宋_GB2312"/>
                <w:sz w:val="24"/>
              </w:rPr>
              <w:t>（一）视频</w:t>
            </w:r>
            <w:r>
              <w:rPr>
                <w:rFonts w:ascii="仿宋_GB2312" w:hAnsi="仿宋_GB2312" w:cs="仿宋_GB2312" w:eastAsia="仿宋_GB2312"/>
                <w:sz w:val="24"/>
              </w:rPr>
              <w:t>资源</w:t>
            </w:r>
            <w:r>
              <w:rPr>
                <w:rFonts w:ascii="仿宋_GB2312" w:hAnsi="仿宋_GB2312" w:cs="仿宋_GB2312" w:eastAsia="仿宋_GB2312"/>
                <w:sz w:val="24"/>
              </w:rPr>
              <w:t>要求：</w:t>
            </w:r>
            <w:r>
              <w:br/>
            </w:r>
            <w:r>
              <w:rPr>
                <w:rFonts w:ascii="仿宋_GB2312" w:hAnsi="仿宋_GB2312" w:cs="仿宋_GB2312" w:eastAsia="仿宋_GB2312"/>
                <w:sz w:val="24"/>
              </w:rPr>
              <w:t>1.</w:t>
            </w:r>
            <w:r>
              <w:rPr>
                <w:rFonts w:ascii="仿宋_GB2312" w:hAnsi="仿宋_GB2312" w:cs="仿宋_GB2312" w:eastAsia="仿宋_GB2312"/>
                <w:sz w:val="24"/>
              </w:rPr>
              <w:t>为保证</w:t>
            </w:r>
            <w:r>
              <w:rPr>
                <w:rFonts w:ascii="仿宋_GB2312" w:hAnsi="仿宋_GB2312" w:cs="仿宋_GB2312" w:eastAsia="仿宋_GB2312"/>
                <w:sz w:val="24"/>
              </w:rPr>
              <w:t>资源库资源内容丰富</w:t>
            </w:r>
            <w:r>
              <w:rPr>
                <w:rFonts w:ascii="仿宋_GB2312" w:hAnsi="仿宋_GB2312" w:cs="仿宋_GB2312" w:eastAsia="仿宋_GB2312"/>
                <w:sz w:val="24"/>
              </w:rPr>
              <w:t>，成交（中标）企业需要向院校提供《</w:t>
            </w:r>
            <w:r>
              <w:rPr>
                <w:rFonts w:ascii="仿宋_GB2312" w:hAnsi="仿宋_GB2312" w:cs="仿宋_GB2312" w:eastAsia="仿宋_GB2312"/>
                <w:sz w:val="24"/>
              </w:rPr>
              <w:t>内部审计</w:t>
            </w:r>
            <w:r>
              <w:rPr>
                <w:rFonts w:ascii="仿宋_GB2312" w:hAnsi="仿宋_GB2312" w:cs="仿宋_GB2312" w:eastAsia="仿宋_GB2312"/>
                <w:sz w:val="24"/>
              </w:rPr>
              <w:t>》课程资源，</w:t>
            </w:r>
            <w:r>
              <w:rPr>
                <w:rFonts w:ascii="仿宋_GB2312" w:hAnsi="仿宋_GB2312" w:cs="仿宋_GB2312" w:eastAsia="仿宋_GB2312"/>
                <w:sz w:val="24"/>
              </w:rPr>
              <w:t>并</w:t>
            </w:r>
            <w:r>
              <w:rPr>
                <w:rFonts w:ascii="仿宋_GB2312" w:hAnsi="仿宋_GB2312" w:cs="仿宋_GB2312" w:eastAsia="仿宋_GB2312"/>
                <w:sz w:val="24"/>
              </w:rPr>
              <w:t>提供课程资源平台在线云账号不少于</w:t>
            </w:r>
            <w:r>
              <w:rPr>
                <w:rFonts w:ascii="仿宋_GB2312" w:hAnsi="仿宋_GB2312" w:cs="仿宋_GB2312" w:eastAsia="仿宋_GB2312"/>
                <w:sz w:val="24"/>
              </w:rPr>
              <w:t>50</w:t>
            </w:r>
            <w:r>
              <w:rPr>
                <w:rFonts w:ascii="仿宋_GB2312" w:hAnsi="仿宋_GB2312" w:cs="仿宋_GB2312" w:eastAsia="仿宋_GB2312"/>
                <w:sz w:val="24"/>
              </w:rPr>
              <w:t>个，使用期限为从中标之日起</w:t>
            </w:r>
            <w:r>
              <w:rPr>
                <w:rFonts w:ascii="仿宋_GB2312" w:hAnsi="仿宋_GB2312" w:cs="仿宋_GB2312" w:eastAsia="仿宋_GB2312"/>
                <w:sz w:val="24"/>
              </w:rPr>
              <w:t>六</w:t>
            </w:r>
            <w:r>
              <w:rPr>
                <w:rFonts w:ascii="仿宋_GB2312" w:hAnsi="仿宋_GB2312" w:cs="仿宋_GB2312" w:eastAsia="仿宋_GB2312"/>
                <w:sz w:val="24"/>
              </w:rPr>
              <w:t>个月。</w:t>
            </w:r>
            <w:r>
              <w:br/>
            </w:r>
            <w:r>
              <w:rPr>
                <w:rFonts w:ascii="仿宋_GB2312" w:hAnsi="仿宋_GB2312" w:cs="仿宋_GB2312" w:eastAsia="仿宋_GB2312"/>
                <w:sz w:val="24"/>
              </w:rPr>
              <w:t>（</w:t>
            </w:r>
            <w:r>
              <w:rPr>
                <w:rFonts w:ascii="仿宋_GB2312" w:hAnsi="仿宋_GB2312" w:cs="仿宋_GB2312" w:eastAsia="仿宋_GB2312"/>
                <w:sz w:val="24"/>
              </w:rPr>
              <w:t>1）课程视频不少于14个章节，总时长不少于1400分钟；</w:t>
            </w:r>
            <w:r>
              <w:br/>
            </w:r>
            <w:r>
              <w:rPr>
                <w:rFonts w:ascii="仿宋_GB2312" w:hAnsi="仿宋_GB2312" w:cs="仿宋_GB2312" w:eastAsia="仿宋_GB2312"/>
                <w:sz w:val="24"/>
              </w:rPr>
              <w:t>（</w:t>
            </w:r>
            <w:r>
              <w:rPr>
                <w:rFonts w:ascii="仿宋_GB2312" w:hAnsi="仿宋_GB2312" w:cs="仿宋_GB2312" w:eastAsia="仿宋_GB2312"/>
                <w:sz w:val="24"/>
              </w:rPr>
              <w:t>2）课程视频包括知识精讲视频。知识精讲视频侧重于知识内容讲解；</w:t>
            </w:r>
          </w:p>
          <w:p>
            <w:pPr>
              <w:pStyle w:val="null3"/>
              <w:jc w:val="both"/>
            </w:pPr>
            <w:r>
              <w:rPr>
                <w:rFonts w:ascii="仿宋_GB2312" w:hAnsi="仿宋_GB2312" w:cs="仿宋_GB2312" w:eastAsia="仿宋_GB2312"/>
                <w:sz w:val="24"/>
              </w:rPr>
              <w:t>【此项需演示】</w:t>
            </w:r>
            <w:r>
              <w:rPr>
                <w:rFonts w:ascii="仿宋_GB2312" w:hAnsi="仿宋_GB2312" w:cs="仿宋_GB2312" w:eastAsia="仿宋_GB2312"/>
                <w:sz w:val="24"/>
              </w:rPr>
              <w:t>（</w:t>
            </w:r>
            <w:r>
              <w:rPr>
                <w:rFonts w:ascii="仿宋_GB2312" w:hAnsi="仿宋_GB2312" w:cs="仿宋_GB2312" w:eastAsia="仿宋_GB2312"/>
                <w:sz w:val="24"/>
              </w:rPr>
              <w:t>3）资源主要包括：为内部审计制订政策和程序、审查其作用和其直接行政活动、对内审人员的评价以及面试、评估风险管理过程、评估风险管理过程的有效性、对内部审计的风险进行管理确保内部审计活动的有效性、内部控制和风险管理的总体意见及评价报告、保持有效的质量保证与改进程序、识别新的内部审计业务机会和潜在业务来源、评估组织范围内的风险、建立评估风险的框架、确定风险的优先次序、识别内部审计资源需求、向董事会报告重大风险领域并获得其对年度业务计划的批准、风险和控制自我评估、第三方审计和合同审计、质量、安全、绩效、财务等审计业务、合规性审计业务、咨询业务及其系统开发审查（系统软件开发、语音通信、系统安全）、数据库、Web基础设施、软件许可等及业绩计分卡（BSC）、建立审计业务标准，确定审计业务范围、计划审计业务、评估风险因素、确定审计任务程序和编制审计业务工作方案、编制审计人员时间表，合理有效安排时间、指导/监督单项审计业务、复核工作底稿、召开出点会及完成审计业务人员绩效评价、初步沟通、进展、建议和编制报告的质量内容要求、编制审计报告的格式要求、报告的批准、分发、回应、监督审计业务结果的方法、跟踪活动和回应、定期向高级管理层和董事会报告重大的审计问题、发现舞弊、舞弊行为的种类和发生因素、舞弊三因素等不少于35个技能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为保证</w:t>
            </w:r>
            <w:r>
              <w:rPr>
                <w:rFonts w:ascii="仿宋_GB2312" w:hAnsi="仿宋_GB2312" w:cs="仿宋_GB2312" w:eastAsia="仿宋_GB2312"/>
                <w:sz w:val="24"/>
              </w:rPr>
              <w:t>资源库资源内容丰富</w:t>
            </w:r>
            <w:r>
              <w:rPr>
                <w:rFonts w:ascii="仿宋_GB2312" w:hAnsi="仿宋_GB2312" w:cs="仿宋_GB2312" w:eastAsia="仿宋_GB2312"/>
                <w:sz w:val="24"/>
              </w:rPr>
              <w:t>，成交（中标）企业需要向院校提供《审计职业素养与职业发展》课程资源，</w:t>
            </w:r>
            <w:r>
              <w:rPr>
                <w:rFonts w:ascii="仿宋_GB2312" w:hAnsi="仿宋_GB2312" w:cs="仿宋_GB2312" w:eastAsia="仿宋_GB2312"/>
                <w:sz w:val="24"/>
              </w:rPr>
              <w:t>并</w:t>
            </w:r>
            <w:r>
              <w:rPr>
                <w:rFonts w:ascii="仿宋_GB2312" w:hAnsi="仿宋_GB2312" w:cs="仿宋_GB2312" w:eastAsia="仿宋_GB2312"/>
                <w:sz w:val="24"/>
              </w:rPr>
              <w:t>提供课程资源平台在线云账号不少于</w:t>
            </w:r>
            <w:r>
              <w:rPr>
                <w:rFonts w:ascii="仿宋_GB2312" w:hAnsi="仿宋_GB2312" w:cs="仿宋_GB2312" w:eastAsia="仿宋_GB2312"/>
                <w:sz w:val="24"/>
              </w:rPr>
              <w:t>50</w:t>
            </w:r>
            <w:r>
              <w:rPr>
                <w:rFonts w:ascii="仿宋_GB2312" w:hAnsi="仿宋_GB2312" w:cs="仿宋_GB2312" w:eastAsia="仿宋_GB2312"/>
                <w:sz w:val="24"/>
              </w:rPr>
              <w:t>个，使用期限为从中标之日起</w:t>
            </w:r>
            <w:r>
              <w:rPr>
                <w:rFonts w:ascii="仿宋_GB2312" w:hAnsi="仿宋_GB2312" w:cs="仿宋_GB2312" w:eastAsia="仿宋_GB2312"/>
                <w:sz w:val="24"/>
              </w:rPr>
              <w:t>六</w:t>
            </w:r>
            <w:r>
              <w:rPr>
                <w:rFonts w:ascii="仿宋_GB2312" w:hAnsi="仿宋_GB2312" w:cs="仿宋_GB2312" w:eastAsia="仿宋_GB2312"/>
                <w:sz w:val="24"/>
              </w:rPr>
              <w:t>个月。</w:t>
            </w:r>
            <w:r>
              <w:br/>
            </w:r>
            <w:r>
              <w:rPr>
                <w:rFonts w:ascii="仿宋_GB2312" w:hAnsi="仿宋_GB2312" w:cs="仿宋_GB2312" w:eastAsia="仿宋_GB2312"/>
                <w:sz w:val="24"/>
              </w:rPr>
              <w:t>【此项需演示】</w:t>
            </w:r>
            <w:r>
              <w:rPr>
                <w:rFonts w:ascii="仿宋_GB2312" w:hAnsi="仿宋_GB2312" w:cs="仿宋_GB2312" w:eastAsia="仿宋_GB2312"/>
                <w:sz w:val="24"/>
              </w:rPr>
              <w:t>（</w:t>
            </w:r>
            <w:r>
              <w:rPr>
                <w:rFonts w:ascii="仿宋_GB2312" w:hAnsi="仿宋_GB2312" w:cs="仿宋_GB2312" w:eastAsia="仿宋_GB2312"/>
                <w:sz w:val="24"/>
              </w:rPr>
              <w:t>1）课程视频不少于</w:t>
            </w:r>
            <w:r>
              <w:rPr>
                <w:rFonts w:ascii="仿宋_GB2312" w:hAnsi="仿宋_GB2312" w:cs="仿宋_GB2312" w:eastAsia="仿宋_GB2312"/>
                <w:sz w:val="24"/>
              </w:rPr>
              <w:t>4</w:t>
            </w:r>
            <w:r>
              <w:rPr>
                <w:rFonts w:ascii="仿宋_GB2312" w:hAnsi="仿宋_GB2312" w:cs="仿宋_GB2312" w:eastAsia="仿宋_GB2312"/>
                <w:sz w:val="24"/>
              </w:rPr>
              <w:t>个章节，总时长不少于</w:t>
            </w:r>
            <w:r>
              <w:rPr>
                <w:rFonts w:ascii="仿宋_GB2312" w:hAnsi="仿宋_GB2312" w:cs="仿宋_GB2312" w:eastAsia="仿宋_GB2312"/>
                <w:sz w:val="24"/>
              </w:rPr>
              <w:t>700</w:t>
            </w:r>
            <w:r>
              <w:rPr>
                <w:rFonts w:ascii="仿宋_GB2312" w:hAnsi="仿宋_GB2312" w:cs="仿宋_GB2312" w:eastAsia="仿宋_GB2312"/>
                <w:sz w:val="24"/>
              </w:rPr>
              <w:t>分钟；</w:t>
            </w:r>
            <w:r>
              <w:br/>
            </w:r>
            <w:r>
              <w:rPr>
                <w:rFonts w:ascii="仿宋_GB2312" w:hAnsi="仿宋_GB2312" w:cs="仿宋_GB2312" w:eastAsia="仿宋_GB2312"/>
                <w:sz w:val="24"/>
              </w:rPr>
              <w:t>（</w:t>
            </w:r>
            <w:r>
              <w:rPr>
                <w:rFonts w:ascii="仿宋_GB2312" w:hAnsi="仿宋_GB2312" w:cs="仿宋_GB2312" w:eastAsia="仿宋_GB2312"/>
                <w:sz w:val="24"/>
              </w:rPr>
              <w:t>2）课程视频包括知识精讲视频，知识精讲视频侧重于知识内容讲解；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3）资源主要包括沟通种类、及语言表达方式、恰当的语言和赞美的艺术、高效的沟通事前准备和了解需求、非语言沟通、与不同人沟通、有效沟通、汇报工作概述、汇报工作技巧等</w:t>
            </w:r>
            <w:r>
              <w:rPr>
                <w:rFonts w:ascii="仿宋_GB2312" w:hAnsi="仿宋_GB2312" w:cs="仿宋_GB2312" w:eastAsia="仿宋_GB2312"/>
                <w:sz w:val="24"/>
              </w:rPr>
              <w:t>不少于</w:t>
            </w:r>
            <w:r>
              <w:rPr>
                <w:rFonts w:ascii="仿宋_GB2312" w:hAnsi="仿宋_GB2312" w:cs="仿宋_GB2312" w:eastAsia="仿宋_GB2312"/>
                <w:sz w:val="24"/>
              </w:rPr>
              <w:t>15个技能点。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为保证</w:t>
            </w:r>
            <w:r>
              <w:rPr>
                <w:rFonts w:ascii="仿宋_GB2312" w:hAnsi="仿宋_GB2312" w:cs="仿宋_GB2312" w:eastAsia="仿宋_GB2312"/>
                <w:sz w:val="24"/>
              </w:rPr>
              <w:t>资源库资源内容丰富</w:t>
            </w:r>
            <w:r>
              <w:rPr>
                <w:rFonts w:ascii="仿宋_GB2312" w:hAnsi="仿宋_GB2312" w:cs="仿宋_GB2312" w:eastAsia="仿宋_GB2312"/>
                <w:sz w:val="24"/>
              </w:rPr>
              <w:t>，成交（中标）企业需要向院校提供《</w:t>
            </w:r>
            <w:r>
              <w:rPr>
                <w:rFonts w:ascii="仿宋_GB2312" w:hAnsi="仿宋_GB2312" w:cs="仿宋_GB2312" w:eastAsia="仿宋_GB2312"/>
                <w:sz w:val="24"/>
              </w:rPr>
              <w:t>审计</w:t>
            </w:r>
            <w:r>
              <w:rPr>
                <w:rFonts w:ascii="仿宋_GB2312" w:hAnsi="仿宋_GB2312" w:cs="仿宋_GB2312" w:eastAsia="仿宋_GB2312"/>
                <w:sz w:val="24"/>
              </w:rPr>
              <w:t>》课程资源，</w:t>
            </w:r>
            <w:r>
              <w:rPr>
                <w:rFonts w:ascii="仿宋_GB2312" w:hAnsi="仿宋_GB2312" w:cs="仿宋_GB2312" w:eastAsia="仿宋_GB2312"/>
                <w:sz w:val="24"/>
              </w:rPr>
              <w:t>并</w:t>
            </w:r>
            <w:r>
              <w:rPr>
                <w:rFonts w:ascii="仿宋_GB2312" w:hAnsi="仿宋_GB2312" w:cs="仿宋_GB2312" w:eastAsia="仿宋_GB2312"/>
                <w:sz w:val="24"/>
              </w:rPr>
              <w:t>提供课程资源平台在线云账号不少于</w:t>
            </w:r>
            <w:r>
              <w:rPr>
                <w:rFonts w:ascii="仿宋_GB2312" w:hAnsi="仿宋_GB2312" w:cs="仿宋_GB2312" w:eastAsia="仿宋_GB2312"/>
                <w:sz w:val="24"/>
              </w:rPr>
              <w:t>50</w:t>
            </w:r>
            <w:r>
              <w:rPr>
                <w:rFonts w:ascii="仿宋_GB2312" w:hAnsi="仿宋_GB2312" w:cs="仿宋_GB2312" w:eastAsia="仿宋_GB2312"/>
                <w:sz w:val="24"/>
              </w:rPr>
              <w:t>个，使用期限为从中标之日起</w:t>
            </w:r>
            <w:r>
              <w:rPr>
                <w:rFonts w:ascii="仿宋_GB2312" w:hAnsi="仿宋_GB2312" w:cs="仿宋_GB2312" w:eastAsia="仿宋_GB2312"/>
                <w:sz w:val="24"/>
              </w:rPr>
              <w:t>六</w:t>
            </w:r>
            <w:r>
              <w:rPr>
                <w:rFonts w:ascii="仿宋_GB2312" w:hAnsi="仿宋_GB2312" w:cs="仿宋_GB2312" w:eastAsia="仿宋_GB2312"/>
                <w:sz w:val="24"/>
              </w:rPr>
              <w:t>个月。</w:t>
            </w:r>
          </w:p>
          <w:p>
            <w:pPr>
              <w:pStyle w:val="null3"/>
              <w:jc w:val="both"/>
            </w:pPr>
            <w:r>
              <w:rPr>
                <w:rFonts w:ascii="仿宋_GB2312" w:hAnsi="仿宋_GB2312" w:cs="仿宋_GB2312" w:eastAsia="仿宋_GB2312"/>
                <w:sz w:val="24"/>
              </w:rPr>
              <w:t>【此项需演示】</w:t>
            </w:r>
            <w:r>
              <w:rPr>
                <w:rFonts w:ascii="仿宋_GB2312" w:hAnsi="仿宋_GB2312" w:cs="仿宋_GB2312" w:eastAsia="仿宋_GB2312"/>
                <w:sz w:val="24"/>
              </w:rPr>
              <w:t>（</w:t>
            </w:r>
            <w:r>
              <w:rPr>
                <w:rFonts w:ascii="仿宋_GB2312" w:hAnsi="仿宋_GB2312" w:cs="仿宋_GB2312" w:eastAsia="仿宋_GB2312"/>
                <w:sz w:val="24"/>
              </w:rPr>
              <w:t>1）课程视频不少于16个章节</w:t>
            </w:r>
            <w:r>
              <w:rPr>
                <w:rFonts w:ascii="仿宋_GB2312" w:hAnsi="仿宋_GB2312" w:cs="仿宋_GB2312" w:eastAsia="仿宋_GB2312"/>
                <w:sz w:val="24"/>
              </w:rPr>
              <w:t>，</w:t>
            </w:r>
            <w:r>
              <w:rPr>
                <w:rFonts w:ascii="仿宋_GB2312" w:hAnsi="仿宋_GB2312" w:cs="仿宋_GB2312" w:eastAsia="仿宋_GB2312"/>
                <w:sz w:val="24"/>
              </w:rPr>
              <w:t>总时长不少于</w:t>
            </w:r>
            <w:r>
              <w:rPr>
                <w:rFonts w:ascii="仿宋_GB2312" w:hAnsi="仿宋_GB2312" w:cs="仿宋_GB2312" w:eastAsia="仿宋_GB2312"/>
                <w:sz w:val="24"/>
              </w:rPr>
              <w:t>2500分钟；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2）课程视频包括知识精讲视频。知识精讲视频侧重于知识内容讲解。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3）资源主要包括：影视剧中的审计三方关系、审计的产生与发展</w:t>
            </w:r>
            <w:r>
              <w:rPr>
                <w:rFonts w:ascii="仿宋_GB2312" w:hAnsi="仿宋_GB2312" w:cs="仿宋_GB2312" w:eastAsia="仿宋_GB2312"/>
                <w:sz w:val="24"/>
              </w:rPr>
              <w:t>、</w:t>
            </w:r>
            <w:r>
              <w:rPr>
                <w:rFonts w:ascii="仿宋_GB2312" w:hAnsi="仿宋_GB2312" w:cs="仿宋_GB2312" w:eastAsia="仿宋_GB2312"/>
                <w:sz w:val="24"/>
              </w:rPr>
              <w:t>注册会计师职业概述</w:t>
            </w:r>
            <w:r>
              <w:rPr>
                <w:rFonts w:ascii="仿宋_GB2312" w:hAnsi="仿宋_GB2312" w:cs="仿宋_GB2312" w:eastAsia="仿宋_GB2312"/>
                <w:sz w:val="24"/>
              </w:rPr>
              <w:t>、</w:t>
            </w:r>
            <w:r>
              <w:rPr>
                <w:rFonts w:ascii="仿宋_GB2312" w:hAnsi="仿宋_GB2312" w:cs="仿宋_GB2312" w:eastAsia="仿宋_GB2312"/>
                <w:sz w:val="24"/>
              </w:rPr>
              <w:t>审计的含义与种类、注册会计师审计与其他类型审计的关系</w:t>
            </w:r>
            <w:r>
              <w:rPr>
                <w:rFonts w:ascii="仿宋_GB2312" w:hAnsi="仿宋_GB2312" w:cs="仿宋_GB2312" w:eastAsia="仿宋_GB2312"/>
                <w:sz w:val="24"/>
              </w:rPr>
              <w:t>、</w:t>
            </w:r>
            <w:r>
              <w:rPr>
                <w:rFonts w:ascii="仿宋_GB2312" w:hAnsi="仿宋_GB2312" w:cs="仿宋_GB2312" w:eastAsia="仿宋_GB2312"/>
                <w:sz w:val="24"/>
              </w:rPr>
              <w:t>职业道德基本原则、职业道德概念框架</w:t>
            </w:r>
            <w:r>
              <w:rPr>
                <w:rFonts w:ascii="仿宋_GB2312" w:hAnsi="仿宋_GB2312" w:cs="仿宋_GB2312" w:eastAsia="仿宋_GB2312"/>
                <w:sz w:val="24"/>
              </w:rPr>
              <w:t>、</w:t>
            </w:r>
            <w:r>
              <w:rPr>
                <w:rFonts w:ascii="仿宋_GB2312" w:hAnsi="仿宋_GB2312" w:cs="仿宋_GB2312" w:eastAsia="仿宋_GB2312"/>
                <w:sz w:val="24"/>
              </w:rPr>
              <w:t>职业道德概念框架的运用</w:t>
            </w:r>
            <w:r>
              <w:rPr>
                <w:rFonts w:ascii="仿宋_GB2312" w:hAnsi="仿宋_GB2312" w:cs="仿宋_GB2312" w:eastAsia="仿宋_GB2312"/>
                <w:sz w:val="24"/>
              </w:rPr>
              <w:t>、</w:t>
            </w:r>
            <w:r>
              <w:rPr>
                <w:rFonts w:ascii="仿宋_GB2312" w:hAnsi="仿宋_GB2312" w:cs="仿宋_GB2312" w:eastAsia="仿宋_GB2312"/>
                <w:sz w:val="24"/>
              </w:rPr>
              <w:t>审计独立性的相关概念与要求</w:t>
            </w:r>
            <w:r>
              <w:rPr>
                <w:rFonts w:ascii="仿宋_GB2312" w:hAnsi="仿宋_GB2312" w:cs="仿宋_GB2312" w:eastAsia="仿宋_GB2312"/>
                <w:sz w:val="24"/>
              </w:rPr>
              <w:t>、</w:t>
            </w:r>
            <w:r>
              <w:rPr>
                <w:rFonts w:ascii="仿宋_GB2312" w:hAnsi="仿宋_GB2312" w:cs="仿宋_GB2312" w:eastAsia="仿宋_GB2312"/>
                <w:sz w:val="24"/>
              </w:rPr>
              <w:t>经济利益对审计独立性的影响</w:t>
            </w:r>
            <w:r>
              <w:rPr>
                <w:rFonts w:ascii="仿宋_GB2312" w:hAnsi="仿宋_GB2312" w:cs="仿宋_GB2312" w:eastAsia="仿宋_GB2312"/>
                <w:sz w:val="24"/>
              </w:rPr>
              <w:t>、</w:t>
            </w:r>
            <w:r>
              <w:rPr>
                <w:rFonts w:ascii="仿宋_GB2312" w:hAnsi="仿宋_GB2312" w:cs="仿宋_GB2312" w:eastAsia="仿宋_GB2312"/>
                <w:sz w:val="24"/>
              </w:rPr>
              <w:t>密切关系对审计独立性的影响</w:t>
            </w:r>
            <w:r>
              <w:rPr>
                <w:rFonts w:ascii="仿宋_GB2312" w:hAnsi="仿宋_GB2312" w:cs="仿宋_GB2312" w:eastAsia="仿宋_GB2312"/>
                <w:sz w:val="24"/>
              </w:rPr>
              <w:t>、</w:t>
            </w:r>
            <w:r>
              <w:rPr>
                <w:rFonts w:ascii="仿宋_GB2312" w:hAnsi="仿宋_GB2312" w:cs="仿宋_GB2312" w:eastAsia="仿宋_GB2312"/>
                <w:sz w:val="24"/>
              </w:rPr>
              <w:t>为审计客户提供非鉴证服务</w:t>
            </w:r>
            <w:r>
              <w:rPr>
                <w:rFonts w:ascii="仿宋_GB2312" w:hAnsi="仿宋_GB2312" w:cs="仿宋_GB2312" w:eastAsia="仿宋_GB2312"/>
                <w:sz w:val="24"/>
              </w:rPr>
              <w:t>、</w:t>
            </w:r>
            <w:r>
              <w:rPr>
                <w:rFonts w:ascii="仿宋_GB2312" w:hAnsi="仿宋_GB2312" w:cs="仿宋_GB2312" w:eastAsia="仿宋_GB2312"/>
                <w:sz w:val="24"/>
              </w:rPr>
              <w:t>注册会计师的法律责任</w:t>
            </w:r>
            <w:r>
              <w:rPr>
                <w:rFonts w:ascii="仿宋_GB2312" w:hAnsi="仿宋_GB2312" w:cs="仿宋_GB2312" w:eastAsia="仿宋_GB2312"/>
                <w:sz w:val="24"/>
              </w:rPr>
              <w:t>、</w:t>
            </w:r>
            <w:r>
              <w:rPr>
                <w:rFonts w:ascii="仿宋_GB2312" w:hAnsi="仿宋_GB2312" w:cs="仿宋_GB2312" w:eastAsia="仿宋_GB2312"/>
                <w:sz w:val="24"/>
              </w:rPr>
              <w:t>执业准则建设概述、鉴证业务的定义、分类与目标</w:t>
            </w:r>
            <w:r>
              <w:rPr>
                <w:rFonts w:ascii="仿宋_GB2312" w:hAnsi="仿宋_GB2312" w:cs="仿宋_GB2312" w:eastAsia="仿宋_GB2312"/>
                <w:sz w:val="24"/>
              </w:rPr>
              <w:t>、</w:t>
            </w:r>
            <w:r>
              <w:rPr>
                <w:rFonts w:ascii="仿宋_GB2312" w:hAnsi="仿宋_GB2312" w:cs="仿宋_GB2312" w:eastAsia="仿宋_GB2312"/>
                <w:sz w:val="24"/>
              </w:rPr>
              <w:t>鉴证业务要素</w:t>
            </w:r>
            <w:r>
              <w:rPr>
                <w:rFonts w:ascii="仿宋_GB2312" w:hAnsi="仿宋_GB2312" w:cs="仿宋_GB2312" w:eastAsia="仿宋_GB2312"/>
                <w:sz w:val="24"/>
              </w:rPr>
              <w:t>、</w:t>
            </w:r>
            <w:r>
              <w:rPr>
                <w:rFonts w:ascii="仿宋_GB2312" w:hAnsi="仿宋_GB2312" w:cs="仿宋_GB2312" w:eastAsia="仿宋_GB2312"/>
                <w:sz w:val="24"/>
              </w:rPr>
              <w:t>业务的承接、财务报表审计的基本概念</w:t>
            </w:r>
            <w:r>
              <w:rPr>
                <w:rFonts w:ascii="仿宋_GB2312" w:hAnsi="仿宋_GB2312" w:cs="仿宋_GB2312" w:eastAsia="仿宋_GB2312"/>
                <w:sz w:val="24"/>
              </w:rPr>
              <w:t>、</w:t>
            </w:r>
            <w:r>
              <w:rPr>
                <w:rFonts w:ascii="仿宋_GB2312" w:hAnsi="仿宋_GB2312" w:cs="仿宋_GB2312" w:eastAsia="仿宋_GB2312"/>
                <w:sz w:val="24"/>
              </w:rPr>
              <w:t>初步业务活动、管理层的认定等不少于</w:t>
            </w:r>
            <w:r>
              <w:rPr>
                <w:rFonts w:ascii="仿宋_GB2312" w:hAnsi="仿宋_GB2312" w:cs="仿宋_GB2312" w:eastAsia="仿宋_GB2312"/>
                <w:sz w:val="24"/>
              </w:rPr>
              <w:t>80个技能点。</w:t>
            </w:r>
            <w:r>
              <w:br/>
            </w:r>
            <w:r>
              <w:rPr>
                <w:rFonts w:ascii="仿宋_GB2312" w:hAnsi="仿宋_GB2312" w:cs="仿宋_GB2312" w:eastAsia="仿宋_GB2312"/>
                <w:sz w:val="24"/>
              </w:rPr>
              <w:t>4.</w:t>
            </w:r>
            <w:r>
              <w:rPr>
                <w:rFonts w:ascii="仿宋_GB2312" w:hAnsi="仿宋_GB2312" w:cs="仿宋_GB2312" w:eastAsia="仿宋_GB2312"/>
                <w:sz w:val="24"/>
              </w:rPr>
              <w:t>为保证</w:t>
            </w:r>
            <w:r>
              <w:rPr>
                <w:rFonts w:ascii="仿宋_GB2312" w:hAnsi="仿宋_GB2312" w:cs="仿宋_GB2312" w:eastAsia="仿宋_GB2312"/>
                <w:sz w:val="24"/>
              </w:rPr>
              <w:t>资源库资源内容丰富</w:t>
            </w:r>
            <w:r>
              <w:rPr>
                <w:rFonts w:ascii="仿宋_GB2312" w:hAnsi="仿宋_GB2312" w:cs="仿宋_GB2312" w:eastAsia="仿宋_GB2312"/>
                <w:sz w:val="24"/>
              </w:rPr>
              <w:t>，成交（中标）企业需要向院校提供</w:t>
            </w:r>
            <w:r>
              <w:rPr>
                <w:rFonts w:ascii="仿宋_GB2312" w:hAnsi="仿宋_GB2312" w:cs="仿宋_GB2312" w:eastAsia="仿宋_GB2312"/>
                <w:sz w:val="24"/>
              </w:rPr>
              <w:t>《</w:t>
            </w:r>
            <w:r>
              <w:rPr>
                <w:rFonts w:ascii="仿宋_GB2312" w:hAnsi="仿宋_GB2312" w:cs="仿宋_GB2312" w:eastAsia="仿宋_GB2312"/>
                <w:sz w:val="24"/>
              </w:rPr>
              <w:t>审计实务</w:t>
            </w:r>
            <w:r>
              <w:rPr>
                <w:rFonts w:ascii="仿宋_GB2312" w:hAnsi="仿宋_GB2312" w:cs="仿宋_GB2312" w:eastAsia="仿宋_GB2312"/>
                <w:sz w:val="24"/>
              </w:rPr>
              <w:t>》</w:t>
            </w:r>
            <w:r>
              <w:rPr>
                <w:rFonts w:ascii="仿宋_GB2312" w:hAnsi="仿宋_GB2312" w:cs="仿宋_GB2312" w:eastAsia="仿宋_GB2312"/>
                <w:sz w:val="24"/>
              </w:rPr>
              <w:t>课程资源，</w:t>
            </w:r>
            <w:r>
              <w:rPr>
                <w:rFonts w:ascii="仿宋_GB2312" w:hAnsi="仿宋_GB2312" w:cs="仿宋_GB2312" w:eastAsia="仿宋_GB2312"/>
                <w:sz w:val="24"/>
              </w:rPr>
              <w:t>并</w:t>
            </w:r>
            <w:r>
              <w:rPr>
                <w:rFonts w:ascii="仿宋_GB2312" w:hAnsi="仿宋_GB2312" w:cs="仿宋_GB2312" w:eastAsia="仿宋_GB2312"/>
                <w:sz w:val="24"/>
              </w:rPr>
              <w:t>提供课程资源平台在线云账号不少于</w:t>
            </w:r>
            <w:r>
              <w:rPr>
                <w:rFonts w:ascii="仿宋_GB2312" w:hAnsi="仿宋_GB2312" w:cs="仿宋_GB2312" w:eastAsia="仿宋_GB2312"/>
                <w:sz w:val="24"/>
              </w:rPr>
              <w:t>50</w:t>
            </w:r>
            <w:r>
              <w:rPr>
                <w:rFonts w:ascii="仿宋_GB2312" w:hAnsi="仿宋_GB2312" w:cs="仿宋_GB2312" w:eastAsia="仿宋_GB2312"/>
                <w:sz w:val="24"/>
              </w:rPr>
              <w:t>个，使用期限为从中标之日起</w:t>
            </w:r>
            <w:r>
              <w:rPr>
                <w:rFonts w:ascii="仿宋_GB2312" w:hAnsi="仿宋_GB2312" w:cs="仿宋_GB2312" w:eastAsia="仿宋_GB2312"/>
                <w:sz w:val="24"/>
              </w:rPr>
              <w:t>六</w:t>
            </w:r>
            <w:r>
              <w:rPr>
                <w:rFonts w:ascii="仿宋_GB2312" w:hAnsi="仿宋_GB2312" w:cs="仿宋_GB2312" w:eastAsia="仿宋_GB2312"/>
                <w:sz w:val="24"/>
              </w:rPr>
              <w:t>个月。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1）课程视频不少于10个章节，总时长不少于2500分钟；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2）课程视频包括知识精讲视频。知识精讲视频侧重于知识内容讲解。</w:t>
            </w:r>
          </w:p>
          <w:p>
            <w:pPr>
              <w:pStyle w:val="null3"/>
              <w:jc w:val="both"/>
            </w:pPr>
            <w:r>
              <w:rPr>
                <w:rFonts w:ascii="仿宋_GB2312" w:hAnsi="仿宋_GB2312" w:cs="仿宋_GB2312" w:eastAsia="仿宋_GB2312"/>
                <w:sz w:val="24"/>
              </w:rPr>
              <w:t>【此项需演示】</w:t>
            </w:r>
            <w:r>
              <w:rPr>
                <w:rFonts w:ascii="仿宋_GB2312" w:hAnsi="仿宋_GB2312" w:cs="仿宋_GB2312" w:eastAsia="仿宋_GB2312"/>
                <w:sz w:val="24"/>
              </w:rPr>
              <w:t>（</w:t>
            </w:r>
            <w:r>
              <w:rPr>
                <w:rFonts w:ascii="仿宋_GB2312" w:hAnsi="仿宋_GB2312" w:cs="仿宋_GB2312" w:eastAsia="仿宋_GB2312"/>
                <w:sz w:val="24"/>
              </w:rPr>
              <w:t>3）资源主要包括：审计的产生、审计的定义、审计要素、审计目标、审计基本要求、审计风险、审计过程、业务承接</w:t>
            </w:r>
            <w:r>
              <w:rPr>
                <w:rFonts w:ascii="仿宋_GB2312" w:hAnsi="仿宋_GB2312" w:cs="仿宋_GB2312" w:eastAsia="仿宋_GB2312"/>
                <w:sz w:val="24"/>
              </w:rPr>
              <w:t>、</w:t>
            </w:r>
            <w:r>
              <w:rPr>
                <w:rFonts w:ascii="仿宋_GB2312" w:hAnsi="仿宋_GB2312" w:cs="仿宋_GB2312" w:eastAsia="仿宋_GB2312"/>
                <w:sz w:val="24"/>
              </w:rPr>
              <w:t>总体审计策略和具体审计计划</w:t>
            </w:r>
            <w:r>
              <w:rPr>
                <w:rFonts w:ascii="仿宋_GB2312" w:hAnsi="仿宋_GB2312" w:cs="仿宋_GB2312" w:eastAsia="仿宋_GB2312"/>
                <w:sz w:val="24"/>
              </w:rPr>
              <w:t>-总体审计策略</w:t>
            </w:r>
            <w:r>
              <w:rPr>
                <w:rFonts w:ascii="仿宋_GB2312" w:hAnsi="仿宋_GB2312" w:cs="仿宋_GB2312" w:eastAsia="仿宋_GB2312"/>
                <w:sz w:val="24"/>
              </w:rPr>
              <w:t>、</w:t>
            </w:r>
            <w:r>
              <w:rPr>
                <w:rFonts w:ascii="仿宋_GB2312" w:hAnsi="仿宋_GB2312" w:cs="仿宋_GB2312" w:eastAsia="仿宋_GB2312"/>
                <w:sz w:val="24"/>
              </w:rPr>
              <w:t>总体审计策略和具体审计计划</w:t>
            </w:r>
            <w:r>
              <w:rPr>
                <w:rFonts w:ascii="仿宋_GB2312" w:hAnsi="仿宋_GB2312" w:cs="仿宋_GB2312" w:eastAsia="仿宋_GB2312"/>
                <w:sz w:val="24"/>
              </w:rPr>
              <w:t>-具体审计计划、总体审计策略和具体审计计划-计划的更改、指导、监督与复核、重要性-重要性含义、重要性-财务报表整体的重要性</w:t>
            </w:r>
            <w:r>
              <w:rPr>
                <w:rFonts w:ascii="仿宋_GB2312" w:hAnsi="仿宋_GB2312" w:cs="仿宋_GB2312" w:eastAsia="仿宋_GB2312"/>
                <w:sz w:val="24"/>
              </w:rPr>
              <w:t>、</w:t>
            </w:r>
            <w:r>
              <w:rPr>
                <w:rFonts w:ascii="仿宋_GB2312" w:hAnsi="仿宋_GB2312" w:cs="仿宋_GB2312" w:eastAsia="仿宋_GB2312"/>
                <w:sz w:val="24"/>
              </w:rPr>
              <w:t>重要性</w:t>
            </w:r>
            <w:r>
              <w:rPr>
                <w:rFonts w:ascii="仿宋_GB2312" w:hAnsi="仿宋_GB2312" w:cs="仿宋_GB2312" w:eastAsia="仿宋_GB2312"/>
                <w:sz w:val="24"/>
              </w:rPr>
              <w:t>-特定类别交易、账户余额或披露的重要性水平</w:t>
            </w:r>
            <w:r>
              <w:rPr>
                <w:rFonts w:ascii="仿宋_GB2312" w:hAnsi="仿宋_GB2312" w:cs="仿宋_GB2312" w:eastAsia="仿宋_GB2312"/>
                <w:sz w:val="24"/>
              </w:rPr>
              <w:t>、</w:t>
            </w:r>
            <w:r>
              <w:rPr>
                <w:rFonts w:ascii="仿宋_GB2312" w:hAnsi="仿宋_GB2312" w:cs="仿宋_GB2312" w:eastAsia="仿宋_GB2312"/>
                <w:sz w:val="24"/>
              </w:rPr>
              <w:t>重要性</w:t>
            </w:r>
            <w:r>
              <w:rPr>
                <w:rFonts w:ascii="仿宋_GB2312" w:hAnsi="仿宋_GB2312" w:cs="仿宋_GB2312" w:eastAsia="仿宋_GB2312"/>
                <w:sz w:val="24"/>
              </w:rPr>
              <w:t>-实际执行的重要性</w:t>
            </w:r>
            <w:r>
              <w:rPr>
                <w:rFonts w:ascii="仿宋_GB2312" w:hAnsi="仿宋_GB2312" w:cs="仿宋_GB2312" w:eastAsia="仿宋_GB2312"/>
                <w:sz w:val="24"/>
              </w:rPr>
              <w:t>、</w:t>
            </w:r>
            <w:r>
              <w:rPr>
                <w:rFonts w:ascii="仿宋_GB2312" w:hAnsi="仿宋_GB2312" w:cs="仿宋_GB2312" w:eastAsia="仿宋_GB2312"/>
                <w:sz w:val="24"/>
              </w:rPr>
              <w:t>重要性</w:t>
            </w:r>
            <w:r>
              <w:rPr>
                <w:rFonts w:ascii="仿宋_GB2312" w:hAnsi="仿宋_GB2312" w:cs="仿宋_GB2312" w:eastAsia="仿宋_GB2312"/>
                <w:sz w:val="24"/>
              </w:rPr>
              <w:t>-审计过程中修改重要性</w:t>
            </w:r>
            <w:r>
              <w:rPr>
                <w:rFonts w:ascii="仿宋_GB2312" w:hAnsi="仿宋_GB2312" w:cs="仿宋_GB2312" w:eastAsia="仿宋_GB2312"/>
                <w:sz w:val="24"/>
              </w:rPr>
              <w:t>、</w:t>
            </w:r>
            <w:r>
              <w:rPr>
                <w:rFonts w:ascii="仿宋_GB2312" w:hAnsi="仿宋_GB2312" w:cs="仿宋_GB2312" w:eastAsia="仿宋_GB2312"/>
                <w:sz w:val="24"/>
              </w:rPr>
              <w:t>重要性</w:t>
            </w:r>
            <w:r>
              <w:rPr>
                <w:rFonts w:ascii="仿宋_GB2312" w:hAnsi="仿宋_GB2312" w:cs="仿宋_GB2312" w:eastAsia="仿宋_GB2312"/>
                <w:sz w:val="24"/>
              </w:rPr>
              <w:t>-在审计中运用实际执行的重要性</w:t>
            </w:r>
            <w:r>
              <w:rPr>
                <w:rFonts w:ascii="仿宋_GB2312" w:hAnsi="仿宋_GB2312" w:cs="仿宋_GB2312" w:eastAsia="仿宋_GB2312"/>
                <w:sz w:val="24"/>
              </w:rPr>
              <w:t>、</w:t>
            </w:r>
            <w:r>
              <w:rPr>
                <w:rFonts w:ascii="仿宋_GB2312" w:hAnsi="仿宋_GB2312" w:cs="仿宋_GB2312" w:eastAsia="仿宋_GB2312"/>
                <w:sz w:val="24"/>
              </w:rPr>
              <w:t>重要性</w:t>
            </w:r>
            <w:r>
              <w:rPr>
                <w:rFonts w:ascii="仿宋_GB2312" w:hAnsi="仿宋_GB2312" w:cs="仿宋_GB2312" w:eastAsia="仿宋_GB2312"/>
                <w:sz w:val="24"/>
              </w:rPr>
              <w:t>-错报</w:t>
            </w:r>
            <w:r>
              <w:rPr>
                <w:rFonts w:ascii="仿宋_GB2312" w:hAnsi="仿宋_GB2312" w:cs="仿宋_GB2312" w:eastAsia="仿宋_GB2312"/>
                <w:sz w:val="24"/>
              </w:rPr>
              <w:t>、</w:t>
            </w:r>
            <w:r>
              <w:rPr>
                <w:rFonts w:ascii="仿宋_GB2312" w:hAnsi="仿宋_GB2312" w:cs="仿宋_GB2312" w:eastAsia="仿宋_GB2312"/>
                <w:sz w:val="24"/>
              </w:rPr>
              <w:t>审计证据的含义</w:t>
            </w:r>
            <w:r>
              <w:rPr>
                <w:rFonts w:ascii="仿宋_GB2312" w:hAnsi="仿宋_GB2312" w:cs="仿宋_GB2312" w:eastAsia="仿宋_GB2312"/>
                <w:sz w:val="24"/>
              </w:rPr>
              <w:t>、</w:t>
            </w:r>
            <w:r>
              <w:rPr>
                <w:rFonts w:ascii="仿宋_GB2312" w:hAnsi="仿宋_GB2312" w:cs="仿宋_GB2312" w:eastAsia="仿宋_GB2312"/>
                <w:sz w:val="24"/>
              </w:rPr>
              <w:t>审计证据的性质</w:t>
            </w:r>
            <w:r>
              <w:rPr>
                <w:rFonts w:ascii="仿宋_GB2312" w:hAnsi="仿宋_GB2312" w:cs="仿宋_GB2312" w:eastAsia="仿宋_GB2312"/>
                <w:sz w:val="24"/>
              </w:rPr>
              <w:t>、</w:t>
            </w:r>
            <w:r>
              <w:rPr>
                <w:rFonts w:ascii="仿宋_GB2312" w:hAnsi="仿宋_GB2312" w:cs="仿宋_GB2312" w:eastAsia="仿宋_GB2312"/>
                <w:sz w:val="24"/>
              </w:rPr>
              <w:t>审计程序</w:t>
            </w:r>
            <w:r>
              <w:rPr>
                <w:rFonts w:ascii="仿宋_GB2312" w:hAnsi="仿宋_GB2312" w:cs="仿宋_GB2312" w:eastAsia="仿宋_GB2312"/>
                <w:sz w:val="24"/>
              </w:rPr>
              <w:t>、</w:t>
            </w:r>
            <w:r>
              <w:rPr>
                <w:rFonts w:ascii="仿宋_GB2312" w:hAnsi="仿宋_GB2312" w:cs="仿宋_GB2312" w:eastAsia="仿宋_GB2312"/>
                <w:sz w:val="24"/>
              </w:rPr>
              <w:t>函证决策与函证内容</w:t>
            </w:r>
            <w:r>
              <w:rPr>
                <w:rFonts w:ascii="仿宋_GB2312" w:hAnsi="仿宋_GB2312" w:cs="仿宋_GB2312" w:eastAsia="仿宋_GB2312"/>
                <w:sz w:val="24"/>
              </w:rPr>
              <w:t>、</w:t>
            </w:r>
            <w:r>
              <w:rPr>
                <w:rFonts w:ascii="仿宋_GB2312" w:hAnsi="仿宋_GB2312" w:cs="仿宋_GB2312" w:eastAsia="仿宋_GB2312"/>
                <w:sz w:val="24"/>
              </w:rPr>
              <w:t>询证函的设计等不少于</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0个技能点。</w:t>
            </w:r>
          </w:p>
          <w:p>
            <w:pPr>
              <w:pStyle w:val="null3"/>
              <w:jc w:val="both"/>
            </w:pPr>
            <w:r>
              <w:rPr>
                <w:rFonts w:ascii="仿宋_GB2312" w:hAnsi="仿宋_GB2312" w:cs="仿宋_GB2312" w:eastAsia="仿宋_GB2312"/>
                <w:sz w:val="24"/>
              </w:rPr>
              <w:t>【此项需演示】</w:t>
            </w:r>
            <w:r>
              <w:rPr>
                <w:rFonts w:ascii="仿宋_GB2312" w:hAnsi="仿宋_GB2312" w:cs="仿宋_GB2312" w:eastAsia="仿宋_GB2312"/>
                <w:sz w:val="24"/>
              </w:rPr>
              <w:t>5.</w:t>
            </w:r>
            <w:r>
              <w:rPr>
                <w:rFonts w:ascii="仿宋_GB2312" w:hAnsi="仿宋_GB2312" w:cs="仿宋_GB2312" w:eastAsia="仿宋_GB2312"/>
                <w:sz w:val="24"/>
              </w:rPr>
              <w:t>为保障资源库</w:t>
            </w:r>
            <w:r>
              <w:rPr>
                <w:rFonts w:ascii="仿宋_GB2312" w:hAnsi="仿宋_GB2312" w:cs="仿宋_GB2312" w:eastAsia="仿宋_GB2312"/>
                <w:sz w:val="24"/>
              </w:rPr>
              <w:t>满足学生创业拓展</w:t>
            </w:r>
            <w:r>
              <w:rPr>
                <w:rFonts w:ascii="仿宋_GB2312" w:hAnsi="仿宋_GB2312" w:cs="仿宋_GB2312" w:eastAsia="仿宋_GB2312"/>
                <w:sz w:val="24"/>
              </w:rPr>
              <w:t>需求，</w:t>
            </w:r>
            <w:r>
              <w:rPr>
                <w:rFonts w:ascii="仿宋_GB2312" w:hAnsi="仿宋_GB2312" w:cs="仿宋_GB2312" w:eastAsia="仿宋_GB2312"/>
                <w:sz w:val="24"/>
              </w:rPr>
              <w:t>要求</w:t>
            </w:r>
            <w:r>
              <w:rPr>
                <w:rFonts w:ascii="仿宋_GB2312" w:hAnsi="仿宋_GB2312" w:cs="仿宋_GB2312" w:eastAsia="仿宋_GB2312"/>
                <w:sz w:val="24"/>
              </w:rPr>
              <w:t>中标企业需提供不少于</w:t>
            </w:r>
            <w:r>
              <w:rPr>
                <w:rFonts w:ascii="仿宋_GB2312" w:hAnsi="仿宋_GB2312" w:cs="仿宋_GB2312" w:eastAsia="仿宋_GB2312"/>
                <w:sz w:val="24"/>
              </w:rPr>
              <w:t>50个《</w:t>
            </w:r>
            <w:r>
              <w:rPr>
                <w:rFonts w:ascii="仿宋_GB2312" w:hAnsi="仿宋_GB2312" w:cs="仿宋_GB2312" w:eastAsia="仿宋_GB2312"/>
                <w:sz w:val="24"/>
              </w:rPr>
              <w:t>创新创业实训</w:t>
            </w:r>
            <w:r>
              <w:rPr>
                <w:rFonts w:ascii="仿宋_GB2312" w:hAnsi="仿宋_GB2312" w:cs="仿宋_GB2312" w:eastAsia="仿宋_GB2312"/>
                <w:sz w:val="24"/>
              </w:rPr>
              <w:t>》课程资源平台账号，供教师及学生进行使用，使用期限为从中标之日起六个月。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课程视频不少于</w:t>
            </w:r>
            <w:r>
              <w:rPr>
                <w:rFonts w:ascii="仿宋_GB2312" w:hAnsi="仿宋_GB2312" w:cs="仿宋_GB2312" w:eastAsia="仿宋_GB2312"/>
                <w:sz w:val="24"/>
              </w:rPr>
              <w:t>4个章节，总时长不少于600分钟；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课程视频包括知识精讲视频。知识精讲视频侧重于知识内容讲解；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资源主要包括：创新创业的时代意义、在行动中创新创业、感知自我，改变人生、寻找风口行业、技术创新与商业模式创新、改写商业规则、新兴产业无限商机、创业的机遇与挑战、市场调查与评估、市场细分与定位、构建自己的营销模式、创业计划书的编写、创业计划书编写实战等不少于</w:t>
            </w:r>
            <w:r>
              <w:rPr>
                <w:rFonts w:ascii="仿宋_GB2312" w:hAnsi="仿宋_GB2312" w:cs="仿宋_GB2312" w:eastAsia="仿宋_GB2312"/>
                <w:sz w:val="24"/>
              </w:rPr>
              <w:t>15个技能点。</w:t>
            </w:r>
            <w:r>
              <w:br/>
            </w:r>
            <w:r>
              <w:rPr>
                <w:rFonts w:ascii="仿宋_GB2312" w:hAnsi="仿宋_GB2312" w:cs="仿宋_GB2312" w:eastAsia="仿宋_GB2312"/>
                <w:sz w:val="24"/>
              </w:rPr>
              <w:t>【此项需演示】</w:t>
            </w:r>
            <w:r>
              <w:rPr>
                <w:rFonts w:ascii="仿宋_GB2312" w:hAnsi="仿宋_GB2312" w:cs="仿宋_GB2312" w:eastAsia="仿宋_GB2312"/>
                <w:sz w:val="24"/>
              </w:rPr>
              <w:t>6.</w:t>
            </w:r>
            <w:r>
              <w:rPr>
                <w:rFonts w:ascii="仿宋_GB2312" w:hAnsi="仿宋_GB2312" w:cs="仿宋_GB2312" w:eastAsia="仿宋_GB2312"/>
                <w:sz w:val="24"/>
              </w:rPr>
              <w:t>中标单位需要提供会计教育名家牵头组织建设的课程，坚持课程思政理念，包括战略篇、职业篇、专业篇、考证篇，从战略层面建议会计人生与学习规划，并分职业、专业、考证三个角度解读会计专业学习方法与会计职业规划，视频总时长不少于</w:t>
            </w:r>
            <w:r>
              <w:rPr>
                <w:rFonts w:ascii="仿宋_GB2312" w:hAnsi="仿宋_GB2312" w:cs="仿宋_GB2312" w:eastAsia="仿宋_GB2312"/>
                <w:sz w:val="24"/>
              </w:rPr>
              <w:t>400分钟。中标企业需提供不少于50个课程资源平台账号供教师及学生进行使用，使用期限为从中标之日起六个月。</w:t>
            </w:r>
          </w:p>
          <w:p>
            <w:pPr>
              <w:pStyle w:val="null3"/>
              <w:jc w:val="left"/>
            </w:pPr>
            <w:r>
              <w:rPr>
                <w:rFonts w:ascii="仿宋_GB2312" w:hAnsi="仿宋_GB2312" w:cs="仿宋_GB2312" w:eastAsia="仿宋_GB2312"/>
                <w:sz w:val="24"/>
              </w:rPr>
              <w:t>【此项需演示】</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中标单位需要提供《财会商圈》、《财务分析》、《审计实务》、《成本会计》、《出纳实务》等课程实训资源与技术支持。</w:t>
            </w:r>
          </w:p>
          <w:p>
            <w:pPr>
              <w:pStyle w:val="null3"/>
              <w:jc w:val="both"/>
            </w:pPr>
            <w:r>
              <w:rPr>
                <w:rFonts w:ascii="仿宋_GB2312" w:hAnsi="仿宋_GB2312" w:cs="仿宋_GB2312" w:eastAsia="仿宋_GB2312"/>
                <w:sz w:val="24"/>
              </w:rPr>
              <w:t>8.具体技术要求</w:t>
            </w:r>
          </w:p>
          <w:p>
            <w:pPr>
              <w:pStyle w:val="null3"/>
              <w:jc w:val="both"/>
            </w:pPr>
            <w:r>
              <w:rPr>
                <w:rFonts w:ascii="仿宋_GB2312" w:hAnsi="仿宋_GB2312" w:cs="仿宋_GB2312" w:eastAsia="仿宋_GB2312"/>
                <w:sz w:val="24"/>
              </w:rPr>
              <w:t>8.1视频技术要求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1）文件格式：扩展名：*.mp4；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2）品质要求：视频采用MP4格式，视频采用H.264编码方式，分辨率不低于720p（1280×720，16:9）；</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3）视频质量稳定性：全片图像同步性能稳定，无失步现象图像无抖动跳跃，色彩无突变，编辑点处图像稳定；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4）色调：白平衡正确，无明显偏色，多机位拍摄的镜头衔接处无明显色差；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5）彩色视频素材每帧图像颜色均为真彩色；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6）画面中教师以中景和近景为主，要求人物和板书（或其他画面元素）同样清晰，不使用无教师形象的全程板书或PPT配音；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7）声道：中文内容音频信号记录于第一声道，音乐、音效、同期声记录于第二声道，若有其他文字解说记录于第三声道(如录音设备无第3声道,则录于第2声道)；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8）电平指标：-2db——-8db声音应无明显失真、放音过冲、过弱；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9）声音和画面要求同步，无交流声或其他杂音等缺陷；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10）伴音清晰、饱满、圆润，无失真、噪声杂音干扰、音量忽大忽小现象。解说声与现场声无明显比例失调，解说声与背景音乐无明显比例失调；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11）视频内容符合我国法律法规，尊重各民族的风俗习惯，版权不存在争议；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12）若其中包含少数民族或外国语言文字信息，应遵循其原内容完整性，使用原语言进行处理；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13）视频片头/片尾：片头和片尾的总时长要求控制在15秒以内。</w:t>
            </w:r>
          </w:p>
          <w:p>
            <w:pPr>
              <w:pStyle w:val="null3"/>
              <w:jc w:val="both"/>
            </w:pPr>
            <w:r>
              <w:rPr>
                <w:rFonts w:ascii="仿宋_GB2312" w:hAnsi="仿宋_GB2312" w:cs="仿宋_GB2312" w:eastAsia="仿宋_GB2312"/>
                <w:sz w:val="24"/>
              </w:rPr>
              <w:t xml:space="preserve">8.2 </w:t>
            </w:r>
            <w:r>
              <w:rPr>
                <w:rFonts w:ascii="仿宋_GB2312" w:hAnsi="仿宋_GB2312" w:cs="仿宋_GB2312" w:eastAsia="仿宋_GB2312"/>
                <w:sz w:val="24"/>
              </w:rPr>
              <w:t>PPT</w:t>
            </w:r>
            <w:r>
              <w:rPr>
                <w:rFonts w:ascii="仿宋_GB2312" w:hAnsi="仿宋_GB2312" w:cs="仿宋_GB2312" w:eastAsia="仿宋_GB2312"/>
                <w:sz w:val="24"/>
              </w:rPr>
              <w:t>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1）文件格式：扩展名：*.ppt\*.pptx；</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2）软件版本：文件制作所用的软件版本不低于MicrosoftOffice2007；</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3）PPT模板朴素、大方，颜色适宜，便于长时间观看，多个页面均有的相同元素，如背景、按钮、标题、等，可以使用幻灯片母版来实现；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页面设置可根据视频尺寸进行调整，可调整为16:9或4:3；每页版面的字数不宜太多。字体使用微软雅黑，正文字号应不小于为18号。首行缩进1.3，行距1.4倍，也可根据文档内容适当调整。不要使用仿宋、细圆等过细字体，不使用特殊字体，如有特殊字体，应转化为图形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5）文字要醒目，避免使用与背景色相近的字体颜色。文本内容尽量可编辑，不要使用图片格式；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6）只录制PPT时，不需要给老师空出站位，参考线设置为：</w:t>
            </w:r>
          </w:p>
          <w:p>
            <w:pPr>
              <w:pStyle w:val="null3"/>
              <w:ind w:firstLine="480"/>
              <w:jc w:val="both"/>
            </w:pPr>
            <w:r>
              <w:rPr>
                <w:rFonts w:ascii="仿宋_GB2312" w:hAnsi="仿宋_GB2312" w:cs="仿宋_GB2312" w:eastAsia="仿宋_GB2312"/>
                <w:sz w:val="24"/>
              </w:rPr>
              <w:t>上间距：</w:t>
            </w:r>
            <w:r>
              <w:rPr>
                <w:rFonts w:ascii="仿宋_GB2312" w:hAnsi="仿宋_GB2312" w:cs="仿宋_GB2312" w:eastAsia="仿宋_GB2312"/>
                <w:sz w:val="24"/>
              </w:rPr>
              <w:t>5.8；下间距：5.8；左间距：11.6；右间距：11.6；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7）常规录制课程，需要给老师空出站位，参考线设置为：</w:t>
            </w:r>
          </w:p>
          <w:p>
            <w:pPr>
              <w:pStyle w:val="null3"/>
              <w:ind w:firstLine="480"/>
              <w:jc w:val="both"/>
            </w:pPr>
            <w:r>
              <w:rPr>
                <w:rFonts w:ascii="仿宋_GB2312" w:hAnsi="仿宋_GB2312" w:cs="仿宋_GB2312" w:eastAsia="仿宋_GB2312"/>
                <w:sz w:val="24"/>
              </w:rPr>
              <w:t>上间距：</w:t>
            </w:r>
            <w:r>
              <w:rPr>
                <w:rFonts w:ascii="仿宋_GB2312" w:hAnsi="仿宋_GB2312" w:cs="仿宋_GB2312" w:eastAsia="仿宋_GB2312"/>
                <w:sz w:val="24"/>
              </w:rPr>
              <w:t>5.4；下间距：5.8；左间距：11.6；右间距：6.4；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8）页面设计的原则是版面内容的分布美观大方；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9）恰当使用组合：某些插图中位置相对固定的文本框、数学公式以及图片等应采用组合方式，避免产生相对位移；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10）尽量避免不必要的组合，不同对象、文本的动作需要同时出现时，可确定彼此之间的时间间隔为0秒；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11）各级标题采用不同的字体和颜色，一张幻灯片上文字颜色限定在4种以内，注意文字与背景色的反差；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12）动画方案不宜出现不必要的动画效果，不使用随机效果。动画连续，节奏合适；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13）文件内链接都采用相对链接，并能够正常打开；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14）文件中链接或插入的其他素材满足本要求中关于媒体素材的技术要求；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15）使用超级链接时，要在目标页面有“返回”按钮；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16）鼠标移至按钮上时要求显示出该按钮的操作提示；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17）不同位置使用的导航按钮保持风格一致或使用相同的按钮；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18）尽可能少用宏，播放时不要出现宏脚本提示。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）动画制作要求：</w:t>
            </w:r>
          </w:p>
          <w:p>
            <w:pPr>
              <w:pStyle w:val="null3"/>
              <w:jc w:val="both"/>
            </w:pPr>
            <w:r>
              <w:rPr>
                <w:rFonts w:ascii="仿宋_GB2312" w:hAnsi="仿宋_GB2312" w:cs="仿宋_GB2312" w:eastAsia="仿宋_GB2312"/>
                <w:sz w:val="24"/>
              </w:rPr>
              <w:t>1.二维动画建设43个，每个2分钟以内。</w:t>
            </w:r>
            <w:r>
              <w:rPr>
                <w:rFonts w:ascii="仿宋_GB2312" w:hAnsi="仿宋_GB2312" w:cs="仿宋_GB2312" w:eastAsia="仿宋_GB2312"/>
                <w:sz w:val="24"/>
              </w:rPr>
              <w:t>根据课程内容，选择最佳的呈现方式，如情景动画或</w:t>
            </w:r>
            <w:r>
              <w:rPr>
                <w:rFonts w:ascii="仿宋_GB2312" w:hAnsi="仿宋_GB2312" w:cs="仿宋_GB2312" w:eastAsia="仿宋_GB2312"/>
                <w:sz w:val="24"/>
              </w:rPr>
              <w:t>MG动画，动画人物、场景等与课程内容紧密相关，并结合内容配备不同角色的配音。</w:t>
            </w:r>
          </w:p>
          <w:p>
            <w:pPr>
              <w:pStyle w:val="null3"/>
              <w:jc w:val="both"/>
            </w:pPr>
            <w:r>
              <w:rPr>
                <w:rFonts w:ascii="仿宋_GB2312" w:hAnsi="仿宋_GB2312" w:cs="仿宋_GB2312" w:eastAsia="仿宋_GB2312"/>
                <w:sz w:val="24"/>
              </w:rPr>
              <w:t>2.具体技术要求：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1）文件格式：扩展名：*.mp4；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2）软件版本：Adobe Animate；</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3）动画的开始要有醒目的标题，标题能够体现动画所表现的内容；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4）动画中如果有文字，文字要醒目，文字的字体、字号与内容协调，字体颜色避免与背景相近；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5）动画色彩造型应和谐，画面简洁清晰；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6）动画连续，节奏合适，帧和帧之间的关联性要强；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7）解说配音应标准，无噪音，声音悦耳，音量适当，快慢适度；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8）动画背景音乐音量不宜过大，音乐与内容相符；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9）动画演播过程要流畅，静止画面时间不超过5秒钟；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10）动画内容符合我国法律法规，尊重各民族的风俗习惯，版权不存在争议；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11）若其中包含少数民族或外国语言文字信息，应遵循其原内容完整性，使用原语言进行处理；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12）压缩方式:H264，视频格式mp4，帧率25，码率不低于1500。分辨率1920*1080，16：9；</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13）内容要求根据老师选定的知识点设计与制作，并满足前期与老师沟通后编写的动画设计脚本，讲解清晰，具体按照动画技术要点执行；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14）根据脚本内容确定动画类型，如情景动画、MG动画等。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）资源建设要求：</w:t>
            </w:r>
          </w:p>
          <w:p>
            <w:pPr>
              <w:pStyle w:val="null3"/>
              <w:jc w:val="both"/>
            </w:pPr>
            <w:r>
              <w:rPr>
                <w:rFonts w:ascii="仿宋_GB2312" w:hAnsi="仿宋_GB2312" w:cs="仿宋_GB2312" w:eastAsia="仿宋_GB2312"/>
                <w:sz w:val="24"/>
              </w:rPr>
              <w:t>1.资源内容建设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1）专业人才培养方案1个</w:t>
            </w:r>
            <w:r>
              <w:rPr>
                <w:rFonts w:ascii="仿宋_GB2312" w:hAnsi="仿宋_GB2312" w:cs="仿宋_GB2312" w:eastAsia="仿宋_GB2312"/>
                <w:sz w:val="24"/>
              </w:rPr>
              <w:t>，</w:t>
            </w:r>
            <w:r>
              <w:rPr>
                <w:rFonts w:ascii="仿宋_GB2312" w:hAnsi="仿宋_GB2312" w:cs="仿宋_GB2312" w:eastAsia="仿宋_GB2312"/>
                <w:sz w:val="24"/>
              </w:rPr>
              <w:t>研制对接产业需求的专业人才培养方案，明确培养目标、课程设置、学时安排、实践环节、毕业要求等内容。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2）行业动态不少于50个</w:t>
            </w:r>
            <w:r>
              <w:rPr>
                <w:rFonts w:ascii="仿宋_GB2312" w:hAnsi="仿宋_GB2312" w:cs="仿宋_GB2312" w:eastAsia="仿宋_GB2312"/>
                <w:sz w:val="24"/>
              </w:rPr>
              <w:t>，文档形式，</w:t>
            </w:r>
            <w:r>
              <w:rPr>
                <w:rFonts w:ascii="仿宋_GB2312" w:hAnsi="仿宋_GB2312" w:cs="仿宋_GB2312" w:eastAsia="仿宋_GB2312"/>
                <w:sz w:val="24"/>
              </w:rPr>
              <w:t>包含审计信息、</w:t>
            </w:r>
            <w:r>
              <w:rPr>
                <w:rFonts w:ascii="仿宋_GB2312" w:hAnsi="仿宋_GB2312" w:cs="仿宋_GB2312" w:eastAsia="仿宋_GB2312"/>
                <w:sz w:val="24"/>
              </w:rPr>
              <w:t>职业标准、证书培训、就业信息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3）课程标准13个，文档形式，引入职业岗位标准，建立突出职业能力培养的课程标准。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4）中级会计职称资源</w:t>
            </w:r>
            <w:r>
              <w:br/>
            </w:r>
            <w:r>
              <w:rPr>
                <w:rFonts w:ascii="仿宋_GB2312" w:hAnsi="仿宋_GB2312" w:cs="仿宋_GB2312" w:eastAsia="仿宋_GB2312"/>
                <w:sz w:val="24"/>
              </w:rPr>
              <w:t>《中级会计实务》《中级经济法》《中级财务管理》三门课程。中标企业需提供不少于</w:t>
            </w:r>
            <w:r>
              <w:rPr>
                <w:rFonts w:ascii="仿宋_GB2312" w:hAnsi="仿宋_GB2312" w:cs="仿宋_GB2312" w:eastAsia="仿宋_GB2312"/>
                <w:sz w:val="24"/>
              </w:rPr>
              <w:t>50个课程资源平台账号供教师及学生进行使用，使用期限为从中标之日起六个月。</w:t>
            </w:r>
          </w:p>
          <w:p>
            <w:pPr>
              <w:pStyle w:val="null3"/>
              <w:jc w:val="both"/>
            </w:pPr>
            <w:r>
              <w:rPr>
                <w:rFonts w:ascii="仿宋_GB2312" w:hAnsi="仿宋_GB2312" w:cs="仿宋_GB2312" w:eastAsia="仿宋_GB2312"/>
                <w:sz w:val="24"/>
              </w:rPr>
              <w:t>①中级会计实务课程内容包含如下：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24章，不少于90个知识点；视频教学总时长不少于3800分钟；不少于1000页知识点PPT；不少于4000道练习题。</w:t>
            </w:r>
          </w:p>
          <w:p>
            <w:pPr>
              <w:pStyle w:val="null3"/>
              <w:jc w:val="both"/>
            </w:pPr>
            <w:r>
              <w:rPr>
                <w:rFonts w:ascii="仿宋_GB2312" w:hAnsi="仿宋_GB2312" w:cs="仿宋_GB2312" w:eastAsia="仿宋_GB2312"/>
                <w:sz w:val="24"/>
              </w:rPr>
              <w:t>②中级经济法课程内容包含如下：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7章，不少于</w:t>
            </w:r>
            <w:r>
              <w:rPr>
                <w:rFonts w:ascii="仿宋_GB2312" w:hAnsi="仿宋_GB2312" w:cs="仿宋_GB2312" w:eastAsia="仿宋_GB2312"/>
                <w:sz w:val="24"/>
              </w:rPr>
              <w:t>90</w:t>
            </w:r>
            <w:r>
              <w:rPr>
                <w:rFonts w:ascii="仿宋_GB2312" w:hAnsi="仿宋_GB2312" w:cs="仿宋_GB2312" w:eastAsia="仿宋_GB2312"/>
                <w:sz w:val="24"/>
              </w:rPr>
              <w:t>个知识点；视频教学总时长不少于</w:t>
            </w:r>
            <w:r>
              <w:rPr>
                <w:rFonts w:ascii="仿宋_GB2312" w:hAnsi="仿宋_GB2312" w:cs="仿宋_GB2312" w:eastAsia="仿宋_GB2312"/>
                <w:sz w:val="24"/>
              </w:rPr>
              <w:t>4800分钟；不少于1000页知识点PPT；不少于1500道练习题。</w:t>
            </w:r>
          </w:p>
          <w:p>
            <w:pPr>
              <w:pStyle w:val="null3"/>
              <w:jc w:val="both"/>
            </w:pPr>
            <w:r>
              <w:rPr>
                <w:rFonts w:ascii="仿宋_GB2312" w:hAnsi="仿宋_GB2312" w:cs="仿宋_GB2312" w:eastAsia="仿宋_GB2312"/>
                <w:sz w:val="24"/>
              </w:rPr>
              <w:t>【此项需演示】</w:t>
            </w:r>
            <w:r>
              <w:rPr>
                <w:rFonts w:ascii="仿宋_GB2312" w:hAnsi="仿宋_GB2312" w:cs="仿宋_GB2312" w:eastAsia="仿宋_GB2312"/>
                <w:sz w:val="24"/>
              </w:rPr>
              <w:t>③中级财务管理课程内容包含如下：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10章，不少于100个知识点；视频教学总时长不少于4300分钟；不少于1000页知识点PPT；不少于</w:t>
            </w:r>
            <w:r>
              <w:rPr>
                <w:rFonts w:ascii="仿宋_GB2312" w:hAnsi="仿宋_GB2312" w:cs="仿宋_GB2312" w:eastAsia="仿宋_GB2312"/>
                <w:sz w:val="24"/>
              </w:rPr>
              <w:t>1</w:t>
            </w:r>
            <w:r>
              <w:rPr>
                <w:rFonts w:ascii="仿宋_GB2312" w:hAnsi="仿宋_GB2312" w:cs="仿宋_GB2312" w:eastAsia="仿宋_GB2312"/>
                <w:sz w:val="24"/>
              </w:rPr>
              <w:t>000道练习题。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注册会计师资源</w:t>
            </w:r>
          </w:p>
          <w:p>
            <w:pPr>
              <w:pStyle w:val="null3"/>
              <w:jc w:val="both"/>
            </w:pPr>
            <w:r>
              <w:rPr>
                <w:rFonts w:ascii="仿宋_GB2312" w:hAnsi="仿宋_GB2312" w:cs="仿宋_GB2312" w:eastAsia="仿宋_GB2312"/>
                <w:sz w:val="24"/>
              </w:rPr>
              <w:t>《会计》《经济法》《税法》《财务成本管理》《审计》《公司战略与风险管理》六门课程。中标企业需提供不少于</w:t>
            </w:r>
            <w:r>
              <w:rPr>
                <w:rFonts w:ascii="仿宋_GB2312" w:hAnsi="仿宋_GB2312" w:cs="仿宋_GB2312" w:eastAsia="仿宋_GB2312"/>
                <w:sz w:val="24"/>
              </w:rPr>
              <w:t>50个课程资源平台账号供教师及学生进行使用，使用期限为从中标之日起六个月。</w:t>
            </w:r>
          </w:p>
          <w:p>
            <w:pPr>
              <w:pStyle w:val="null3"/>
              <w:jc w:val="both"/>
            </w:pPr>
            <w:r>
              <w:rPr>
                <w:rFonts w:ascii="仿宋_GB2312" w:hAnsi="仿宋_GB2312" w:cs="仿宋_GB2312" w:eastAsia="仿宋_GB2312"/>
                <w:sz w:val="24"/>
              </w:rPr>
              <w:t>①会计内容包含如下：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30章，不少于170个知识点；视频教学总时长不少于6000分钟；不少于2900页知识点PPT；不少于2000道练习题。</w:t>
            </w:r>
          </w:p>
          <w:p>
            <w:pPr>
              <w:pStyle w:val="null3"/>
              <w:jc w:val="both"/>
            </w:pPr>
            <w:r>
              <w:rPr>
                <w:rFonts w:ascii="仿宋_GB2312" w:hAnsi="仿宋_GB2312" w:cs="仿宋_GB2312" w:eastAsia="仿宋_GB2312"/>
                <w:sz w:val="24"/>
              </w:rPr>
              <w:t>②经济法内容包含如下：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12章，不少于110个知识点；视频教学总时长不少于4000分钟；不少于1700页知识点PPT；不少于2000道练习题。</w:t>
            </w:r>
          </w:p>
          <w:p>
            <w:pPr>
              <w:pStyle w:val="null3"/>
              <w:jc w:val="both"/>
            </w:pPr>
            <w:r>
              <w:rPr>
                <w:rFonts w:ascii="仿宋_GB2312" w:hAnsi="仿宋_GB2312" w:cs="仿宋_GB2312" w:eastAsia="仿宋_GB2312"/>
                <w:sz w:val="24"/>
              </w:rPr>
              <w:t>③税法内容包含如下：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14章，不少于80个知识点；视频教学总时长不少于3000分钟；不少于2000页知识点PPT；不少于2000道练习题。</w:t>
            </w:r>
          </w:p>
          <w:p>
            <w:pPr>
              <w:pStyle w:val="null3"/>
              <w:jc w:val="both"/>
            </w:pPr>
            <w:r>
              <w:rPr>
                <w:rFonts w:ascii="仿宋_GB2312" w:hAnsi="仿宋_GB2312" w:cs="仿宋_GB2312" w:eastAsia="仿宋_GB2312"/>
                <w:sz w:val="24"/>
              </w:rPr>
              <w:t>④财务成本管理内容包含如下：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20章，不少于110个知识点；视频教学总时长不少于4000分钟；不少于1000页知识点PPT；不少于</w:t>
            </w:r>
            <w:r>
              <w:rPr>
                <w:rFonts w:ascii="仿宋_GB2312" w:hAnsi="仿宋_GB2312" w:cs="仿宋_GB2312" w:eastAsia="仿宋_GB2312"/>
                <w:sz w:val="24"/>
              </w:rPr>
              <w:t>650</w:t>
            </w:r>
            <w:r>
              <w:rPr>
                <w:rFonts w:ascii="仿宋_GB2312" w:hAnsi="仿宋_GB2312" w:cs="仿宋_GB2312" w:eastAsia="仿宋_GB2312"/>
                <w:sz w:val="24"/>
              </w:rPr>
              <w:t>道练习题。</w:t>
            </w:r>
          </w:p>
          <w:p>
            <w:pPr>
              <w:pStyle w:val="null3"/>
              <w:jc w:val="both"/>
            </w:pPr>
            <w:r>
              <w:rPr>
                <w:rFonts w:ascii="仿宋_GB2312" w:hAnsi="仿宋_GB2312" w:cs="仿宋_GB2312" w:eastAsia="仿宋_GB2312"/>
                <w:sz w:val="24"/>
              </w:rPr>
              <w:t>【此项需演示】</w:t>
            </w:r>
            <w:r>
              <w:rPr>
                <w:rFonts w:ascii="仿宋_GB2312" w:hAnsi="仿宋_GB2312" w:cs="仿宋_GB2312" w:eastAsia="仿宋_GB2312"/>
                <w:sz w:val="24"/>
              </w:rPr>
              <w:t>⑤审计内容包含如下：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23章，不少于100个知识点；视频教学总时长不少于3000分钟；不少于1400页知识点PPT；不少于2000道练习题。</w:t>
            </w:r>
          </w:p>
          <w:p>
            <w:pPr>
              <w:pStyle w:val="null3"/>
              <w:jc w:val="both"/>
            </w:pPr>
            <w:r>
              <w:rPr>
                <w:rFonts w:ascii="仿宋_GB2312" w:hAnsi="仿宋_GB2312" w:cs="仿宋_GB2312" w:eastAsia="仿宋_GB2312"/>
                <w:sz w:val="24"/>
              </w:rPr>
              <w:t>⑥公司战略与风险管理包含如下：</w:t>
            </w:r>
          </w:p>
          <w:p>
            <w:pPr>
              <w:pStyle w:val="null3"/>
              <w:jc w:val="both"/>
            </w:pPr>
            <w:r>
              <w:rPr>
                <w:rFonts w:ascii="仿宋_GB2312" w:hAnsi="仿宋_GB2312" w:cs="仿宋_GB2312" w:eastAsia="仿宋_GB2312"/>
                <w:sz w:val="24"/>
              </w:rPr>
              <w:t>课程内容</w:t>
            </w:r>
            <w:r>
              <w:rPr>
                <w:rFonts w:ascii="仿宋_GB2312" w:hAnsi="仿宋_GB2312" w:cs="仿宋_GB2312" w:eastAsia="仿宋_GB2312"/>
                <w:sz w:val="24"/>
              </w:rPr>
              <w:t>不少于</w:t>
            </w:r>
            <w:r>
              <w:rPr>
                <w:rFonts w:ascii="仿宋_GB2312" w:hAnsi="仿宋_GB2312" w:cs="仿宋_GB2312" w:eastAsia="仿宋_GB2312"/>
                <w:sz w:val="24"/>
              </w:rPr>
              <w:t>6章，不少于100个知识点；视频教学总时长不少于3500分钟；不少于1500页知识点PPT；不少于2000道练习题。</w:t>
            </w:r>
          </w:p>
          <w:p>
            <w:pPr>
              <w:pStyle w:val="null3"/>
              <w:jc w:val="both"/>
            </w:pPr>
            <w:r>
              <w:rPr>
                <w:rFonts w:ascii="仿宋_GB2312" w:hAnsi="仿宋_GB2312" w:cs="仿宋_GB2312" w:eastAsia="仿宋_GB2312"/>
                <w:sz w:val="24"/>
              </w:rPr>
              <w:t>2.具体技术要求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1）图形/图像类素材技术要求</w:t>
            </w:r>
          </w:p>
          <w:p>
            <w:pPr>
              <w:pStyle w:val="null3"/>
              <w:jc w:val="both"/>
            </w:pPr>
            <w:r>
              <w:rPr>
                <w:rFonts w:ascii="仿宋_GB2312" w:hAnsi="仿宋_GB2312" w:cs="仿宋_GB2312" w:eastAsia="仿宋_GB2312"/>
                <w:sz w:val="24"/>
              </w:rPr>
              <w:t>①文件格式：扩展名：*.jpg\*.png\*.psd；</w:t>
            </w:r>
          </w:p>
          <w:p>
            <w:pPr>
              <w:pStyle w:val="null3"/>
              <w:jc w:val="both"/>
            </w:pPr>
            <w:r>
              <w:rPr>
                <w:rFonts w:ascii="仿宋_GB2312" w:hAnsi="仿宋_GB2312" w:cs="仿宋_GB2312" w:eastAsia="仿宋_GB2312"/>
                <w:sz w:val="24"/>
              </w:rPr>
              <w:t>②色彩：彩色图像颜色数不低于真彩（24位色），灰度图像的灰度级不低于256级；图形可以为单色；</w:t>
            </w:r>
          </w:p>
          <w:p>
            <w:pPr>
              <w:pStyle w:val="null3"/>
              <w:jc w:val="both"/>
            </w:pPr>
            <w:r>
              <w:rPr>
                <w:rFonts w:ascii="仿宋_GB2312" w:hAnsi="仿宋_GB2312" w:cs="仿宋_GB2312" w:eastAsia="仿宋_GB2312"/>
                <w:sz w:val="24"/>
              </w:rPr>
              <w:t>③分辨率：屏幕分辨率不低于1024×768时，扫描图像的扫描分辨率不低于72dpi，彩色扫描图像的扫描分辨率不低于150dpi；</w:t>
            </w:r>
          </w:p>
          <w:p>
            <w:pPr>
              <w:pStyle w:val="null3"/>
              <w:jc w:val="both"/>
            </w:pPr>
            <w:r>
              <w:rPr>
                <w:rFonts w:ascii="仿宋_GB2312" w:hAnsi="仿宋_GB2312" w:cs="仿宋_GB2312" w:eastAsia="仿宋_GB2312"/>
                <w:sz w:val="24"/>
              </w:rPr>
              <w:t>④清晰度：图像内容清晰可辨识，不需要借助额外的设备即可辨认图片资源所需要表达的主体内容；</w:t>
            </w:r>
          </w:p>
          <w:p>
            <w:pPr>
              <w:pStyle w:val="null3"/>
              <w:jc w:val="both"/>
            </w:pPr>
            <w:r>
              <w:rPr>
                <w:rFonts w:ascii="仿宋_GB2312" w:hAnsi="仿宋_GB2312" w:cs="仿宋_GB2312" w:eastAsia="仿宋_GB2312"/>
                <w:sz w:val="24"/>
              </w:rPr>
              <w:t>⑤所有图像扫描后，需要使用Photoshop或其他图像处理软件进行裁剪、校色、去污、纠偏等处理，使页面整洁、清晰；</w:t>
            </w:r>
          </w:p>
          <w:p>
            <w:pPr>
              <w:pStyle w:val="null3"/>
              <w:jc w:val="both"/>
            </w:pPr>
            <w:r>
              <w:rPr>
                <w:rFonts w:ascii="仿宋_GB2312" w:hAnsi="仿宋_GB2312" w:cs="仿宋_GB2312" w:eastAsia="仿宋_GB2312"/>
                <w:sz w:val="24"/>
              </w:rPr>
              <w:t>⑥图形/图像内容符合我国法律法规，尊重各民族的风俗习惯，版权不存在争议。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2）文本类要求</w:t>
            </w:r>
          </w:p>
          <w:p>
            <w:pPr>
              <w:pStyle w:val="null3"/>
              <w:jc w:val="both"/>
            </w:pPr>
            <w:r>
              <w:rPr>
                <w:rFonts w:ascii="仿宋_GB2312" w:hAnsi="仿宋_GB2312" w:cs="仿宋_GB2312" w:eastAsia="仿宋_GB2312"/>
                <w:sz w:val="24"/>
              </w:rPr>
              <w:t>①文件格式：*.doc*.docx*.pdf*.xls*.xlsx*.txt；</w:t>
            </w:r>
          </w:p>
          <w:p>
            <w:pPr>
              <w:pStyle w:val="null3"/>
              <w:jc w:val="both"/>
            </w:pPr>
            <w:r>
              <w:rPr>
                <w:rFonts w:ascii="仿宋_GB2312" w:hAnsi="仿宋_GB2312" w:cs="仿宋_GB2312" w:eastAsia="仿宋_GB2312"/>
                <w:sz w:val="24"/>
              </w:rPr>
              <w:t>②品质要求：正文字体、字号、颜色、行间距等要美观、统一。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3）音频类素材</w:t>
            </w:r>
          </w:p>
          <w:p>
            <w:pPr>
              <w:pStyle w:val="null3"/>
              <w:jc w:val="both"/>
            </w:pPr>
            <w:r>
              <w:rPr>
                <w:rFonts w:ascii="仿宋_GB2312" w:hAnsi="仿宋_GB2312" w:cs="仿宋_GB2312" w:eastAsia="仿宋_GB2312"/>
                <w:sz w:val="24"/>
              </w:rPr>
              <w:t>①品质要求：声道数为双声道；</w:t>
            </w:r>
          </w:p>
          <w:p>
            <w:pPr>
              <w:pStyle w:val="null3"/>
              <w:jc w:val="both"/>
            </w:pPr>
            <w:r>
              <w:rPr>
                <w:rFonts w:ascii="仿宋_GB2312" w:hAnsi="仿宋_GB2312" w:cs="仿宋_GB2312" w:eastAsia="仿宋_GB2312"/>
                <w:sz w:val="24"/>
              </w:rPr>
              <w:t>②配音要求：语音采用标准的普通话；</w:t>
            </w:r>
          </w:p>
          <w:p>
            <w:pPr>
              <w:pStyle w:val="null3"/>
              <w:jc w:val="both"/>
            </w:pPr>
            <w:r>
              <w:rPr>
                <w:rFonts w:ascii="仿宋_GB2312" w:hAnsi="仿宋_GB2312" w:cs="仿宋_GB2312" w:eastAsia="仿宋_GB2312"/>
                <w:sz w:val="24"/>
              </w:rPr>
              <w:t>③音频播放流畅。声音清晰，噪音低，回响小，无失真；</w:t>
            </w:r>
          </w:p>
          <w:p>
            <w:pPr>
              <w:pStyle w:val="null3"/>
              <w:jc w:val="both"/>
            </w:pPr>
            <w:r>
              <w:rPr>
                <w:rFonts w:ascii="仿宋_GB2312" w:hAnsi="仿宋_GB2312" w:cs="仿宋_GB2312" w:eastAsia="仿宋_GB2312"/>
                <w:sz w:val="24"/>
              </w:rPr>
              <w:t>④音频内容符合我国法律法规，尊重各民族的风俗习惯，版权不存在争议；</w:t>
            </w:r>
          </w:p>
          <w:p>
            <w:pPr>
              <w:pStyle w:val="null3"/>
              <w:jc w:val="both"/>
            </w:pPr>
            <w:r>
              <w:rPr>
                <w:rFonts w:ascii="仿宋_GB2312" w:hAnsi="仿宋_GB2312" w:cs="仿宋_GB2312" w:eastAsia="仿宋_GB2312"/>
                <w:sz w:val="24"/>
              </w:rPr>
              <w:t>⑤格式要求：*.mp3。</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、资源库平台要求</w:t>
            </w:r>
            <w:r>
              <w:br/>
            </w:r>
            <w:r>
              <w:rPr>
                <w:rFonts w:ascii="仿宋_GB2312" w:hAnsi="仿宋_GB2312" w:cs="仿宋_GB2312" w:eastAsia="仿宋_GB2312"/>
                <w:sz w:val="24"/>
              </w:rPr>
              <w:t>（一）平台建设：</w:t>
            </w:r>
          </w:p>
          <w:p>
            <w:pPr>
              <w:pStyle w:val="null3"/>
              <w:jc w:val="both"/>
            </w:pPr>
            <w:r>
              <w:rPr>
                <w:rFonts w:ascii="仿宋_GB2312" w:hAnsi="仿宋_GB2312" w:cs="仿宋_GB2312" w:eastAsia="仿宋_GB2312"/>
                <w:sz w:val="24"/>
              </w:rPr>
              <w:t>1.资源库门户设计1套，按院校要求完成设计与美化。包含资源库整体框架设计、资源模块设计、内容结构排版、色彩搭配设计等内容。</w:t>
            </w:r>
          </w:p>
          <w:p>
            <w:pPr>
              <w:pStyle w:val="null3"/>
              <w:jc w:val="both"/>
            </w:pPr>
            <w:r>
              <w:rPr>
                <w:rFonts w:ascii="仿宋_GB2312" w:hAnsi="仿宋_GB2312" w:cs="仿宋_GB2312" w:eastAsia="仿宋_GB2312"/>
                <w:sz w:val="24"/>
              </w:rPr>
              <w:t>2.组织1-2次平台使用的操作培训，提供使用工具包；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.提供平台使用中的日常维护及售后服务。</w:t>
            </w:r>
          </w:p>
          <w:p>
            <w:pPr>
              <w:pStyle w:val="null3"/>
              <w:jc w:val="both"/>
            </w:pPr>
            <w:r>
              <w:rPr>
                <w:rFonts w:ascii="仿宋_GB2312" w:hAnsi="仿宋_GB2312" w:cs="仿宋_GB2312" w:eastAsia="仿宋_GB2312"/>
                <w:sz w:val="24"/>
              </w:rPr>
              <w:t>（二）具体技术要求：</w:t>
            </w:r>
          </w:p>
          <w:p>
            <w:pPr>
              <w:pStyle w:val="null3"/>
              <w:jc w:val="both"/>
            </w:pPr>
            <w:r>
              <w:rPr>
                <w:rFonts w:ascii="仿宋_GB2312" w:hAnsi="仿宋_GB2312" w:cs="仿宋_GB2312" w:eastAsia="仿宋_GB2312"/>
                <w:sz w:val="24"/>
              </w:rPr>
              <w:t>1.总体要求</w:t>
            </w:r>
          </w:p>
          <w:p>
            <w:pPr>
              <w:pStyle w:val="null3"/>
              <w:jc w:val="both"/>
            </w:pPr>
            <w:r>
              <w:rPr>
                <w:rFonts w:ascii="仿宋_GB2312" w:hAnsi="仿宋_GB2312" w:cs="仿宋_GB2312" w:eastAsia="仿宋_GB2312"/>
                <w:sz w:val="24"/>
              </w:rPr>
              <w:t>1.1采用主流的J2EE技术框架搭建，JAVA语言开发，采用B/S结构；</w:t>
            </w:r>
          </w:p>
          <w:p>
            <w:pPr>
              <w:pStyle w:val="null3"/>
              <w:jc w:val="both"/>
            </w:pPr>
            <w:r>
              <w:rPr>
                <w:rFonts w:ascii="仿宋_GB2312" w:hAnsi="仿宋_GB2312" w:cs="仿宋_GB2312" w:eastAsia="仿宋_GB2312"/>
                <w:sz w:val="24"/>
              </w:rPr>
              <w:t>1.2平台无须安装本地化软件，基于互联网应用，服务器部署在云端，用户可随时随地访问组织教学、学习；</w:t>
            </w:r>
          </w:p>
          <w:p>
            <w:pPr>
              <w:pStyle w:val="null3"/>
              <w:jc w:val="both"/>
            </w:pPr>
            <w:r>
              <w:rPr>
                <w:rFonts w:ascii="仿宋_GB2312" w:hAnsi="仿宋_GB2312" w:cs="仿宋_GB2312" w:eastAsia="仿宋_GB2312"/>
                <w:sz w:val="24"/>
              </w:rPr>
              <w:t>1.3数据缓存使用redis，分布式内存对象缓存系统，减少读取数据库次数，提高动态web应用的速度、提高扩展性；</w:t>
            </w:r>
          </w:p>
          <w:p>
            <w:pPr>
              <w:pStyle w:val="null3"/>
              <w:jc w:val="both"/>
            </w:pPr>
            <w:r>
              <w:rPr>
                <w:rFonts w:ascii="仿宋_GB2312" w:hAnsi="仿宋_GB2312" w:cs="仿宋_GB2312" w:eastAsia="仿宋_GB2312"/>
                <w:sz w:val="24"/>
              </w:rPr>
              <w:t>1.4网站域名等信息已在ICP备案。运行平台在物理安全、网络安全、主机安全、应用安全、数据安全、管理要求等方面，不低于《信息安全等级保护管理办法》规定的信息系统安全等级保护（三级）基本要求。平台APP已在教育部移动互联网应用程序备案，能提供相应的备案证明资料。</w:t>
            </w:r>
          </w:p>
          <w:p>
            <w:pPr>
              <w:pStyle w:val="null3"/>
              <w:jc w:val="both"/>
            </w:pPr>
            <w:r>
              <w:rPr>
                <w:rFonts w:ascii="仿宋_GB2312" w:hAnsi="仿宋_GB2312" w:cs="仿宋_GB2312" w:eastAsia="仿宋_GB2312"/>
                <w:sz w:val="24"/>
              </w:rPr>
              <w:t>2.PC端功能参数</w:t>
            </w:r>
            <w:r>
              <w:br/>
            </w:r>
            <w:r>
              <w:rPr>
                <w:rFonts w:ascii="仿宋_GB2312" w:hAnsi="仿宋_GB2312" w:cs="仿宋_GB2312" w:eastAsia="仿宋_GB2312"/>
                <w:sz w:val="24"/>
              </w:rPr>
              <w:t>2.1建设功能</w:t>
            </w:r>
            <w:r>
              <w:br/>
            </w:r>
            <w:r>
              <w:rPr>
                <w:rFonts w:ascii="仿宋_GB2312" w:hAnsi="仿宋_GB2312" w:cs="仿宋_GB2312" w:eastAsia="仿宋_GB2312"/>
                <w:sz w:val="24"/>
              </w:rPr>
              <w:t>（</w:t>
            </w:r>
            <w:r>
              <w:rPr>
                <w:rFonts w:ascii="仿宋_GB2312" w:hAnsi="仿宋_GB2312" w:cs="仿宋_GB2312" w:eastAsia="仿宋_GB2312"/>
                <w:sz w:val="24"/>
              </w:rPr>
              <w:t>1）支持教师自行创建课程，可以自建一门独立课程，也可以复制引用平台方提供的优秀课程。教师可根据需要对课程内容进行维护，支持用户引用各级各类资源搭建和重组课程；内容包括：课程介绍，章节内容，库管理，教师团队管理；可以统计该课程的使用情况和内容的详细情况；</w:t>
            </w:r>
          </w:p>
          <w:p>
            <w:pPr>
              <w:pStyle w:val="null3"/>
              <w:jc w:val="both"/>
            </w:pPr>
            <w:r>
              <w:rPr>
                <w:rFonts w:ascii="仿宋_GB2312" w:hAnsi="仿宋_GB2312" w:cs="仿宋_GB2312" w:eastAsia="仿宋_GB2312"/>
                <w:sz w:val="24"/>
              </w:rPr>
              <w:t>【此项需演示】（</w:t>
            </w:r>
            <w:r>
              <w:rPr>
                <w:rFonts w:ascii="仿宋_GB2312" w:hAnsi="仿宋_GB2312" w:cs="仿宋_GB2312" w:eastAsia="仿宋_GB2312"/>
                <w:sz w:val="24"/>
              </w:rPr>
              <w:t>2）提供教学资源库功能，可根据章节、资源类型、媒体类型进行检索，同时资源内容可以根据名称搜索，根据上传时间选择排序。资源类别包括：知识精讲课程、应用拓展课程、课程讲义、讨论及思考题、案例、拓展资源；媒体类型包括：文本类（DOC、XLS、DOCX、XLSX、PDF）、视频类、PPT演示文稿（PPTX、PPT）、图片图形类和网络链接等；支持上传视频功能，支持小于300M格式为MP4的视频上传，并可将视频发送到资源库中使用，在上传资源库时可设置课程、章节、知识点归属信息，自主编辑视频名称；支持多种类型和格式的资源上传，提供10G资源空间让学校进行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3）提供课程活动库功能：教师可以根据章节、活动类别、活动类型筛选活动，根据上传时间选择排序；活动类型包括：头脑风暴、分组任务、随堂测等；活动类别包括：讨论、实践、调查、测试、拓展、实训；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题库管理功能：可以根据课程章节，题目类型进行检索，根据上传时间选择排序，题目类别包括：单选题、多选题、不定项、判断题等；教师可以自主创建单选题、多选题、不定项、判断题等题目。支持多种题型的编辑，支持在线编辑试题中的图片。</w:t>
            </w:r>
          </w:p>
          <w:p>
            <w:pPr>
              <w:pStyle w:val="null3"/>
              <w:jc w:val="both"/>
            </w:pPr>
            <w:r>
              <w:rPr>
                <w:rFonts w:ascii="仿宋_GB2312" w:hAnsi="仿宋_GB2312" w:cs="仿宋_GB2312" w:eastAsia="仿宋_GB2312"/>
                <w:sz w:val="24"/>
              </w:rPr>
              <w:t>2.2教学功能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1）支持用户自行管理学生、教师账号，可注册添加或删除学生、教师账号。提供学院/系/行政班管理：学校管理员可以根据学校的实际情况，修改学院/系/行政班，提供不超过5000个账号的用户开通权限。</w:t>
            </w:r>
            <w:r>
              <w:br/>
            </w:r>
            <w:r>
              <w:rPr>
                <w:rFonts w:ascii="仿宋_GB2312" w:hAnsi="仿宋_GB2312" w:cs="仿宋_GB2312" w:eastAsia="仿宋_GB2312"/>
                <w:sz w:val="24"/>
              </w:rPr>
              <w:t>（</w:t>
            </w:r>
            <w:r>
              <w:rPr>
                <w:rFonts w:ascii="仿宋_GB2312" w:hAnsi="仿宋_GB2312" w:cs="仿宋_GB2312" w:eastAsia="仿宋_GB2312"/>
                <w:sz w:val="24"/>
              </w:rPr>
              <w:t>2）提供备课功能，教师可根据需要选择上课日期提前进行备课，可选取资源库、活动库中的内容进行备课，教师可上传课堂讲义PPT，在在线PPT中插入活动和资料。上课时可直接在平台调用展示，同时根据课堂进度直接开始相关活动和展示资料进行多形式的线上+线下的课堂互动。</w:t>
            </w:r>
            <w:r>
              <w:br/>
            </w:r>
            <w:r>
              <w:rPr>
                <w:rFonts w:ascii="仿宋_GB2312" w:hAnsi="仿宋_GB2312" w:cs="仿宋_GB2312" w:eastAsia="仿宋_GB2312"/>
                <w:sz w:val="24"/>
              </w:rPr>
              <w:t>（</w:t>
            </w:r>
            <w:r>
              <w:rPr>
                <w:rFonts w:ascii="仿宋_GB2312" w:hAnsi="仿宋_GB2312" w:cs="仿宋_GB2312" w:eastAsia="仿宋_GB2312"/>
                <w:sz w:val="24"/>
              </w:rPr>
              <w:t>3）提供课程章节开放管理功能，教师可以根据教学进度设置教学视频的开通时间，也可以根据需要修改开通时间。</w:t>
            </w:r>
            <w:r>
              <w:br/>
            </w:r>
            <w:r>
              <w:rPr>
                <w:rFonts w:ascii="仿宋_GB2312" w:hAnsi="仿宋_GB2312" w:cs="仿宋_GB2312" w:eastAsia="仿宋_GB2312"/>
                <w:sz w:val="24"/>
              </w:rPr>
              <w:t>【此项需演示】（</w:t>
            </w:r>
            <w:r>
              <w:rPr>
                <w:rFonts w:ascii="仿宋_GB2312" w:hAnsi="仿宋_GB2312" w:cs="仿宋_GB2312" w:eastAsia="仿宋_GB2312"/>
                <w:sz w:val="24"/>
              </w:rPr>
              <w:t>4）提供作业布置功能。教师根据授课内容，自主选择考核知识点、设置题量自主发布作业。习题可以由老师自己选取，也可以根据设置的出题方案抽取；支持同一套试卷学生的试卷知识点考点一致，但题目随机不同；支持老师设置学生能否查看答案，交卷后查看答案，还是到截止时间后查看答案或者边做边看答案；支持老师设置作业是否限时，若到达限制时间后是否统一强制交卷还是每人作答固定时间后交卷；支持老师设置学生作答次数，答题次数最大为5次。老师同时可以保存作业，复制作业，可查看班级成绩单、查看单个学生成绩以及他个人作答详情，支持老师强制提交和打回学生作答。</w:t>
            </w:r>
            <w:r>
              <w:br/>
            </w:r>
            <w:r>
              <w:rPr>
                <w:rFonts w:ascii="仿宋_GB2312" w:hAnsi="仿宋_GB2312" w:cs="仿宋_GB2312" w:eastAsia="仿宋_GB2312"/>
                <w:sz w:val="24"/>
              </w:rPr>
              <w:t>（</w:t>
            </w:r>
            <w:r>
              <w:rPr>
                <w:rFonts w:ascii="仿宋_GB2312" w:hAnsi="仿宋_GB2312" w:cs="仿宋_GB2312" w:eastAsia="仿宋_GB2312"/>
                <w:sz w:val="24"/>
              </w:rPr>
              <w:t>5）提供考试布置功能。教师根据授课内容，自主选择考核知识点、设置题量自主发布考试。习题可以由老师自己选取，也可以根据设置的出题方案抽取；支持同一套试卷学生的试卷知识点考点一致，但题目随机不同；支持老师设置学生能否查看答案，交卷后查看答案，还是到截止时间后查看答案或者边做边看答案；支持老师设置考试是否限时，若到达限制时间后是否统一强制交卷还是每人作答固定时间后交卷；支持老师设置学生作答次数，答题次数最大为5次。老师同时可以保存考试，复制考试，可查看班级成绩单、查看单个学生成绩以及个人作答详情，支持老师强制提交和打回学生作答。</w:t>
            </w:r>
            <w:r>
              <w:br/>
            </w:r>
            <w:r>
              <w:rPr>
                <w:rFonts w:ascii="仿宋_GB2312" w:hAnsi="仿宋_GB2312" w:cs="仿宋_GB2312" w:eastAsia="仿宋_GB2312"/>
                <w:sz w:val="24"/>
              </w:rPr>
              <w:t>（</w:t>
            </w:r>
            <w:r>
              <w:rPr>
                <w:rFonts w:ascii="仿宋_GB2312" w:hAnsi="仿宋_GB2312" w:cs="仿宋_GB2312" w:eastAsia="仿宋_GB2312"/>
                <w:sz w:val="24"/>
              </w:rPr>
              <w:t>6）提供学生学习情况查询功能，支持多个维度的数据统计包括：作业考试成绩、课程学习成绩、课堂互动成绩，学员平时成绩和整体综合的总成绩。</w:t>
            </w:r>
            <w:r>
              <w:br/>
            </w:r>
            <w:r>
              <w:rPr>
                <w:rFonts w:ascii="仿宋_GB2312" w:hAnsi="仿宋_GB2312" w:cs="仿宋_GB2312" w:eastAsia="仿宋_GB2312"/>
                <w:sz w:val="24"/>
              </w:rPr>
              <w:t>①作业考试成绩：教师可查看班级成绩单、查看单个学生成绩以及个人作答详情，支持老师强制提交和打回学生作答。支持多维度导出成绩用于教学备案；</w:t>
            </w:r>
            <w:r>
              <w:br/>
            </w:r>
            <w:r>
              <w:rPr>
                <w:rFonts w:ascii="仿宋_GB2312" w:hAnsi="仿宋_GB2312" w:cs="仿宋_GB2312" w:eastAsia="仿宋_GB2312"/>
                <w:sz w:val="24"/>
              </w:rPr>
              <w:t>②课程学习成绩：视频学习时长和章节练习两个维度统计。教师可按照视频查看班级整体时长和听课进度、查看单个学生听课情况；教师可依据某个练习查看班级成绩单、查看单个学生成绩以及个人作答详情。支持多维度导出成绩用于教学备案；</w:t>
            </w:r>
            <w:r>
              <w:br/>
            </w:r>
            <w:r>
              <w:rPr>
                <w:rFonts w:ascii="仿宋_GB2312" w:hAnsi="仿宋_GB2312" w:cs="仿宋_GB2312" w:eastAsia="仿宋_GB2312"/>
                <w:sz w:val="24"/>
              </w:rPr>
              <w:t>③课堂互动成绩：可以查看学生的各项考核成绩，包括课堂活动、考勤统计和课堂提问；支持导出各项成绩表格；</w:t>
            </w:r>
            <w:r>
              <w:br/>
            </w:r>
            <w:r>
              <w:rPr>
                <w:rFonts w:ascii="仿宋_GB2312" w:hAnsi="仿宋_GB2312" w:cs="仿宋_GB2312" w:eastAsia="仿宋_GB2312"/>
                <w:sz w:val="24"/>
              </w:rPr>
              <w:t>④学员平时成绩：以学生个人维度查看学生线上学习情况和线下课堂详情；</w:t>
            </w:r>
            <w:r>
              <w:br/>
            </w:r>
            <w:r>
              <w:rPr>
                <w:rFonts w:ascii="仿宋_GB2312" w:hAnsi="仿宋_GB2312" w:cs="仿宋_GB2312" w:eastAsia="仿宋_GB2312"/>
                <w:sz w:val="24"/>
              </w:rPr>
              <w:t>⑤学员总成绩：老师可以分别设置作业、考试、线上课程学习、线下翻转课堂等各项考核的权重比例计算学员的期末总成绩。另外可以导入线下考试等其他成绩参与折算。</w:t>
            </w:r>
            <w:r>
              <w:br/>
            </w:r>
            <w:r>
              <w:rPr>
                <w:rFonts w:ascii="仿宋_GB2312" w:hAnsi="仿宋_GB2312" w:cs="仿宋_GB2312" w:eastAsia="仿宋_GB2312"/>
                <w:sz w:val="24"/>
              </w:rPr>
              <w:t>（</w:t>
            </w:r>
            <w:r>
              <w:rPr>
                <w:rFonts w:ascii="仿宋_GB2312" w:hAnsi="仿宋_GB2312" w:cs="仿宋_GB2312" w:eastAsia="仿宋_GB2312"/>
                <w:sz w:val="24"/>
              </w:rPr>
              <w:t>7）提供丰富的签到管理功能，有传统点名考勤、数字码考勤、手势考勤和定位签到，可查看应到、出勤、缺勤以及早退、迟到、事假等各种出勤状态，统计班级出勤情况；可以针对某一考勤查看导出已签到、未签到学生名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8）提供丰富的课堂活动功能：</w:t>
            </w:r>
            <w:r>
              <w:br/>
            </w:r>
            <w:r>
              <w:rPr>
                <w:rFonts w:ascii="仿宋_GB2312" w:hAnsi="仿宋_GB2312" w:cs="仿宋_GB2312" w:eastAsia="仿宋_GB2312"/>
                <w:sz w:val="24"/>
              </w:rPr>
              <w:t>①随堂测验，老师可以启动随堂测试，将选择好的题目通过教学平台推送到学生的手机上，学生做完题目提交后，老师可以查看做题结果，可查看每个题目的正确率，也可单独查看某个学生整体的作答情况；</w:t>
            </w:r>
            <w:r>
              <w:br/>
            </w:r>
            <w:r>
              <w:rPr>
                <w:rFonts w:ascii="仿宋_GB2312" w:hAnsi="仿宋_GB2312" w:cs="仿宋_GB2312" w:eastAsia="仿宋_GB2312"/>
                <w:sz w:val="24"/>
              </w:rPr>
              <w:t>②分组活动，老师可以启动分组活动，学生可以按照设置好分组方案进组也可以自由进组或者随机分组，小组成员合力完成作答，后可教师评分，也可小组间学生互评；</w:t>
            </w:r>
            <w:r>
              <w:br/>
            </w:r>
            <w:r>
              <w:rPr>
                <w:rFonts w:ascii="仿宋_GB2312" w:hAnsi="仿宋_GB2312" w:cs="仿宋_GB2312" w:eastAsia="仿宋_GB2312"/>
                <w:sz w:val="24"/>
              </w:rPr>
              <w:t>③头脑风暴，老师可以启动头脑风暴，学生每个人发表自己的见解，老师可以展示与大家分享，学生可以对彼此的成果进行评论；</w:t>
            </w:r>
            <w:r>
              <w:br/>
            </w:r>
            <w:r>
              <w:rPr>
                <w:rFonts w:ascii="仿宋_GB2312" w:hAnsi="仿宋_GB2312" w:cs="仿宋_GB2312" w:eastAsia="仿宋_GB2312"/>
                <w:sz w:val="24"/>
              </w:rPr>
              <w:t>④问卷调查，老师可以启动问卷调查，支持选择问卷或者简答问卷。</w:t>
            </w:r>
            <w:r>
              <w:br/>
            </w:r>
            <w:r>
              <w:rPr>
                <w:rFonts w:ascii="仿宋_GB2312" w:hAnsi="仿宋_GB2312" w:cs="仿宋_GB2312" w:eastAsia="仿宋_GB2312"/>
                <w:sz w:val="24"/>
              </w:rPr>
              <w:t>（</w:t>
            </w:r>
            <w:r>
              <w:rPr>
                <w:rFonts w:ascii="仿宋_GB2312" w:hAnsi="仿宋_GB2312" w:cs="仿宋_GB2312" w:eastAsia="仿宋_GB2312"/>
                <w:sz w:val="24"/>
              </w:rPr>
              <w:t>9）提供消息公告管理功能，老师可以向学生发布公告、通知、学习提醒等信息。</w:t>
            </w:r>
            <w:r>
              <w:br/>
            </w:r>
            <w:r>
              <w:rPr>
                <w:rFonts w:ascii="仿宋_GB2312" w:hAnsi="仿宋_GB2312" w:cs="仿宋_GB2312" w:eastAsia="仿宋_GB2312"/>
                <w:sz w:val="24"/>
              </w:rPr>
              <w:t>（</w:t>
            </w:r>
            <w:r>
              <w:rPr>
                <w:rFonts w:ascii="仿宋_GB2312" w:hAnsi="仿宋_GB2312" w:cs="仿宋_GB2312" w:eastAsia="仿宋_GB2312"/>
                <w:sz w:val="24"/>
              </w:rPr>
              <w:t>10）提供随机提问功能和点名功能，在课堂上随机抽取或者选择幸运之星，与学生互动，可以根据学生的作答情况进行奖惩。</w:t>
            </w:r>
            <w:r>
              <w:br/>
            </w:r>
            <w:r>
              <w:rPr>
                <w:rFonts w:ascii="仿宋_GB2312" w:hAnsi="仿宋_GB2312" w:cs="仿宋_GB2312" w:eastAsia="仿宋_GB2312"/>
                <w:sz w:val="24"/>
              </w:rPr>
              <w:t>（</w:t>
            </w:r>
            <w:r>
              <w:rPr>
                <w:rFonts w:ascii="仿宋_GB2312" w:hAnsi="仿宋_GB2312" w:cs="仿宋_GB2312" w:eastAsia="仿宋_GB2312"/>
                <w:sz w:val="24"/>
              </w:rPr>
              <w:t>11）学习监测：展示教学班级中的详细情况，比如：用户趋势、学习监测、作业考试、疑点难点、学生排行等行为记录，方便老师了解用户学习活跃程度。</w:t>
            </w:r>
            <w:r>
              <w:br/>
            </w:r>
            <w:r>
              <w:rPr>
                <w:rFonts w:ascii="仿宋_GB2312" w:hAnsi="仿宋_GB2312" w:cs="仿宋_GB2312" w:eastAsia="仿宋_GB2312"/>
                <w:sz w:val="24"/>
              </w:rPr>
              <w:t>（</w:t>
            </w:r>
            <w:r>
              <w:rPr>
                <w:rFonts w:ascii="仿宋_GB2312" w:hAnsi="仿宋_GB2312" w:cs="仿宋_GB2312" w:eastAsia="仿宋_GB2312"/>
                <w:sz w:val="24"/>
              </w:rPr>
              <w:t>12）提供实训课程管理：教师可以查看已授权的第三方应用课程的详细情况。教师可以进行第三方课程的班级管理，包括班级信息，学生管理，实习成绩；班级信息：可以维护教学班级的名称，权限，开课时间；学生管理：教师可以对班级里学生进行添加或者移除；实习成绩：可以查看学生第三方课程的成绩。</w:t>
            </w:r>
            <w:r>
              <w:br/>
            </w:r>
            <w:r>
              <w:rPr>
                <w:rFonts w:ascii="仿宋_GB2312" w:hAnsi="仿宋_GB2312" w:cs="仿宋_GB2312" w:eastAsia="仿宋_GB2312"/>
                <w:sz w:val="24"/>
              </w:rPr>
              <w:t>（</w:t>
            </w:r>
            <w:r>
              <w:rPr>
                <w:rFonts w:ascii="仿宋_GB2312" w:hAnsi="仿宋_GB2312" w:cs="仿宋_GB2312" w:eastAsia="仿宋_GB2312"/>
                <w:sz w:val="24"/>
              </w:rPr>
              <w:t>13）提供直播间管理：教师可以根据自己的需要创建和管理直播间，可根据教学需要创建不超过5个直播间，提供直播排班管理：教师可以根据自己的需要创建直播排班计划，开启直播入口。直播支持观看回放。</w:t>
            </w:r>
            <w:r>
              <w:br/>
            </w:r>
            <w:r>
              <w:rPr>
                <w:rFonts w:ascii="仿宋_GB2312" w:hAnsi="仿宋_GB2312" w:cs="仿宋_GB2312" w:eastAsia="仿宋_GB2312"/>
                <w:sz w:val="24"/>
              </w:rPr>
              <w:t>（</w:t>
            </w:r>
            <w:r>
              <w:rPr>
                <w:rFonts w:ascii="仿宋_GB2312" w:hAnsi="仿宋_GB2312" w:cs="仿宋_GB2312" w:eastAsia="仿宋_GB2312"/>
                <w:sz w:val="24"/>
              </w:rPr>
              <w:t>14）提供学校门户网址建设：学校管理员可以根据学校的实际情况，修改学校简介，学校logo，学校形象图等。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15）提供大数据看板：学校管理可以看到学校的整体概况，师生活跃度，教学资源等信息的线性图、柱状图、饼状图。</w:t>
            </w:r>
            <w:r>
              <w:br/>
            </w:r>
            <w:r>
              <w:rPr>
                <w:rFonts w:ascii="仿宋_GB2312" w:hAnsi="仿宋_GB2312" w:cs="仿宋_GB2312" w:eastAsia="仿宋_GB2312"/>
                <w:sz w:val="24"/>
              </w:rPr>
              <w:t>2.3学习功能</w:t>
            </w:r>
            <w:r>
              <w:br/>
            </w:r>
            <w:r>
              <w:rPr>
                <w:rFonts w:ascii="仿宋_GB2312" w:hAnsi="仿宋_GB2312" w:cs="仿宋_GB2312" w:eastAsia="仿宋_GB2312"/>
                <w:sz w:val="24"/>
              </w:rPr>
              <w:t>（</w:t>
            </w:r>
            <w:r>
              <w:rPr>
                <w:rFonts w:ascii="仿宋_GB2312" w:hAnsi="仿宋_GB2312" w:cs="仿宋_GB2312" w:eastAsia="仿宋_GB2312"/>
                <w:sz w:val="24"/>
              </w:rPr>
              <w:t>1）提供听课功能，支持在线学习视频课程，教学视频尺寸不小于1280×720；提供播放速度调节功能，可根据观看习惯，自由选择合适自己的播放速度。</w:t>
            </w:r>
            <w:r>
              <w:br/>
            </w:r>
            <w:r>
              <w:rPr>
                <w:rFonts w:ascii="仿宋_GB2312" w:hAnsi="仿宋_GB2312" w:cs="仿宋_GB2312" w:eastAsia="仿宋_GB2312"/>
                <w:sz w:val="24"/>
              </w:rPr>
              <w:t>（</w:t>
            </w:r>
            <w:r>
              <w:rPr>
                <w:rFonts w:ascii="仿宋_GB2312" w:hAnsi="仿宋_GB2312" w:cs="仿宋_GB2312" w:eastAsia="仿宋_GB2312"/>
                <w:sz w:val="24"/>
              </w:rPr>
              <w:t>2）提供作业功能，学生在完成教师端布置的作业后可以获得分数用于统计期末总成绩。</w:t>
            </w:r>
            <w:r>
              <w:br/>
            </w:r>
            <w:r>
              <w:rPr>
                <w:rFonts w:ascii="仿宋_GB2312" w:hAnsi="仿宋_GB2312" w:cs="仿宋_GB2312" w:eastAsia="仿宋_GB2312"/>
                <w:sz w:val="24"/>
              </w:rPr>
              <w:t>（</w:t>
            </w:r>
            <w:r>
              <w:rPr>
                <w:rFonts w:ascii="仿宋_GB2312" w:hAnsi="仿宋_GB2312" w:cs="仿宋_GB2312" w:eastAsia="仿宋_GB2312"/>
                <w:sz w:val="24"/>
              </w:rPr>
              <w:t>3）具备考试功能，学生在完成教师端布置的试卷后可以获得分数用于统计期末总成绩。</w:t>
            </w:r>
            <w:r>
              <w:br/>
            </w:r>
            <w:r>
              <w:rPr>
                <w:rFonts w:ascii="仿宋_GB2312" w:hAnsi="仿宋_GB2312" w:cs="仿宋_GB2312" w:eastAsia="仿宋_GB2312"/>
                <w:sz w:val="24"/>
              </w:rPr>
              <w:t>（</w:t>
            </w:r>
            <w:r>
              <w:rPr>
                <w:rFonts w:ascii="仿宋_GB2312" w:hAnsi="仿宋_GB2312" w:cs="仿宋_GB2312" w:eastAsia="仿宋_GB2312"/>
                <w:sz w:val="24"/>
              </w:rPr>
              <w:t>4）支持课堂互动功能，可参加老师发布的各类活动，可以组间相互评分，同学互相评论。</w:t>
            </w:r>
            <w:r>
              <w:br/>
            </w:r>
            <w:r>
              <w:rPr>
                <w:rFonts w:ascii="仿宋_GB2312" w:hAnsi="仿宋_GB2312" w:cs="仿宋_GB2312" w:eastAsia="仿宋_GB2312"/>
                <w:sz w:val="24"/>
              </w:rPr>
              <w:t>3.APP功能参数</w:t>
            </w:r>
            <w:r>
              <w:br/>
            </w:r>
            <w:r>
              <w:rPr>
                <w:rFonts w:ascii="仿宋_GB2312" w:hAnsi="仿宋_GB2312" w:cs="仿宋_GB2312" w:eastAsia="仿宋_GB2312"/>
                <w:sz w:val="24"/>
              </w:rPr>
              <w:t>3.1 APP支持手机等移动终端学习功能，可以利用手机学习课程内视频、文档，完成随堂测、作业、考试等功能。</w:t>
            </w:r>
            <w:r>
              <w:br/>
            </w:r>
            <w:r>
              <w:rPr>
                <w:rFonts w:ascii="仿宋_GB2312" w:hAnsi="仿宋_GB2312" w:cs="仿宋_GB2312" w:eastAsia="仿宋_GB2312"/>
                <w:sz w:val="24"/>
              </w:rPr>
              <w:t>3.2 App支持学生参与多种形式的课堂活动：问卷调查、头脑风暴、分组任务、随堂测验等。</w:t>
            </w:r>
            <w:r>
              <w:br/>
            </w:r>
            <w:r>
              <w:rPr>
                <w:rFonts w:ascii="仿宋_GB2312" w:hAnsi="仿宋_GB2312" w:cs="仿宋_GB2312" w:eastAsia="仿宋_GB2312"/>
                <w:sz w:val="24"/>
              </w:rPr>
              <w:t>3.3打开APP实现四种形式的在线签到，传统点名考勤、数字考勤、手势考勤、GPS定位考勤，帮助老师自动统计学生出勤情况。</w:t>
            </w:r>
            <w:r>
              <w:br/>
            </w:r>
            <w:r>
              <w:rPr>
                <w:rFonts w:ascii="仿宋_GB2312" w:hAnsi="仿宋_GB2312" w:cs="仿宋_GB2312" w:eastAsia="仿宋_GB2312"/>
                <w:sz w:val="24"/>
              </w:rPr>
              <w:t>3.4 APP可记录学习情况，学生可按课程查看各个视频的学习进度，并提供学生平时学习情况统计和线下课堂表现详情，学生的各项学习活动均有分值记录，作为期末成绩考核依据。</w:t>
            </w:r>
            <w:r>
              <w:br/>
            </w:r>
            <w:r>
              <w:rPr>
                <w:rFonts w:ascii="仿宋_GB2312" w:hAnsi="仿宋_GB2312" w:cs="仿宋_GB2312" w:eastAsia="仿宋_GB2312"/>
                <w:sz w:val="24"/>
              </w:rPr>
              <w:t>3.5支持手机在线看课功能，提供倍速看课。</w:t>
            </w:r>
          </w:p>
          <w:p>
            <w:pPr>
              <w:pStyle w:val="null3"/>
              <w:jc w:val="both"/>
            </w:pPr>
            <w:r>
              <w:rPr>
                <w:rFonts w:ascii="仿宋_GB2312" w:hAnsi="仿宋_GB2312" w:cs="仿宋_GB2312" w:eastAsia="仿宋_GB2312"/>
                <w:sz w:val="24"/>
              </w:rPr>
              <w:t>三、虚拟教研室</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平台技术参数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平台基于企业级分布式架构开发，具有较强的可伸缩性、灵活性、易维护性；并遵循</w:t>
            </w:r>
            <w:r>
              <w:rPr>
                <w:rFonts w:ascii="仿宋_GB2312" w:hAnsi="仿宋_GB2312" w:cs="仿宋_GB2312" w:eastAsia="仿宋_GB2312"/>
                <w:sz w:val="24"/>
              </w:rPr>
              <w:t>RESTful API设计原则，开放提供专有与标准两类OpenAPI。</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平台支持公有云、专属云、私有云基本部署模式，能够根据学校具体情况灵活调整部署方案。</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平台基于</w:t>
            </w:r>
            <w:r>
              <w:rPr>
                <w:rFonts w:ascii="仿宋_GB2312" w:hAnsi="仿宋_GB2312" w:cs="仿宋_GB2312" w:eastAsia="仿宋_GB2312"/>
                <w:sz w:val="24"/>
              </w:rPr>
              <w:t>SOA面向服务架构思想设计，实现前后端分离架构；后端采用Controller/Service/DAO/Entity四层架构，整体设计清晰；前端基于业内主流框架构建，实现数据与结构分离，最大限度提高浏览器页面加载与响应速度。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平台采用关系型数据库、</w:t>
            </w:r>
            <w:r>
              <w:rPr>
                <w:rFonts w:ascii="仿宋_GB2312" w:hAnsi="仿宋_GB2312" w:cs="仿宋_GB2312" w:eastAsia="仿宋_GB2312"/>
                <w:sz w:val="24"/>
              </w:rPr>
              <w:t>NoSQL非关系型数据、文件系统三者结合并用的数据存储设计方案，全面保障用户数据的安全性与可靠性。关系型数据库实现数据持久化，支持多线程与事务处理，满足多用户高并发的使用场景；NoSQL非关系型数据库实现数据缓存，提高平台业务处理的效率，加快用户请求响应的速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平台及服务可部署在</w:t>
            </w:r>
            <w:r>
              <w:rPr>
                <w:rFonts w:ascii="仿宋_GB2312" w:hAnsi="仿宋_GB2312" w:cs="仿宋_GB2312" w:eastAsia="仿宋_GB2312"/>
                <w:sz w:val="24"/>
              </w:rPr>
              <w:t>Windows或Linux系统服务器，支持分布式集群部署，可根据教学需要进行动态的横向扩展，提高系统处理能力，满足学校大规模用户并发的教学应用场景。</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平台兼容基于</w:t>
            </w:r>
            <w:r>
              <w:rPr>
                <w:rFonts w:ascii="仿宋_GB2312" w:hAnsi="仿宋_GB2312" w:cs="仿宋_GB2312" w:eastAsia="仿宋_GB2312"/>
                <w:sz w:val="24"/>
              </w:rPr>
              <w:t>Chromium内核的主流浏览器，无需安装任何客户端或插件；并通过加密校验等机制保证浏览器客户端与平台服务端之间的数据传输安全，有效保障用户数据的安全。</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平台提供严格的权限管理功能，包括功能权限管理和数据访问权限管理，通过简单的配置实现权限划分的调整，不可非法访问受限资源。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平台搭载日志管理系统，满足问题追踪、状态监控、安全审计等平台安全要求，提供完整的审计日志，实现操作的可追溯。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）平台功能参数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多终端应用：支持</w:t>
            </w:r>
            <w:r>
              <w:rPr>
                <w:rFonts w:ascii="仿宋_GB2312" w:hAnsi="仿宋_GB2312" w:cs="仿宋_GB2312" w:eastAsia="仿宋_GB2312"/>
                <w:sz w:val="24"/>
              </w:rPr>
              <w:t>PC端+移动端（IOS和安卓）多终端应用，且数据互通。移动端可加入教研室，查看教研室通知公告，上传下载教研资源，参加教研活动等。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注册登录：集成教学组织实施平台登录入口与虚拟教研室的用户统一认证与管理。教学组织实施平台用户无需注册，使用教学组织实施平台账号即可登录教研室平台。非教学组织实施平台用户可自行注册登录。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角色与权限：</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支持访客、普通成员、子管理员和管理员四种角色。</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支持管理员设定子管理员共同管理教研室，可对成员进行分组管理，审核加入申请，发布通知公告，管理教研活动，管理教研资源，查看教研室数据看板。</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支持普通成员新建教研活动，协同共建教研资源，进行教研交流。</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支持访客浏览首页，查看热门教研室相关信息，可申请加入热门教研室，报名参加教研活动。</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开通教研室：支持选择开通不同范围不同类型的虚拟教研室。虚拟教研室按照范围可选择校内、区域和全国性三类。按照类型可选择面向课程（群）教学、面向专业建设和面向教学研究改革三类。</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管理教研室：通过</w:t>
            </w:r>
            <w:r>
              <w:rPr>
                <w:rFonts w:ascii="仿宋_GB2312" w:hAnsi="仿宋_GB2312" w:cs="仿宋_GB2312" w:eastAsia="仿宋_GB2312"/>
                <w:sz w:val="24"/>
              </w:rPr>
              <w:t>“我的教研室”专属入口，支持用户快速进入已加入的教研室空间完善教研室资料，进行教研活动管理，教研资管管理，团队管理等。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团队管理：管理员及子管理员有权对教研团队进行管理，包括查看成员基本信息，加入方式设置，申请加入审核及成员分组管理。</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可设置不同的成员加入方式，包括自由加入、回答问题加入、邀请码邀请加入，分享二维码邀请加入及分享链接邀请加入。</w:t>
            </w:r>
          </w:p>
          <w:p>
            <w:pPr>
              <w:pStyle w:val="null3"/>
              <w:jc w:val="both"/>
            </w:pPr>
            <w:r>
              <w:rPr>
                <w:rFonts w:ascii="仿宋_GB2312" w:hAnsi="仿宋_GB2312" w:cs="仿宋_GB2312" w:eastAsia="仿宋_GB2312"/>
                <w:sz w:val="24"/>
              </w:rPr>
              <w:t>6.2</w:t>
            </w:r>
            <w:r>
              <w:rPr>
                <w:rFonts w:ascii="仿宋_GB2312" w:hAnsi="仿宋_GB2312" w:cs="仿宋_GB2312" w:eastAsia="仿宋_GB2312"/>
                <w:sz w:val="24"/>
              </w:rPr>
              <w:t>支持设置申请加入是否需要审核。</w:t>
            </w:r>
            <w:r>
              <w:br/>
            </w:r>
            <w:r>
              <w:rPr>
                <w:rFonts w:ascii="仿宋_GB2312" w:hAnsi="仿宋_GB2312" w:cs="仿宋_GB2312" w:eastAsia="仿宋_GB2312"/>
                <w:sz w:val="24"/>
              </w:rPr>
              <w:t>6.3</w:t>
            </w:r>
            <w:r>
              <w:rPr>
                <w:rFonts w:ascii="仿宋_GB2312" w:hAnsi="仿宋_GB2312" w:cs="仿宋_GB2312" w:eastAsia="仿宋_GB2312"/>
                <w:sz w:val="24"/>
              </w:rPr>
              <w:t>支持设置申请加入时是否必须提交相关信息及资料，如出生年月、地区、证明材料。</w:t>
            </w:r>
            <w:r>
              <w:br/>
            </w:r>
            <w:r>
              <w:rPr>
                <w:rFonts w:ascii="仿宋_GB2312" w:hAnsi="仿宋_GB2312" w:cs="仿宋_GB2312" w:eastAsia="仿宋_GB2312"/>
                <w:sz w:val="24"/>
              </w:rPr>
              <w:t>6.4</w:t>
            </w:r>
            <w:r>
              <w:rPr>
                <w:rFonts w:ascii="仿宋_GB2312" w:hAnsi="仿宋_GB2312" w:cs="仿宋_GB2312" w:eastAsia="仿宋_GB2312"/>
                <w:sz w:val="24"/>
              </w:rPr>
              <w:t>支持单个或者批量设置成员角色。</w:t>
            </w:r>
            <w:r>
              <w:br/>
            </w:r>
            <w:r>
              <w:rPr>
                <w:rFonts w:ascii="仿宋_GB2312" w:hAnsi="仿宋_GB2312" w:cs="仿宋_GB2312" w:eastAsia="仿宋_GB2312"/>
                <w:sz w:val="24"/>
              </w:rPr>
              <w:t>6.5</w:t>
            </w:r>
            <w:r>
              <w:rPr>
                <w:rFonts w:ascii="仿宋_GB2312" w:hAnsi="仿宋_GB2312" w:cs="仿宋_GB2312" w:eastAsia="仿宋_GB2312"/>
                <w:sz w:val="24"/>
              </w:rPr>
              <w:t>支持添加成员、邀请成员、删除成员。</w:t>
            </w:r>
          </w:p>
          <w:p>
            <w:pPr>
              <w:pStyle w:val="null3"/>
              <w:jc w:val="both"/>
            </w:pPr>
            <w:r>
              <w:rPr>
                <w:rFonts w:ascii="仿宋_GB2312" w:hAnsi="仿宋_GB2312" w:cs="仿宋_GB2312" w:eastAsia="仿宋_GB2312"/>
                <w:sz w:val="24"/>
              </w:rPr>
              <w:t>6.6</w:t>
            </w:r>
            <w:r>
              <w:rPr>
                <w:rFonts w:ascii="仿宋_GB2312" w:hAnsi="仿宋_GB2312" w:cs="仿宋_GB2312" w:eastAsia="仿宋_GB2312"/>
                <w:sz w:val="24"/>
              </w:rPr>
              <w:t>支持对成员进行分组管理。</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平台集成：集成教学组织平台、教学资源库，通过教研活动实现与虚拟教研室教学资源的共建共享。</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共建共享教研资源：</w:t>
            </w:r>
          </w:p>
          <w:p>
            <w:pPr>
              <w:pStyle w:val="null3"/>
              <w:jc w:val="both"/>
            </w:pPr>
            <w:r>
              <w:rPr>
                <w:rFonts w:ascii="仿宋_GB2312" w:hAnsi="仿宋_GB2312" w:cs="仿宋_GB2312" w:eastAsia="仿宋_GB2312"/>
                <w:sz w:val="24"/>
              </w:rPr>
              <w:t>8.1</w:t>
            </w:r>
            <w:r>
              <w:rPr>
                <w:rFonts w:ascii="仿宋_GB2312" w:hAnsi="仿宋_GB2312" w:cs="仿宋_GB2312" w:eastAsia="仿宋_GB2312"/>
                <w:sz w:val="24"/>
              </w:rPr>
              <w:t>支持上传下载教研资源，对上传的资源可设置是否允许其他用户下载的权限；支持教学组织实施平台用户上传课堂资源库资源。</w:t>
            </w:r>
          </w:p>
          <w:p>
            <w:pPr>
              <w:pStyle w:val="null3"/>
              <w:jc w:val="both"/>
            </w:pPr>
            <w:r>
              <w:rPr>
                <w:rFonts w:ascii="仿宋_GB2312" w:hAnsi="仿宋_GB2312" w:cs="仿宋_GB2312" w:eastAsia="仿宋_GB2312"/>
                <w:sz w:val="24"/>
              </w:rPr>
              <w:t>8.2</w:t>
            </w:r>
            <w:r>
              <w:rPr>
                <w:rFonts w:ascii="仿宋_GB2312" w:hAnsi="仿宋_GB2312" w:cs="仿宋_GB2312" w:eastAsia="仿宋_GB2312"/>
                <w:sz w:val="24"/>
              </w:rPr>
              <w:t>支持用户对资源设置便签并进行分类管理。</w:t>
            </w:r>
          </w:p>
          <w:p>
            <w:pPr>
              <w:pStyle w:val="null3"/>
              <w:jc w:val="both"/>
            </w:pPr>
            <w:r>
              <w:rPr>
                <w:rFonts w:ascii="仿宋_GB2312" w:hAnsi="仿宋_GB2312" w:cs="仿宋_GB2312" w:eastAsia="仿宋_GB2312"/>
                <w:sz w:val="24"/>
              </w:rPr>
              <w:t>8.3</w:t>
            </w:r>
            <w:r>
              <w:rPr>
                <w:rFonts w:ascii="仿宋_GB2312" w:hAnsi="仿宋_GB2312" w:cs="仿宋_GB2312" w:eastAsia="仿宋_GB2312"/>
                <w:sz w:val="24"/>
              </w:rPr>
              <w:t>支持上传网络链接资源，支持</w:t>
            </w:r>
            <w:r>
              <w:rPr>
                <w:rFonts w:ascii="仿宋_GB2312" w:hAnsi="仿宋_GB2312" w:cs="仿宋_GB2312" w:eastAsia="仿宋_GB2312"/>
                <w:sz w:val="24"/>
              </w:rPr>
              <w:t>word、Excel、PDF、jpg、png、MP3、MP4、rar、zip10等多种格式的文档、图片、音频、视频资料的上传，并支持在线预览及播放。</w:t>
            </w:r>
            <w:r>
              <w:br/>
            </w:r>
            <w:r>
              <w:rPr>
                <w:rFonts w:ascii="仿宋_GB2312" w:hAnsi="仿宋_GB2312" w:cs="仿宋_GB2312" w:eastAsia="仿宋_GB2312"/>
                <w:sz w:val="24"/>
              </w:rPr>
              <w:t>8.4</w:t>
            </w:r>
            <w:r>
              <w:rPr>
                <w:rFonts w:ascii="仿宋_GB2312" w:hAnsi="仿宋_GB2312" w:cs="仿宋_GB2312" w:eastAsia="仿宋_GB2312"/>
                <w:sz w:val="24"/>
              </w:rPr>
              <w:t>支持单个文件</w:t>
            </w:r>
            <w:r>
              <w:rPr>
                <w:rFonts w:ascii="仿宋_GB2312" w:hAnsi="仿宋_GB2312" w:cs="仿宋_GB2312" w:eastAsia="仿宋_GB2312"/>
                <w:sz w:val="24"/>
              </w:rPr>
              <w:t>1G以内的资料上传，总空间资源不限。</w:t>
            </w:r>
          </w:p>
          <w:p>
            <w:pPr>
              <w:pStyle w:val="null3"/>
              <w:jc w:val="both"/>
            </w:pPr>
            <w:r>
              <w:rPr>
                <w:rFonts w:ascii="仿宋_GB2312" w:hAnsi="仿宋_GB2312" w:cs="仿宋_GB2312" w:eastAsia="仿宋_GB2312"/>
                <w:sz w:val="24"/>
              </w:rPr>
              <w:t>8.5</w:t>
            </w:r>
            <w:r>
              <w:rPr>
                <w:rFonts w:ascii="仿宋_GB2312" w:hAnsi="仿宋_GB2312" w:cs="仿宋_GB2312" w:eastAsia="仿宋_GB2312"/>
                <w:sz w:val="24"/>
              </w:rPr>
              <w:t>支持通过关键字、类型等快速检索教研资源。</w:t>
            </w:r>
          </w:p>
          <w:p>
            <w:pPr>
              <w:pStyle w:val="null3"/>
              <w:jc w:val="both"/>
            </w:pPr>
            <w:r>
              <w:rPr>
                <w:rFonts w:ascii="仿宋_GB2312" w:hAnsi="仿宋_GB2312" w:cs="仿宋_GB2312" w:eastAsia="仿宋_GB2312"/>
                <w:sz w:val="24"/>
              </w:rPr>
              <w:t>8.6</w:t>
            </w:r>
            <w:r>
              <w:rPr>
                <w:rFonts w:ascii="仿宋_GB2312" w:hAnsi="仿宋_GB2312" w:cs="仿宋_GB2312" w:eastAsia="仿宋_GB2312"/>
                <w:sz w:val="24"/>
              </w:rPr>
              <w:t>支持在线查看教研资源并对资源点赞。</w:t>
            </w:r>
          </w:p>
          <w:p>
            <w:pPr>
              <w:pStyle w:val="null3"/>
              <w:jc w:val="both"/>
            </w:pPr>
            <w:r>
              <w:rPr>
                <w:rFonts w:ascii="仿宋_GB2312" w:hAnsi="仿宋_GB2312" w:cs="仿宋_GB2312" w:eastAsia="仿宋_GB2312"/>
                <w:sz w:val="24"/>
              </w:rPr>
              <w:t>8.7</w:t>
            </w:r>
            <w:r>
              <w:rPr>
                <w:rFonts w:ascii="仿宋_GB2312" w:hAnsi="仿宋_GB2312" w:cs="仿宋_GB2312" w:eastAsia="仿宋_GB2312"/>
                <w:sz w:val="24"/>
              </w:rPr>
              <w:t>支持一键分享教研资源至微信、</w:t>
            </w:r>
            <w:r>
              <w:rPr>
                <w:rFonts w:ascii="仿宋_GB2312" w:hAnsi="仿宋_GB2312" w:cs="仿宋_GB2312" w:eastAsia="仿宋_GB2312"/>
                <w:sz w:val="24"/>
              </w:rPr>
              <w:t>QQ、微博等。</w:t>
            </w:r>
          </w:p>
          <w:p>
            <w:pPr>
              <w:pStyle w:val="null3"/>
              <w:jc w:val="both"/>
            </w:pPr>
            <w:r>
              <w:rPr>
                <w:rFonts w:ascii="仿宋_GB2312" w:hAnsi="仿宋_GB2312" w:cs="仿宋_GB2312" w:eastAsia="仿宋_GB2312"/>
                <w:sz w:val="24"/>
              </w:rPr>
              <w:t>8.8</w:t>
            </w:r>
            <w:r>
              <w:rPr>
                <w:rFonts w:ascii="仿宋_GB2312" w:hAnsi="仿宋_GB2312" w:cs="仿宋_GB2312" w:eastAsia="仿宋_GB2312"/>
                <w:sz w:val="24"/>
              </w:rPr>
              <w:t>支持管理员管理教研资源，包括审核、编辑等操作。</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教研活动：</w:t>
            </w:r>
          </w:p>
          <w:p>
            <w:pPr>
              <w:pStyle w:val="null3"/>
              <w:jc w:val="both"/>
            </w:pPr>
            <w:r>
              <w:rPr>
                <w:rFonts w:ascii="仿宋_GB2312" w:hAnsi="仿宋_GB2312" w:cs="仿宋_GB2312" w:eastAsia="仿宋_GB2312"/>
                <w:sz w:val="24"/>
              </w:rPr>
              <w:t>9.1</w:t>
            </w:r>
            <w:r>
              <w:rPr>
                <w:rFonts w:ascii="仿宋_GB2312" w:hAnsi="仿宋_GB2312" w:cs="仿宋_GB2312" w:eastAsia="仿宋_GB2312"/>
                <w:sz w:val="24"/>
              </w:rPr>
              <w:t>支持教研活动全过程记录，包括线上签到，请假，发布教研反馈问卷，发布教研主题讨论，上传教研成果。</w:t>
            </w:r>
          </w:p>
          <w:p>
            <w:pPr>
              <w:pStyle w:val="null3"/>
              <w:jc w:val="both"/>
            </w:pPr>
            <w:r>
              <w:rPr>
                <w:rFonts w:ascii="仿宋_GB2312" w:hAnsi="仿宋_GB2312" w:cs="仿宋_GB2312" w:eastAsia="仿宋_GB2312"/>
                <w:sz w:val="24"/>
              </w:rPr>
              <w:t>9.2</w:t>
            </w:r>
            <w:r>
              <w:rPr>
                <w:rFonts w:ascii="仿宋_GB2312" w:hAnsi="仿宋_GB2312" w:cs="仿宋_GB2312" w:eastAsia="仿宋_GB2312"/>
                <w:sz w:val="24"/>
              </w:rPr>
              <w:t>支持通过关键字、教研活动类型快速检索教研活动。</w:t>
            </w:r>
          </w:p>
          <w:p>
            <w:pPr>
              <w:pStyle w:val="null3"/>
              <w:jc w:val="both"/>
            </w:pPr>
            <w:r>
              <w:rPr>
                <w:rFonts w:ascii="仿宋_GB2312" w:hAnsi="仿宋_GB2312" w:cs="仿宋_GB2312" w:eastAsia="仿宋_GB2312"/>
                <w:sz w:val="24"/>
              </w:rPr>
              <w:t>9.3</w:t>
            </w:r>
            <w:r>
              <w:rPr>
                <w:rFonts w:ascii="仿宋_GB2312" w:hAnsi="仿宋_GB2312" w:cs="仿宋_GB2312" w:eastAsia="仿宋_GB2312"/>
                <w:sz w:val="24"/>
              </w:rPr>
              <w:t>用户可创建教研活动，包括设置活动基本信息、设置报名规则及上传教研素材附件。</w:t>
            </w:r>
          </w:p>
          <w:p>
            <w:pPr>
              <w:pStyle w:val="null3"/>
              <w:jc w:val="both"/>
            </w:pPr>
            <w:r>
              <w:rPr>
                <w:rFonts w:ascii="仿宋_GB2312" w:hAnsi="仿宋_GB2312" w:cs="仿宋_GB2312" w:eastAsia="仿宋_GB2312"/>
                <w:sz w:val="24"/>
              </w:rPr>
              <w:t>9.4</w:t>
            </w:r>
            <w:r>
              <w:rPr>
                <w:rFonts w:ascii="仿宋_GB2312" w:hAnsi="仿宋_GB2312" w:cs="仿宋_GB2312" w:eastAsia="仿宋_GB2312"/>
                <w:sz w:val="24"/>
              </w:rPr>
              <w:t>教研活动方式支持线上和线下两种方式，线上活动支持在线会议和在线直播。</w:t>
            </w:r>
          </w:p>
          <w:p>
            <w:pPr>
              <w:pStyle w:val="null3"/>
              <w:jc w:val="both"/>
            </w:pPr>
            <w:r>
              <w:rPr>
                <w:rFonts w:ascii="仿宋_GB2312" w:hAnsi="仿宋_GB2312" w:cs="仿宋_GB2312" w:eastAsia="仿宋_GB2312"/>
                <w:sz w:val="24"/>
              </w:rPr>
              <w:t>9.5</w:t>
            </w:r>
            <w:r>
              <w:rPr>
                <w:rFonts w:ascii="仿宋_GB2312" w:hAnsi="仿宋_GB2312" w:cs="仿宋_GB2312" w:eastAsia="仿宋_GB2312"/>
                <w:sz w:val="24"/>
              </w:rPr>
              <w:t>教研活动支持设置报名规则，可对是否允许报名、报名范围、报名人数及是否需要报名审核进行设置。</w:t>
            </w:r>
          </w:p>
          <w:p>
            <w:pPr>
              <w:pStyle w:val="null3"/>
              <w:jc w:val="both"/>
            </w:pPr>
            <w:r>
              <w:rPr>
                <w:rFonts w:ascii="仿宋_GB2312" w:hAnsi="仿宋_GB2312" w:cs="仿宋_GB2312" w:eastAsia="仿宋_GB2312"/>
                <w:sz w:val="24"/>
              </w:rPr>
              <w:t>9.6</w:t>
            </w:r>
            <w:r>
              <w:rPr>
                <w:rFonts w:ascii="仿宋_GB2312" w:hAnsi="仿宋_GB2312" w:cs="仿宋_GB2312" w:eastAsia="仿宋_GB2312"/>
                <w:sz w:val="24"/>
              </w:rPr>
              <w:t>教研活动支持分类管理上传教研素材附件。支持教学组织实施平台用户上传教学设计包作为教研素材。</w:t>
            </w:r>
          </w:p>
          <w:p>
            <w:pPr>
              <w:pStyle w:val="null3"/>
              <w:jc w:val="both"/>
            </w:pPr>
            <w:r>
              <w:rPr>
                <w:rFonts w:ascii="仿宋_GB2312" w:hAnsi="仿宋_GB2312" w:cs="仿宋_GB2312" w:eastAsia="仿宋_GB2312"/>
                <w:sz w:val="24"/>
              </w:rPr>
              <w:t>9.7</w:t>
            </w:r>
            <w:r>
              <w:rPr>
                <w:rFonts w:ascii="仿宋_GB2312" w:hAnsi="仿宋_GB2312" w:cs="仿宋_GB2312" w:eastAsia="仿宋_GB2312"/>
                <w:sz w:val="24"/>
              </w:rPr>
              <w:t>审核通过的教研活动自动生成宣传海报并可进行下载。扫描宣传海报的二维码可以查看教研活动基本信息及报名。</w:t>
            </w:r>
          </w:p>
          <w:p>
            <w:pPr>
              <w:pStyle w:val="null3"/>
              <w:jc w:val="both"/>
            </w:pPr>
            <w:r>
              <w:rPr>
                <w:rFonts w:ascii="仿宋_GB2312" w:hAnsi="仿宋_GB2312" w:cs="仿宋_GB2312" w:eastAsia="仿宋_GB2312"/>
                <w:sz w:val="24"/>
              </w:rPr>
              <w:t>9.8</w:t>
            </w:r>
            <w:r>
              <w:rPr>
                <w:rFonts w:ascii="仿宋_GB2312" w:hAnsi="仿宋_GB2312" w:cs="仿宋_GB2312" w:eastAsia="仿宋_GB2312"/>
                <w:sz w:val="24"/>
              </w:rPr>
              <w:t>支持管理员管理新创建的教研活动，包括审核、编辑等操作。</w:t>
            </w:r>
          </w:p>
          <w:p>
            <w:pPr>
              <w:pStyle w:val="null3"/>
              <w:jc w:val="both"/>
            </w:pPr>
            <w:r>
              <w:rPr>
                <w:rFonts w:ascii="仿宋_GB2312" w:hAnsi="仿宋_GB2312" w:cs="仿宋_GB2312" w:eastAsia="仿宋_GB2312"/>
                <w:sz w:val="24"/>
              </w:rPr>
              <w:t>9.9</w:t>
            </w:r>
            <w:r>
              <w:rPr>
                <w:rFonts w:ascii="仿宋_GB2312" w:hAnsi="仿宋_GB2312" w:cs="仿宋_GB2312" w:eastAsia="仿宋_GB2312"/>
                <w:sz w:val="24"/>
              </w:rPr>
              <w:t>支持管理员设置教研活动类型。</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教研工具：</w:t>
            </w:r>
          </w:p>
          <w:p>
            <w:pPr>
              <w:pStyle w:val="null3"/>
              <w:jc w:val="both"/>
            </w:pPr>
            <w:r>
              <w:rPr>
                <w:rFonts w:ascii="仿宋_GB2312" w:hAnsi="仿宋_GB2312" w:cs="仿宋_GB2312" w:eastAsia="仿宋_GB2312"/>
                <w:sz w:val="24"/>
              </w:rPr>
              <w:t>10.1</w:t>
            </w:r>
            <w:r>
              <w:rPr>
                <w:rFonts w:ascii="仿宋_GB2312" w:hAnsi="仿宋_GB2312" w:cs="仿宋_GB2312" w:eastAsia="仿宋_GB2312"/>
                <w:sz w:val="24"/>
              </w:rPr>
              <w:t>支持创建在线直播，可设置直播范围，设置是否开启主持人模式，选择直播间模板；支持无限期直播回放。</w:t>
            </w:r>
          </w:p>
          <w:p>
            <w:pPr>
              <w:pStyle w:val="null3"/>
              <w:jc w:val="both"/>
            </w:pPr>
            <w:r>
              <w:rPr>
                <w:rFonts w:ascii="仿宋_GB2312" w:hAnsi="仿宋_GB2312" w:cs="仿宋_GB2312" w:eastAsia="仿宋_GB2312"/>
                <w:sz w:val="24"/>
              </w:rPr>
              <w:t>10.2</w:t>
            </w:r>
            <w:r>
              <w:rPr>
                <w:rFonts w:ascii="仿宋_GB2312" w:hAnsi="仿宋_GB2312" w:cs="仿宋_GB2312" w:eastAsia="仿宋_GB2312"/>
                <w:sz w:val="24"/>
              </w:rPr>
              <w:t>平台内嵌</w:t>
            </w:r>
            <w:r>
              <w:rPr>
                <w:rFonts w:ascii="仿宋_GB2312" w:hAnsi="仿宋_GB2312" w:cs="仿宋_GB2312" w:eastAsia="仿宋_GB2312"/>
                <w:sz w:val="24"/>
              </w:rPr>
              <w:t>AI智能答疑助手，实时在线助力教师敏捷教研。</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教研交流：</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支持管理员设置讨论区并进行举报处理。</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支持按照关键字、发布时间或者标题快速检索话题。</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支持新建讨论话题并参与话题讨论。</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支持查看我发布的及我回复的话题。</w:t>
            </w:r>
          </w:p>
          <w:p>
            <w:pPr>
              <w:pStyle w:val="null3"/>
              <w:jc w:val="both"/>
            </w:pPr>
            <w:r>
              <w:rPr>
                <w:rFonts w:ascii="仿宋_GB2312" w:hAnsi="仿宋_GB2312" w:cs="仿宋_GB2312" w:eastAsia="仿宋_GB2312"/>
                <w:sz w:val="24"/>
              </w:rPr>
              <w:t>11.5</w:t>
            </w:r>
            <w:r>
              <w:rPr>
                <w:rFonts w:ascii="仿宋_GB2312" w:hAnsi="仿宋_GB2312" w:cs="仿宋_GB2312" w:eastAsia="仿宋_GB2312"/>
                <w:sz w:val="24"/>
              </w:rPr>
              <w:t>支持对讨论点赞或举报。</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通知公告：</w:t>
            </w:r>
          </w:p>
          <w:p>
            <w:pPr>
              <w:pStyle w:val="null3"/>
              <w:jc w:val="both"/>
            </w:pPr>
            <w:r>
              <w:rPr>
                <w:rFonts w:ascii="仿宋_GB2312" w:hAnsi="仿宋_GB2312" w:cs="仿宋_GB2312" w:eastAsia="仿宋_GB2312"/>
                <w:sz w:val="24"/>
              </w:rPr>
              <w:t>12.1</w:t>
            </w:r>
            <w:r>
              <w:rPr>
                <w:rFonts w:ascii="仿宋_GB2312" w:hAnsi="仿宋_GB2312" w:cs="仿宋_GB2312" w:eastAsia="仿宋_GB2312"/>
                <w:sz w:val="24"/>
              </w:rPr>
              <w:t>管理员可单个也可批量发布通知公告并进行置顶操作。</w:t>
            </w:r>
          </w:p>
          <w:p>
            <w:pPr>
              <w:pStyle w:val="null3"/>
              <w:jc w:val="both"/>
            </w:pPr>
            <w:r>
              <w:rPr>
                <w:rFonts w:ascii="仿宋_GB2312" w:hAnsi="仿宋_GB2312" w:cs="仿宋_GB2312" w:eastAsia="仿宋_GB2312"/>
                <w:sz w:val="24"/>
              </w:rPr>
              <w:t>12.2</w:t>
            </w:r>
            <w:r>
              <w:rPr>
                <w:rFonts w:ascii="仿宋_GB2312" w:hAnsi="仿宋_GB2312" w:cs="仿宋_GB2312" w:eastAsia="仿宋_GB2312"/>
                <w:sz w:val="24"/>
              </w:rPr>
              <w:t>支持按照关键字和公告状态进行快速检索。</w:t>
            </w:r>
          </w:p>
          <w:p>
            <w:pPr>
              <w:pStyle w:val="null3"/>
              <w:jc w:val="both"/>
            </w:pPr>
            <w:r>
              <w:rPr>
                <w:rFonts w:ascii="仿宋_GB2312" w:hAnsi="仿宋_GB2312" w:cs="仿宋_GB2312" w:eastAsia="仿宋_GB2312"/>
                <w:sz w:val="24"/>
              </w:rPr>
              <w:t>12.3</w:t>
            </w:r>
            <w:r>
              <w:rPr>
                <w:rFonts w:ascii="仿宋_GB2312" w:hAnsi="仿宋_GB2312" w:cs="仿宋_GB2312" w:eastAsia="仿宋_GB2312"/>
                <w:sz w:val="24"/>
              </w:rPr>
              <w:t>数据统计：管理员可以查看教研室整体数据统计，包括教研活动类型统计图、教研活动发布趋势图、各类型资源统计图、成员专业及职称分布图、成员人数变化趋势图。此外，管理员还可以查看教研资源的各类统计数据，包括各类型资源的数量、阅读量、下载量、评论量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合同签订之日起30个日历日内完成供货并安装调试完毕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本项目采用一次性付款方式，供应商按约定完成全部项目内容并经招标人最终验收合格后，供应商应在付款前提供符合要求的等额增值税专用发票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质保期1年，质保期内因系统适配新版本数据库或安全漏洞产生以及其他可能存在的相关情形所产生的升级迭代需求，由供应商全面负责。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详见最终签订协议。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1.各供应商在投标时以“投标总报价”的形式自主填报投标报价，但不得超出本项目的投标最高限价，否则将按照无效投标处理。 2.供应商所填报的投标总报价应是完成本次采购范围内所需货物及相应服务的相应全部费用。供应商在填报投标报价时应综合考虑以下各类价格组成内容，包括但不限于人工费、材料费、专用工具使用费、企业管理费、规费、税金以及与本项目相关的一切直接费、间接费。要求的其他相关费用以本招标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⑤其他需要落实的政府采购政策；⑥本采购包不专门面向中小企业采购。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明显低于其他实质性响应的供应商报价，有可能影响产品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产品技术参数表 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供应商对采购需求（不包括需演示项）中所投产品的技术指标、性能、配置逐条进行明确响应，并提供相关证明材料。 完全满足招标文件技术指标的得15分，技术指标每负偏离一项扣0.3分，扣完为止。 备注： 1.证明材料要求：不论是否偏离，均应提供相关证明材料。各证明材料中的响应指标应保持一致，若不一致以最不利于技术参数响应的证明材料进行评审，未按要求提供证明材料视为负偏离。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采购需求中标注【此项需演示】的条款为重要指标，供应商须逐条演示，1条不满足扣2分，扣完为止。演示完全满足参数要求得满分。 备注： ①本次演示通过“腾讯会议”形式，由各供应商线上进行演示，演示时间不超过10分钟。 ②演示环境必须是真实的软件使用/运行环境，不允许完全使用PPT、静态页面、产品视频、原型等不成熟环境演示，否则不予认定，演示设备由供应商自行准备。</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项目建设方案</w:t>
            </w:r>
          </w:p>
        </w:tc>
        <w:tc>
          <w:tcPr>
            <w:tcW w:type="dxa" w:w="2492"/>
          </w:tcPr>
          <w:p>
            <w:pPr>
              <w:pStyle w:val="null3"/>
            </w:pPr>
            <w:r>
              <w:rPr>
                <w:rFonts w:ascii="仿宋_GB2312" w:hAnsi="仿宋_GB2312" w:cs="仿宋_GB2312" w:eastAsia="仿宋_GB2312"/>
              </w:rPr>
              <w:t>供应商应在充分理解项目采购需求的基础上，针对本项目编制项目建设方案，内容至少包括： ①教学设计：具体包括课程大纲策划，课程体系设计，课程内容规划，课程文案制作等。 ②拍摄准备：具体包括PPT设计，课程脚本设计，课程素材整理，视频制作规格标准等。 ③视频拍摄：具体包括交互式大屏拍摄，授课现场拍摄，虚拟场景拍摄，写真拍摄等。 ④视频剪辑：具体包括视频打点，视频剪辑，视频转码，视频审校等。 ⑤课程整体包装：具体包括素材插入，特效制作，片头片尾制作，字幕制作等。 ⑥上线运行：具体包括上线平台选择，上线运行维护，建设目标实现等。 评标委员会针对上述要点内容进行逐项综合评审： 评审标准:项目建设方案各部分内容全面详细、阐述条理清晰详尽、符合本项目采购需求得9分；评审内容每缺一项扣1.5分，扣完为止；评审内容有一项内容存在缺陷(缺陷是指:内容描述过于简单、条理不清晰、与项目内容不匹配、凭空编造、出现常识性错误、不可能实现的夸大情形或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本项目的实施方案包括但不限于： ①项目总体实施进度计划； ②项目实施保障措施； ③项目应急保障措施。 评标委员会针对上述要点内容进行逐项综合评审： 评审标准:项目实施方案各部分内容全面详细、阐述条理清晰详尽、符合本项目采购需求得3分；评审内容每缺一项扣1分，扣完为止；评审内容有一项内容存在缺陷(缺陷是指:内容描述过于简单、条理不清晰、与项目内容不匹配、凭空编造、出现常识性错误、不可能实现的夸大情形或存在不适用项目实际情况的情形等)扣0.2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本项目的培训方案包括但不限于： ①培训内容 ②培训计划 ③培训流程等方面。 评标委员会针对上述要点内容进行逐项综合评审： 评审标准:培训方案各部分内容全面详细、阐述条理清晰详尽、符合本项目采购需求得3分；评审内容每缺一项扣1分，扣完为止；评审内容有一项内容存在缺陷(缺陷是指:内容描述过于简单、条理不清晰、与项目内容不匹配、凭空编造、出现常识性错误、不可能实现的夸大情形或存在不适用项目实际情况的情形等)扣0.2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软硬件保障措施</w:t>
            </w:r>
          </w:p>
        </w:tc>
        <w:tc>
          <w:tcPr>
            <w:tcW w:type="dxa" w:w="2492"/>
          </w:tcPr>
          <w:p>
            <w:pPr>
              <w:pStyle w:val="null3"/>
            </w:pPr>
            <w:r>
              <w:rPr>
                <w:rFonts w:ascii="仿宋_GB2312" w:hAnsi="仿宋_GB2312" w:cs="仿宋_GB2312" w:eastAsia="仿宋_GB2312"/>
              </w:rPr>
              <w:t>供应商针对本项目应有完整的软硬件保障措施，有拍摄场地和各种软硬件保障： 1.专业级高清数字摄像机、灯光设备、录音设备、提词工具、平板交互一体机等拍摄器材、专业级高清非线性影视编辑系统等相关设备器材，每具备一种专业设备得0.5分，满分3分。（提供租赁合同或购置发票等材料加盖公章） 2.具备资源拍摄的场景影棚，可满足不同风格课程拍摄形式，得2分。（提供租赁合同或产权证明、影棚平面图、现场图片等材料加盖公章）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根据供应商提供针对本项目的售后服务方案，包括但不限于： ①售后服务标准； ②售后响应时间； ③质保期满后的承诺： 评标委员会针对上述要点内容进行逐项综合评审： 评审标准:售后服务各部分内容全面详细、阐述条理清晰详尽、符合本项目采购需求得3分；评审内容每缺一项扣1分，扣完为止；评审内容有一项内容存在缺陷(缺陷是指:内容描述过于简单、条理不清晰、与项目内容不匹配、凭空编造、出现常识性错误、不可能实现的夸大情形或存在不适用项目实际情况的情形等)扣0.2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供应商应在投标文件中提供该供应商自2022年7月1日起至今的类似项目的业绩证明材料，每提供一份业绩得2分，满分为10分，不得重复累计。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其他供应商的价格分统一按照下列公式计算。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