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版本号：CT-ZB00-158-202520250708002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沁园一餐厅消防隐患维修整改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CT-ZB00-158-2025</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沁园一餐厅消防隐患维修整改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CT-ZB00-158-2025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沁园一餐厅消防隐患维修整改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科技大学沁园一餐厅消防隐患维修整改，位于西安市陕西科技大学内。建设内容为沁园餐厅一餐厅消防安全隐患整改。主要工作内容为增加防火卷帘、防火隔墙、防火门，部分原有门更换为防火门，增加风井（含出屋面），拆除并恢复影响施工的吊顶（含吊顶上灯具及其它设备）；增加消防喷淋系统、通风防排烟系统、应急照明系统；增加部分消防电系统，现场施工时检查对无法正常使用部分进行更换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1、营业执照等主体资格证明文件：具有独立承担民事责任的能力。供应商具有独立承担民事责任能力的法人、其他组织或自然人，并出具合法有效的营业执照或事业单位法人证书等国家规定的相关证明， 自然人参与的提供其身份证明。</w:t>
      </w:r>
    </w:p>
    <w:p>
      <w:pPr>
        <w:pStyle w:val="null3"/>
      </w:pPr>
      <w:r>
        <w:rPr>
          <w:rFonts w:ascii="仿宋_GB2312" w:hAnsi="仿宋_GB2312" w:cs="仿宋_GB2312" w:eastAsia="仿宋_GB2312"/>
        </w:rPr>
        <w:t>2、财务状况报告：提供经审计的2023年或2024年财务审计报告（成立时间至开标时间不足一年的可提供成立后任意时段的资产负债表）或提供基本存款账户信息及磋商截止日期前三个月内其基本存款账户开户银行出具的资信证明。</w:t>
      </w:r>
    </w:p>
    <w:p>
      <w:pPr>
        <w:pStyle w:val="null3"/>
      </w:pPr>
      <w:r>
        <w:rPr>
          <w:rFonts w:ascii="仿宋_GB2312" w:hAnsi="仿宋_GB2312" w:cs="仿宋_GB2312" w:eastAsia="仿宋_GB2312"/>
        </w:rPr>
        <w:t>3、税收缴纳证明：提供开标截止日前6个月内任意一个月（响应截止时间当月不计入）的纳税证明或完税证明，依法免税的单位应提供相关证明材料。</w:t>
      </w:r>
    </w:p>
    <w:p>
      <w:pPr>
        <w:pStyle w:val="null3"/>
      </w:pPr>
      <w:r>
        <w:rPr>
          <w:rFonts w:ascii="仿宋_GB2312" w:hAnsi="仿宋_GB2312" w:cs="仿宋_GB2312" w:eastAsia="仿宋_GB2312"/>
        </w:rPr>
        <w:t>4、社会保障资金缴存证明：提供磋商截止日期前2024年7月(含)以后连续两个月的社会保障资金缴存单据或社保机构开具的社会保险参保缴费情况证明。依法不需要缴纳社会保障资金的供应商应提供相关文件证明。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5、书面声明：提供参加政府采购活动前3年内在经营活动中没有重大违法记录的书面声明。</w:t>
      </w:r>
    </w:p>
    <w:p>
      <w:pPr>
        <w:pStyle w:val="null3"/>
      </w:pPr>
      <w:r>
        <w:rPr>
          <w:rFonts w:ascii="仿宋_GB2312" w:hAnsi="仿宋_GB2312" w:cs="仿宋_GB2312" w:eastAsia="仿宋_GB2312"/>
        </w:rPr>
        <w:t>6、承诺函：提供具有履行合同所必需的设备和专业技术能力证明文件， 提供承诺函。</w:t>
      </w:r>
    </w:p>
    <w:p>
      <w:pPr>
        <w:pStyle w:val="null3"/>
      </w:pPr>
      <w:r>
        <w:rPr>
          <w:rFonts w:ascii="仿宋_GB2312" w:hAnsi="仿宋_GB2312" w:cs="仿宋_GB2312" w:eastAsia="仿宋_GB2312"/>
        </w:rPr>
        <w:t>7、法定代表人授权委托书：供应商应授权合法的人员参加磋商，其中法定代表人直接参加的，须出具法定代表人证明书；被授权代表参加的，须出具法定代表人授权书。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8、企业资质：具备建设行政主管部门颁发的消防设施施工二级资质及以上资质证书，同时具有合格有效的安全生产许可证。</w:t>
      </w:r>
    </w:p>
    <w:p>
      <w:pPr>
        <w:pStyle w:val="null3"/>
      </w:pPr>
      <w:r>
        <w:rPr>
          <w:rFonts w:ascii="仿宋_GB2312" w:hAnsi="仿宋_GB2312" w:cs="仿宋_GB2312" w:eastAsia="仿宋_GB2312"/>
        </w:rPr>
        <w:t>9、项目经理资格：拟派项目经理须具备机电工程专业一级注册建造师资格，具备有效的安全生产考核合格证书（B证），在本单位注册，且无在建工程(需提供承诺)。（须提供身份证及2024年7月(含)以后连续两个月社保证明复印件）</w:t>
      </w:r>
    </w:p>
    <w:p>
      <w:pPr>
        <w:pStyle w:val="null3"/>
      </w:pPr>
      <w:r>
        <w:rPr>
          <w:rFonts w:ascii="仿宋_GB2312" w:hAnsi="仿宋_GB2312" w:cs="仿宋_GB2312" w:eastAsia="仿宋_GB2312"/>
        </w:rPr>
        <w:t>10、项目部主要人员资质：供应商须提供住房和城乡建设部门核发的有效的安全生产考核合格证书A证(建筑施工企业主要负责人)、安全生产考核合格证书C证(建筑施工企业专职安全生产管理人员)。（人员均须提供身份证及2024年7月(含)以后连续两个月社保证明复印件）</w:t>
      </w:r>
    </w:p>
    <w:p>
      <w:pPr>
        <w:pStyle w:val="null3"/>
      </w:pPr>
      <w:r>
        <w:rPr>
          <w:rFonts w:ascii="仿宋_GB2312" w:hAnsi="仿宋_GB2312" w:cs="仿宋_GB2312" w:eastAsia="仿宋_GB2312"/>
        </w:rPr>
        <w:t>11、企业信用：供应商不得被“ 中国执行信息公开网” 网站中列入失信被执行人；不得被“信用中国” 网站中列入重大税收违法失信主体；不得被“ 中国政府采购网”政府采购严重违法失信行为记录名单。 如相关失信记录已失效，需提供相关证明资料。</w:t>
      </w:r>
    </w:p>
    <w:p>
      <w:pPr>
        <w:pStyle w:val="null3"/>
      </w:pPr>
      <w:r>
        <w:rPr>
          <w:rFonts w:ascii="仿宋_GB2312" w:hAnsi="仿宋_GB2312" w:cs="仿宋_GB2312" w:eastAsia="仿宋_GB2312"/>
        </w:rPr>
        <w:t>12、控股管理关系：单位负责人为同一人或者存在直接控股、管理关系的供应商，不得参加同一合同下的政府采购活动。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13、陕西省建筑市场监管与诚信信息一体化平台登记：供应商和项目负责人在陕西省建筑市场监管与诚信信息一体化平台登记。</w:t>
      </w:r>
    </w:p>
    <w:p>
      <w:pPr>
        <w:pStyle w:val="null3"/>
      </w:pPr>
      <w:r>
        <w:rPr>
          <w:rFonts w:ascii="仿宋_GB2312" w:hAnsi="仿宋_GB2312" w:cs="仿宋_GB2312" w:eastAsia="仿宋_GB2312"/>
        </w:rPr>
        <w:t>14、本项目不接受联合体投标，不允许分包：供应商应提供《非联合体不分包投标声明》，视为独立投标，不分包。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18149290536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和改革委员会办公厅颁发的《关于招标代理服务收费有关问题的通知》（发改办价格[2003]857号）的有关规定按标准下浮50%计取代理服务费。 招标代理服务费公布方式：代理服务费金额将在成交公告中明确，成交单位在领取成交通知书前，须向采购代理机构一次性支付招标代理服务费。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达到国家施工验收规范合格标准和西安市有关质量标准和要求。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联系人：陈丹</w:t>
      </w:r>
    </w:p>
    <w:p>
      <w:pPr>
        <w:pStyle w:val="null3"/>
      </w:pPr>
      <w:r>
        <w:rPr>
          <w:rFonts w:ascii="仿宋_GB2312" w:hAnsi="仿宋_GB2312" w:cs="仿宋_GB2312" w:eastAsia="仿宋_GB2312"/>
        </w:rPr>
        <w:t>联系电话：18149290536</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3,200,000.00</w:t>
      </w:r>
    </w:p>
    <w:p>
      <w:pPr>
        <w:pStyle w:val="null3"/>
      </w:pPr>
      <w:r>
        <w:rPr>
          <w:rFonts w:ascii="仿宋_GB2312" w:hAnsi="仿宋_GB2312" w:cs="仿宋_GB2312" w:eastAsia="仿宋_GB2312"/>
        </w:rPr>
        <w:t>采购包最高限价（元）: 3,198,974.87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沁园一餐厅消防隐患维修整改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标的名称：沁园一餐厅消防隐患维修整改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jc w:val="both"/>
            </w:pPr>
            <w:r>
              <w:rPr>
                <w:rFonts w:ascii="仿宋_GB2312" w:hAnsi="仿宋_GB2312" w:cs="仿宋_GB2312" w:eastAsia="仿宋_GB2312"/>
                <w:sz w:val="24"/>
              </w:rPr>
              <w:t>一、总体</w:t>
            </w:r>
          </w:p>
          <w:p>
            <w:pPr>
              <w:pStyle w:val="null3"/>
              <w:ind w:firstLine="420"/>
              <w:jc w:val="both"/>
            </w:pPr>
            <w:r>
              <w:rPr>
                <w:rFonts w:ascii="仿宋_GB2312" w:hAnsi="仿宋_GB2312" w:cs="仿宋_GB2312" w:eastAsia="仿宋_GB2312"/>
                <w:sz w:val="24"/>
              </w:rPr>
              <w:t>1. 主要工作内容为增加防火卷帘、防火隔墙、防火门，部分原有门更换为防火门，增加风井(含出屋面)，拆除并恢复影响施工的吊顶(含吊顶上灯具及其它设备)；增加消防喷淋系统、通风防排烟系统、应急照明系统;增加部分消防电系统，现场施工时检查对无法正常使用部分进行更换等。</w:t>
            </w:r>
          </w:p>
          <w:p>
            <w:pPr>
              <w:pStyle w:val="null3"/>
              <w:ind w:firstLine="420"/>
              <w:jc w:val="both"/>
            </w:pPr>
            <w:r>
              <w:rPr>
                <w:rFonts w:ascii="仿宋_GB2312" w:hAnsi="仿宋_GB2312" w:cs="仿宋_GB2312" w:eastAsia="仿宋_GB2312"/>
                <w:sz w:val="24"/>
              </w:rPr>
              <w:t>2.因安装消防电及喷淋系统施工需拆除吊顶，暂按全部拆除并沿用原有装修做法进行恢复;</w:t>
            </w:r>
          </w:p>
          <w:p>
            <w:pPr>
              <w:pStyle w:val="null3"/>
              <w:ind w:firstLine="420"/>
              <w:jc w:val="both"/>
            </w:pPr>
            <w:r>
              <w:rPr>
                <w:rFonts w:ascii="仿宋_GB2312" w:hAnsi="仿宋_GB2312" w:cs="仿宋_GB2312" w:eastAsia="仿宋_GB2312"/>
                <w:sz w:val="24"/>
              </w:rPr>
              <w:t>3.铝扣板、铝方通、铝格栅拆装利旧比例不明确，吊顶新做部分按龙骨利旧、面板新做考虑;</w:t>
            </w:r>
          </w:p>
          <w:p>
            <w:pPr>
              <w:pStyle w:val="null3"/>
              <w:ind w:firstLine="420"/>
              <w:jc w:val="both"/>
            </w:pPr>
            <w:r>
              <w:rPr>
                <w:rFonts w:ascii="仿宋_GB2312" w:hAnsi="仿宋_GB2312" w:cs="仿宋_GB2312" w:eastAsia="仿宋_GB2312"/>
                <w:sz w:val="24"/>
              </w:rPr>
              <w:t>4.新做吊顶均为暂定量,结算时根据二次深化图和现场实际情况按实结算;</w:t>
            </w:r>
          </w:p>
          <w:p>
            <w:pPr>
              <w:pStyle w:val="null3"/>
              <w:ind w:firstLine="420"/>
              <w:jc w:val="both"/>
            </w:pPr>
            <w:r>
              <w:rPr>
                <w:rFonts w:ascii="仿宋_GB2312" w:hAnsi="仿宋_GB2312" w:cs="仿宋_GB2312" w:eastAsia="仿宋_GB2312"/>
                <w:sz w:val="24"/>
              </w:rPr>
              <w:t>5.二次结构(圈过梁及构造柱)、砌体加固筋图纸未设计，本次预算未考虑，后期施工时根据需要增加时按实结算;</w:t>
            </w:r>
          </w:p>
          <w:p>
            <w:pPr>
              <w:pStyle w:val="null3"/>
              <w:ind w:firstLine="420"/>
              <w:jc w:val="both"/>
            </w:pPr>
            <w:r>
              <w:rPr>
                <w:rFonts w:ascii="仿宋_GB2312" w:hAnsi="仿宋_GB2312" w:cs="仿宋_GB2312" w:eastAsia="仿宋_GB2312"/>
                <w:sz w:val="24"/>
              </w:rPr>
              <w:t>6.新砌防火隔墙(含新增风井)统一按抹灰面乳胶漆+不锈钢踢脚线做法，出屋面风井外墙按抹灰面真石漆做法计入，出屋面处做泛水;</w:t>
            </w:r>
          </w:p>
          <w:p>
            <w:pPr>
              <w:pStyle w:val="null3"/>
              <w:ind w:firstLine="420"/>
              <w:jc w:val="both"/>
            </w:pPr>
            <w:r>
              <w:rPr>
                <w:rFonts w:ascii="仿宋_GB2312" w:hAnsi="仿宋_GB2312" w:cs="仿宋_GB2312" w:eastAsia="仿宋_GB2312"/>
                <w:sz w:val="24"/>
              </w:rPr>
              <w:t>7.出屋面风井风机基础无设计高度，按300mm 高考虑:</w:t>
            </w:r>
          </w:p>
          <w:p>
            <w:pPr>
              <w:pStyle w:val="null3"/>
              <w:ind w:firstLine="420"/>
              <w:jc w:val="both"/>
            </w:pPr>
            <w:r>
              <w:rPr>
                <w:rFonts w:ascii="仿宋_GB2312" w:hAnsi="仿宋_GB2312" w:cs="仿宋_GB2312" w:eastAsia="仿宋_GB2312"/>
                <w:sz w:val="24"/>
              </w:rPr>
              <w:t>8.新增乙级防火门及普通门更换为乙级防火门材质不明确,按愿设计图纸木质防火门考虑:</w:t>
            </w:r>
          </w:p>
          <w:p>
            <w:pPr>
              <w:pStyle w:val="null3"/>
              <w:ind w:firstLine="420"/>
              <w:jc w:val="both"/>
            </w:pPr>
            <w:r>
              <w:rPr>
                <w:rFonts w:ascii="仿宋_GB2312" w:hAnsi="仿宋_GB2312" w:cs="仿宋_GB2312" w:eastAsia="仿宋_GB2312"/>
                <w:sz w:val="24"/>
              </w:rPr>
              <w:t>9.出餐明档处按整体拆除考虑;</w:t>
            </w:r>
          </w:p>
          <w:p>
            <w:pPr>
              <w:pStyle w:val="null3"/>
              <w:ind w:firstLine="420"/>
              <w:jc w:val="both"/>
            </w:pPr>
            <w:r>
              <w:rPr>
                <w:rFonts w:ascii="仿宋_GB2312" w:hAnsi="仿宋_GB2312" w:cs="仿宋_GB2312" w:eastAsia="仿宋_GB2312"/>
                <w:sz w:val="24"/>
              </w:rPr>
              <w:t>10.吊顶面层拆除厚度统一按 15mm 考虑:</w:t>
            </w:r>
          </w:p>
          <w:p>
            <w:pPr>
              <w:pStyle w:val="null3"/>
              <w:ind w:firstLine="420"/>
              <w:jc w:val="both"/>
            </w:pPr>
            <w:r>
              <w:rPr>
                <w:rFonts w:ascii="仿宋_GB2312" w:hAnsi="仿宋_GB2312" w:cs="仿宋_GB2312" w:eastAsia="仿宋_GB2312"/>
                <w:sz w:val="24"/>
              </w:rPr>
              <w:t>11.室外电缆涉及的路面拆除及恢复无相关傲法大样，按切割路面后拆除并恢复200厚C25混凝土+150厚3:7灰土垫层，宽度按600mm计入;</w:t>
            </w:r>
          </w:p>
          <w:p>
            <w:pPr>
              <w:pStyle w:val="null3"/>
              <w:ind w:firstLine="420"/>
              <w:jc w:val="both"/>
            </w:pPr>
            <w:r>
              <w:rPr>
                <w:rFonts w:ascii="仿宋_GB2312" w:hAnsi="仿宋_GB2312" w:cs="仿宋_GB2312" w:eastAsia="仿宋_GB2312"/>
                <w:sz w:val="24"/>
              </w:rPr>
              <w:t>12.应急照明系统按全部新傲，室外计算至物业中心消控室处，室内外以外墙皮为界线;</w:t>
            </w:r>
          </w:p>
          <w:p>
            <w:pPr>
              <w:pStyle w:val="null3"/>
              <w:ind w:firstLine="420"/>
              <w:jc w:val="both"/>
            </w:pPr>
            <w:r>
              <w:rPr>
                <w:rFonts w:ascii="仿宋_GB2312" w:hAnsi="仿宋_GB2312" w:cs="仿宋_GB2312" w:eastAsia="仿宋_GB2312"/>
                <w:sz w:val="24"/>
              </w:rPr>
              <w:t>13.火灾报警系统部分设备拆除并恢复，部分新增系统按配管配线及设备安装全部计入。室外计算至物业中心消控室处，室内外以外墙皮为界线;</w:t>
            </w:r>
          </w:p>
          <w:p>
            <w:pPr>
              <w:pStyle w:val="null3"/>
              <w:ind w:firstLine="420"/>
              <w:jc w:val="both"/>
            </w:pPr>
            <w:r>
              <w:rPr>
                <w:rFonts w:ascii="仿宋_GB2312" w:hAnsi="仿宋_GB2312" w:cs="仿宋_GB2312" w:eastAsia="仿宋_GB2312"/>
                <w:sz w:val="24"/>
              </w:rPr>
              <w:t>14.消防控制线(强启动线)室外计算至23号楼消防水系房处，室内外以外墙皮为界线;</w:t>
            </w:r>
          </w:p>
          <w:p>
            <w:pPr>
              <w:pStyle w:val="null3"/>
              <w:ind w:firstLine="420"/>
              <w:jc w:val="both"/>
            </w:pPr>
            <w:r>
              <w:rPr>
                <w:rFonts w:ascii="仿宋_GB2312" w:hAnsi="仿宋_GB2312" w:cs="仿宋_GB2312" w:eastAsia="仿宋_GB2312"/>
                <w:sz w:val="24"/>
              </w:rPr>
              <w:t>15.消防自喷系统按部分更换喷头，部分全部新做考虑:</w:t>
            </w:r>
          </w:p>
          <w:p>
            <w:pPr>
              <w:pStyle w:val="null3"/>
              <w:ind w:firstLine="420"/>
              <w:jc w:val="both"/>
            </w:pPr>
            <w:r>
              <w:rPr>
                <w:rFonts w:ascii="仿宋_GB2312" w:hAnsi="仿宋_GB2312" w:cs="仿宋_GB2312" w:eastAsia="仿宋_GB2312"/>
                <w:sz w:val="24"/>
              </w:rPr>
              <w:t>16.通凤及空调工程按新增挡烟垂壁计入；</w:t>
            </w:r>
          </w:p>
          <w:p>
            <w:pPr>
              <w:pStyle w:val="null3"/>
              <w:ind w:firstLine="420"/>
              <w:jc w:val="both"/>
            </w:pPr>
            <w:r>
              <w:rPr>
                <w:rFonts w:ascii="仿宋_GB2312" w:hAnsi="仿宋_GB2312" w:cs="仿宋_GB2312" w:eastAsia="仿宋_GB2312"/>
                <w:sz w:val="24"/>
              </w:rPr>
              <w:t>17.拆除吊顶上照明、通风空调等设备按保护性拆除并恢复考虑;</w:t>
            </w:r>
          </w:p>
          <w:p>
            <w:pPr>
              <w:pStyle w:val="null3"/>
              <w:ind w:firstLine="420"/>
              <w:jc w:val="both"/>
            </w:pPr>
            <w:r>
              <w:rPr>
                <w:rFonts w:ascii="仿宋_GB2312" w:hAnsi="仿宋_GB2312" w:cs="仿宋_GB2312" w:eastAsia="仿宋_GB2312"/>
                <w:sz w:val="24"/>
              </w:rPr>
              <w:t>18.现场施工时检查原消防电系统管线及设备是否能正常使用,对无法正常使用部分进行更换;</w:t>
            </w:r>
          </w:p>
          <w:p>
            <w:pPr>
              <w:pStyle w:val="null3"/>
              <w:ind w:firstLine="420"/>
              <w:jc w:val="both"/>
            </w:pPr>
            <w:r>
              <w:rPr>
                <w:rFonts w:ascii="仿宋_GB2312" w:hAnsi="仿宋_GB2312" w:cs="仿宋_GB2312" w:eastAsia="仿宋_GB2312"/>
                <w:sz w:val="24"/>
              </w:rPr>
              <w:t>19. 整改完成后，应积极配合住建部门的验收，为取得住建部门出具的评估认定书所需的各项手续办理、配合费用等均包含在投标报价内。</w:t>
            </w:r>
          </w:p>
          <w:p>
            <w:pPr>
              <w:pStyle w:val="null3"/>
              <w:ind w:firstLine="420"/>
              <w:jc w:val="both"/>
            </w:pPr>
            <w:r>
              <w:rPr>
                <w:rFonts w:ascii="仿宋_GB2312" w:hAnsi="仿宋_GB2312" w:cs="仿宋_GB2312" w:eastAsia="仿宋_GB2312"/>
                <w:sz w:val="24"/>
              </w:rPr>
              <w:t>20. 各投标单位在招标人提供的清单工作要求内容的基础上，应根据相关设计、施工规范标准自行进行完善辅助工作，并依照工程量清单编制规则进行报价，包含综合单价分析表等。</w:t>
            </w:r>
          </w:p>
          <w:p>
            <w:pPr>
              <w:pStyle w:val="null3"/>
              <w:ind w:firstLine="420"/>
              <w:jc w:val="both"/>
            </w:pPr>
            <w:r>
              <w:rPr>
                <w:rFonts w:ascii="仿宋_GB2312" w:hAnsi="仿宋_GB2312" w:cs="仿宋_GB2312" w:eastAsia="仿宋_GB2312"/>
                <w:sz w:val="24"/>
              </w:rPr>
              <w:t>21. 隐蔽工程应经监理、建设单位共同现场验收、确认后方可隐蔽，并及时留取照片、视频等影像资料，以做为后期核查等相关工作的参考依据。</w:t>
            </w:r>
          </w:p>
          <w:p>
            <w:pPr>
              <w:pStyle w:val="null3"/>
              <w:ind w:firstLine="420"/>
              <w:jc w:val="both"/>
            </w:pPr>
            <w:r>
              <w:rPr>
                <w:rFonts w:ascii="仿宋_GB2312" w:hAnsi="仿宋_GB2312" w:cs="仿宋_GB2312" w:eastAsia="仿宋_GB2312"/>
                <w:sz w:val="24"/>
              </w:rPr>
              <w:t>22. 消防水泵房内设备及联动报警设备应能保证整个消防系统的兼容性、完整性，软、硬件齐全，招标清单未描述完整部分应符合图纸设计及相关验收规范、标准等要求，整改完成后系统运行正常，并能通过住建消防主管部门的验收。为完成本次整改项目，相关软件费用综合考虑在投标报价内。</w:t>
            </w:r>
          </w:p>
          <w:p>
            <w:pPr>
              <w:pStyle w:val="null3"/>
              <w:jc w:val="both"/>
            </w:pPr>
            <w:r>
              <w:rPr>
                <w:rFonts w:ascii="仿宋_GB2312" w:hAnsi="仿宋_GB2312" w:cs="仿宋_GB2312" w:eastAsia="仿宋_GB2312"/>
                <w:sz w:val="24"/>
              </w:rPr>
              <w:t>二、主要设备材料品牌及技术要求</w:t>
            </w:r>
          </w:p>
          <w:p>
            <w:pPr>
              <w:pStyle w:val="null3"/>
              <w:ind w:firstLine="420"/>
              <w:jc w:val="both"/>
            </w:pPr>
            <w:r>
              <w:rPr>
                <w:rFonts w:ascii="仿宋_GB2312" w:hAnsi="仿宋_GB2312" w:cs="仿宋_GB2312" w:eastAsia="仿宋_GB2312"/>
                <w:sz w:val="24"/>
              </w:rPr>
              <w:t xml:space="preserve">1. </w:t>
            </w:r>
            <w:r>
              <w:rPr>
                <w:rFonts w:ascii="仿宋_GB2312" w:hAnsi="仿宋_GB2312" w:cs="仿宋_GB2312" w:eastAsia="仿宋_GB2312"/>
                <w:sz w:val="24"/>
              </w:rPr>
              <w:t>为确保系统兼容性，报警联动一体机（</w:t>
            </w:r>
            <w:r>
              <w:rPr>
                <w:rFonts w:ascii="仿宋_GB2312" w:hAnsi="仿宋_GB2312" w:cs="仿宋_GB2312" w:eastAsia="仿宋_GB2312"/>
                <w:sz w:val="24"/>
              </w:rPr>
              <w:t>智能型（联网型）火灾报警系统主机、</w:t>
            </w:r>
            <w:r>
              <w:rPr>
                <w:rFonts w:ascii="仿宋_GB2312" w:hAnsi="仿宋_GB2312" w:cs="仿宋_GB2312" w:eastAsia="仿宋_GB2312"/>
                <w:sz w:val="24"/>
              </w:rPr>
              <w:t>消防联动控制台（柜））、</w:t>
            </w:r>
            <w:r>
              <w:rPr>
                <w:rFonts w:ascii="仿宋_GB2312" w:hAnsi="仿宋_GB2312" w:cs="仿宋_GB2312" w:eastAsia="仿宋_GB2312"/>
                <w:sz w:val="24"/>
              </w:rPr>
              <w:t>图形显示装置、消防应急广播控制主机等联动系统报警控制设备品牌为：西核彩桥</w:t>
            </w:r>
            <w:r>
              <w:rPr>
                <w:rFonts w:ascii="仿宋_GB2312" w:hAnsi="仿宋_GB2312" w:cs="仿宋_GB2312" w:eastAsia="仿宋_GB2312"/>
                <w:sz w:val="24"/>
              </w:rPr>
              <w:t>CH9000系列</w:t>
            </w:r>
            <w:r>
              <w:rPr>
                <w:rFonts w:ascii="仿宋_GB2312" w:hAnsi="仿宋_GB2312" w:cs="仿宋_GB2312" w:eastAsia="仿宋_GB2312"/>
                <w:sz w:val="24"/>
              </w:rPr>
              <w:t>。消防专用电话总机、消防电源监控系统主机、防火门监控系统控制器、电气火灾监控系统控制器、电气火灾监控系统主机、消防应急照明系统控制主机等设备品牌为：</w:t>
            </w:r>
            <w:r>
              <w:rPr>
                <w:rFonts w:ascii="仿宋_GB2312" w:hAnsi="仿宋_GB2312" w:cs="仿宋_GB2312" w:eastAsia="仿宋_GB2312"/>
                <w:sz w:val="24"/>
              </w:rPr>
              <w:t>“中消恒安”、“西安亚川”、“广东敏华”。</w:t>
            </w:r>
          </w:p>
          <w:p>
            <w:pPr>
              <w:pStyle w:val="null3"/>
              <w:ind w:firstLine="420"/>
              <w:jc w:val="both"/>
            </w:pPr>
            <w:r>
              <w:rPr>
                <w:rFonts w:ascii="仿宋_GB2312" w:hAnsi="仿宋_GB2312" w:cs="仿宋_GB2312" w:eastAsia="仿宋_GB2312"/>
                <w:sz w:val="24"/>
              </w:rPr>
              <w:t xml:space="preserve">2. </w:t>
            </w:r>
            <w:r>
              <w:rPr>
                <w:rFonts w:ascii="仿宋_GB2312" w:hAnsi="仿宋_GB2312" w:cs="仿宋_GB2312" w:eastAsia="仿宋_GB2312"/>
                <w:sz w:val="24"/>
              </w:rPr>
              <w:t>阀门</w:t>
            </w:r>
            <w:r>
              <w:rPr>
                <w:rFonts w:ascii="仿宋_GB2312" w:hAnsi="仿宋_GB2312" w:cs="仿宋_GB2312" w:eastAsia="仿宋_GB2312"/>
                <w:sz w:val="24"/>
              </w:rPr>
              <w:t>（阀体为铸钢，阀芯、阀杆为不锈钢）：</w:t>
            </w:r>
            <w:r>
              <w:rPr>
                <w:rFonts w:ascii="仿宋_GB2312" w:hAnsi="仿宋_GB2312" w:cs="仿宋_GB2312" w:eastAsia="仿宋_GB2312"/>
                <w:sz w:val="24"/>
              </w:rPr>
              <w:t>“浙江飞环阀门” 、“上海金来邦阀门”、“上海良固阀门” 、“上海标一”。</w:t>
            </w:r>
          </w:p>
          <w:p>
            <w:pPr>
              <w:pStyle w:val="null3"/>
              <w:jc w:val="both"/>
            </w:pPr>
            <w:r>
              <w:rPr>
                <w:rFonts w:ascii="仿宋_GB2312" w:hAnsi="仿宋_GB2312" w:cs="仿宋_GB2312" w:eastAsia="仿宋_GB2312"/>
                <w:sz w:val="24"/>
              </w:rPr>
              <w:t>3.防火卷帘：“万通”、“高科金城”、“安安”、</w:t>
            </w:r>
            <w:r>
              <w:rPr>
                <w:rFonts w:ascii="仿宋_GB2312" w:hAnsi="仿宋_GB2312" w:cs="仿宋_GB2312" w:eastAsia="仿宋_GB2312"/>
                <w:sz w:val="24"/>
              </w:rPr>
              <w:t>“蓝盾”、“牧城”</w:t>
            </w:r>
            <w:r>
              <w:rPr>
                <w:rFonts w:ascii="仿宋_GB2312" w:hAnsi="仿宋_GB2312" w:cs="仿宋_GB2312" w:eastAsia="仿宋_GB2312"/>
                <w:sz w:val="24"/>
              </w:rPr>
              <w:t>；</w:t>
            </w:r>
          </w:p>
          <w:p>
            <w:pPr>
              <w:pStyle w:val="null3"/>
              <w:ind w:left="-360" w:firstLine="720"/>
              <w:jc w:val="left"/>
            </w:pPr>
            <w:r>
              <w:rPr>
                <w:rFonts w:ascii="仿宋_GB2312" w:hAnsi="仿宋_GB2312" w:cs="仿宋_GB2312" w:eastAsia="仿宋_GB2312"/>
                <w:sz w:val="24"/>
              </w:rPr>
              <w:t>4.挡烟垂壁：“富达康”、“佳安”、“安舜”、“金盾”</w:t>
            </w:r>
            <w:r>
              <w:rPr>
                <w:rFonts w:ascii="仿宋_GB2312" w:hAnsi="仿宋_GB2312" w:cs="仿宋_GB2312" w:eastAsia="仿宋_GB2312"/>
                <w:sz w:val="24"/>
                <w:b/>
                <w:color w:val="333333"/>
                <w:shd w:fill="FFFFFF" w:val="clear"/>
              </w:rPr>
              <w:t>‘</w:t>
            </w:r>
          </w:p>
          <w:p>
            <w:pPr>
              <w:pStyle w:val="null3"/>
              <w:jc w:val="both"/>
            </w:pPr>
            <w:r>
              <w:rPr>
                <w:rFonts w:ascii="仿宋_GB2312" w:hAnsi="仿宋_GB2312" w:cs="仿宋_GB2312" w:eastAsia="仿宋_GB2312"/>
                <w:sz w:val="24"/>
              </w:rPr>
              <w:t>5.排烟风机：</w:t>
            </w:r>
            <w:r>
              <w:rPr>
                <w:rFonts w:ascii="仿宋_GB2312" w:hAnsi="仿宋_GB2312" w:cs="仿宋_GB2312" w:eastAsia="仿宋_GB2312"/>
                <w:sz w:val="24"/>
              </w:rPr>
              <w:t>“山东亚太”、“格瑞德”、“金光”；</w:t>
            </w:r>
          </w:p>
          <w:p>
            <w:pPr>
              <w:pStyle w:val="null3"/>
              <w:jc w:val="both"/>
            </w:pPr>
            <w:r>
              <w:rPr>
                <w:rFonts w:ascii="仿宋_GB2312" w:hAnsi="仿宋_GB2312" w:cs="仿宋_GB2312" w:eastAsia="仿宋_GB2312"/>
                <w:sz w:val="24"/>
              </w:rPr>
              <w:t>6.防火门：“高科金城”、</w:t>
            </w:r>
            <w:r>
              <w:rPr>
                <w:rFonts w:ascii="仿宋_GB2312" w:hAnsi="仿宋_GB2312" w:cs="仿宋_GB2312" w:eastAsia="仿宋_GB2312"/>
                <w:sz w:val="24"/>
              </w:rPr>
              <w:t>“新多”、“星月神”、“大力大喜”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7.配电箱、控制柜</w:t>
            </w:r>
            <w:r>
              <w:rPr>
                <w:rFonts w:ascii="仿宋_GB2312" w:hAnsi="仿宋_GB2312" w:cs="仿宋_GB2312" w:eastAsia="仿宋_GB2312"/>
                <w:sz w:val="24"/>
              </w:rPr>
              <w:t>厂家：</w:t>
            </w:r>
            <w:r>
              <w:rPr>
                <w:rFonts w:ascii="仿宋_GB2312" w:hAnsi="仿宋_GB2312" w:cs="仿宋_GB2312" w:eastAsia="仿宋_GB2312"/>
                <w:sz w:val="24"/>
              </w:rPr>
              <w:t>“陕西秦通电力”、“西安高科电气”、“陕西联控机电”（ 配电箱含箱中电气元件等成套产品，配电箱中开关元件等见技术要求）。元器件选定要求如下：</w:t>
            </w:r>
          </w:p>
          <w:p>
            <w:pPr>
              <w:pStyle w:val="null3"/>
              <w:ind w:left="15" w:firstLine="535"/>
              <w:jc w:val="both"/>
            </w:pPr>
            <w:r>
              <w:rPr>
                <w:rFonts w:ascii="仿宋_GB2312" w:hAnsi="仿宋_GB2312" w:cs="仿宋_GB2312" w:eastAsia="仿宋_GB2312"/>
                <w:sz w:val="24"/>
              </w:rPr>
              <w:t>7.1空气断路器：</w:t>
            </w:r>
            <w:r>
              <w:rPr>
                <w:rFonts w:ascii="仿宋_GB2312" w:hAnsi="仿宋_GB2312" w:cs="仿宋_GB2312" w:eastAsia="仿宋_GB2312"/>
                <w:sz w:val="24"/>
              </w:rPr>
              <w:t>“施耐德”、“ABB”、</w:t>
            </w:r>
            <w:r>
              <w:rPr>
                <w:rFonts w:ascii="仿宋_GB2312" w:hAnsi="仿宋_GB2312" w:cs="仿宋_GB2312" w:eastAsia="仿宋_GB2312"/>
                <w:sz w:val="24"/>
              </w:rPr>
              <w:t>“西门子”、“正泰”、“德力西”；</w:t>
            </w:r>
          </w:p>
          <w:p>
            <w:pPr>
              <w:pStyle w:val="null3"/>
              <w:ind w:left="15" w:firstLine="535"/>
              <w:jc w:val="both"/>
            </w:pPr>
            <w:r>
              <w:rPr>
                <w:rFonts w:ascii="仿宋_GB2312" w:hAnsi="仿宋_GB2312" w:cs="仿宋_GB2312" w:eastAsia="仿宋_GB2312"/>
                <w:sz w:val="24"/>
              </w:rPr>
              <w:t>7.2</w:t>
            </w:r>
            <w:r>
              <w:rPr>
                <w:rFonts w:ascii="仿宋_GB2312" w:hAnsi="仿宋_GB2312" w:cs="仿宋_GB2312" w:eastAsia="仿宋_GB2312"/>
                <w:sz w:val="24"/>
              </w:rPr>
              <w:t>双电源开关</w:t>
            </w:r>
            <w:r>
              <w:rPr>
                <w:rFonts w:ascii="仿宋_GB2312" w:hAnsi="仿宋_GB2312" w:cs="仿宋_GB2312" w:eastAsia="仿宋_GB2312"/>
                <w:sz w:val="24"/>
              </w:rPr>
              <w:t>：</w:t>
            </w:r>
            <w:r>
              <w:rPr>
                <w:rFonts w:ascii="仿宋_GB2312" w:hAnsi="仿宋_GB2312" w:cs="仿宋_GB2312" w:eastAsia="仿宋_GB2312"/>
                <w:sz w:val="24"/>
              </w:rPr>
              <w:t>“天津万高”、“施耐德”、“ABB”、</w:t>
            </w:r>
            <w:r>
              <w:rPr>
                <w:rFonts w:ascii="仿宋_GB2312" w:hAnsi="仿宋_GB2312" w:cs="仿宋_GB2312" w:eastAsia="仿宋_GB2312"/>
                <w:sz w:val="24"/>
              </w:rPr>
              <w:t>“西门子”、“正泰”、“德力西”；</w:t>
            </w:r>
          </w:p>
          <w:p>
            <w:pPr>
              <w:pStyle w:val="null3"/>
              <w:ind w:left="15" w:firstLine="535"/>
              <w:jc w:val="both"/>
            </w:pPr>
            <w:r>
              <w:rPr>
                <w:rFonts w:ascii="仿宋_GB2312" w:hAnsi="仿宋_GB2312" w:cs="仿宋_GB2312" w:eastAsia="仿宋_GB2312"/>
                <w:sz w:val="24"/>
              </w:rPr>
              <w:t>7.3</w:t>
            </w:r>
            <w:r>
              <w:rPr>
                <w:rFonts w:ascii="仿宋_GB2312" w:hAnsi="仿宋_GB2312" w:cs="仿宋_GB2312" w:eastAsia="仿宋_GB2312"/>
                <w:sz w:val="24"/>
              </w:rPr>
              <w:t>负荷隔离开关</w:t>
            </w:r>
            <w:r>
              <w:rPr>
                <w:rFonts w:ascii="仿宋_GB2312" w:hAnsi="仿宋_GB2312" w:cs="仿宋_GB2312" w:eastAsia="仿宋_GB2312"/>
                <w:sz w:val="24"/>
              </w:rPr>
              <w:t>：</w:t>
            </w:r>
            <w:r>
              <w:rPr>
                <w:rFonts w:ascii="仿宋_GB2312" w:hAnsi="仿宋_GB2312" w:cs="仿宋_GB2312" w:eastAsia="仿宋_GB2312"/>
                <w:sz w:val="24"/>
              </w:rPr>
              <w:t>“正泰”</w:t>
            </w:r>
            <w:r>
              <w:rPr>
                <w:rFonts w:ascii="仿宋_GB2312" w:hAnsi="仿宋_GB2312" w:cs="仿宋_GB2312" w:eastAsia="仿宋_GB2312"/>
                <w:sz w:val="24"/>
              </w:rPr>
              <w:t>、</w:t>
            </w:r>
            <w:r>
              <w:rPr>
                <w:rFonts w:ascii="仿宋_GB2312" w:hAnsi="仿宋_GB2312" w:cs="仿宋_GB2312" w:eastAsia="仿宋_GB2312"/>
                <w:sz w:val="24"/>
              </w:rPr>
              <w:t>“西门子”、“正泰”、</w:t>
            </w:r>
            <w:r>
              <w:rPr>
                <w:rFonts w:ascii="仿宋_GB2312" w:hAnsi="仿宋_GB2312" w:cs="仿宋_GB2312" w:eastAsia="仿宋_GB2312"/>
                <w:sz w:val="24"/>
              </w:rPr>
              <w:t>“德力西”</w:t>
            </w:r>
            <w:r>
              <w:rPr>
                <w:rFonts w:ascii="仿宋_GB2312" w:hAnsi="仿宋_GB2312" w:cs="仿宋_GB2312" w:eastAsia="仿宋_GB2312"/>
                <w:sz w:val="24"/>
              </w:rPr>
              <w:t>、</w:t>
            </w:r>
            <w:r>
              <w:rPr>
                <w:rFonts w:ascii="仿宋_GB2312" w:hAnsi="仿宋_GB2312" w:cs="仿宋_GB2312" w:eastAsia="仿宋_GB2312"/>
                <w:sz w:val="24"/>
              </w:rPr>
              <w:t>“西电”；</w:t>
            </w:r>
          </w:p>
          <w:p>
            <w:pPr>
              <w:pStyle w:val="null3"/>
              <w:ind w:left="15" w:firstLine="535"/>
              <w:jc w:val="both"/>
            </w:pPr>
            <w:r>
              <w:rPr>
                <w:rFonts w:ascii="仿宋_GB2312" w:hAnsi="仿宋_GB2312" w:cs="仿宋_GB2312" w:eastAsia="仿宋_GB2312"/>
                <w:sz w:val="24"/>
              </w:rPr>
              <w:t>7.4浪涌器：</w:t>
            </w:r>
            <w:r>
              <w:rPr>
                <w:rFonts w:ascii="仿宋_GB2312" w:hAnsi="仿宋_GB2312" w:cs="仿宋_GB2312" w:eastAsia="仿宋_GB2312"/>
                <w:sz w:val="24"/>
              </w:rPr>
              <w:t>“天津中力”、“杭州易造”、“德力西”、“正泰”</w:t>
            </w:r>
            <w:r>
              <w:rPr>
                <w:rFonts w:ascii="仿宋_GB2312" w:hAnsi="仿宋_GB2312" w:cs="仿宋_GB2312" w:eastAsia="仿宋_GB2312"/>
                <w:sz w:val="24"/>
              </w:rPr>
              <w:t>；</w:t>
            </w:r>
          </w:p>
          <w:p>
            <w:pPr>
              <w:pStyle w:val="null3"/>
              <w:ind w:left="15" w:firstLine="535"/>
              <w:jc w:val="both"/>
            </w:pPr>
            <w:r>
              <w:rPr>
                <w:rFonts w:ascii="仿宋_GB2312" w:hAnsi="仿宋_GB2312" w:cs="仿宋_GB2312" w:eastAsia="仿宋_GB2312"/>
                <w:sz w:val="24"/>
              </w:rPr>
              <w:t>7.5电气火灾监控器：“江苏斯菲尔”、“西安亚川”、</w:t>
            </w:r>
            <w:r>
              <w:rPr>
                <w:rFonts w:ascii="仿宋_GB2312" w:hAnsi="仿宋_GB2312" w:cs="仿宋_GB2312" w:eastAsia="仿宋_GB2312"/>
                <w:sz w:val="24"/>
              </w:rPr>
              <w:t>“深圳赋安”</w:t>
            </w:r>
          </w:p>
          <w:p>
            <w:pPr>
              <w:pStyle w:val="null3"/>
              <w:ind w:firstLine="547"/>
              <w:jc w:val="both"/>
            </w:pPr>
            <w:r>
              <w:rPr>
                <w:rFonts w:ascii="仿宋_GB2312" w:hAnsi="仿宋_GB2312" w:cs="仿宋_GB2312" w:eastAsia="仿宋_GB2312"/>
                <w:sz w:val="24"/>
              </w:rPr>
              <w:t>7.6辅助元件选用</w:t>
            </w:r>
          </w:p>
          <w:p>
            <w:pPr>
              <w:pStyle w:val="null3"/>
              <w:ind w:left="15" w:firstLine="775"/>
              <w:jc w:val="both"/>
            </w:pPr>
            <w:r>
              <w:rPr>
                <w:rFonts w:ascii="仿宋_GB2312" w:hAnsi="仿宋_GB2312" w:cs="仿宋_GB2312" w:eastAsia="仿宋_GB2312"/>
                <w:sz w:val="24"/>
              </w:rPr>
              <w:t>7.6.1交流接触器、热继电器、中间继电器：</w:t>
            </w:r>
            <w:r>
              <w:rPr>
                <w:rFonts w:ascii="仿宋_GB2312" w:hAnsi="仿宋_GB2312" w:cs="仿宋_GB2312" w:eastAsia="仿宋_GB2312"/>
                <w:sz w:val="24"/>
              </w:rPr>
              <w:t>“正泰”、“德力西”、“西电”；</w:t>
            </w:r>
          </w:p>
          <w:p>
            <w:pPr>
              <w:pStyle w:val="null3"/>
              <w:ind w:firstLine="784"/>
              <w:jc w:val="both"/>
            </w:pPr>
            <w:r>
              <w:rPr>
                <w:rFonts w:ascii="仿宋_GB2312" w:hAnsi="仿宋_GB2312" w:cs="仿宋_GB2312" w:eastAsia="仿宋_GB2312"/>
                <w:sz w:val="24"/>
              </w:rPr>
              <w:t>7.6.2多功能电力仪表：“上海安科瑞”、“</w:t>
            </w:r>
            <w:r>
              <w:rPr>
                <w:rFonts w:ascii="仿宋_GB2312" w:hAnsi="仿宋_GB2312" w:cs="仿宋_GB2312" w:eastAsia="仿宋_GB2312"/>
                <w:sz w:val="24"/>
              </w:rPr>
              <w:t>江苏斯菲尔</w:t>
            </w:r>
            <w:r>
              <w:rPr>
                <w:rFonts w:ascii="仿宋_GB2312" w:hAnsi="仿宋_GB2312" w:cs="仿宋_GB2312" w:eastAsia="仿宋_GB2312"/>
                <w:sz w:val="24"/>
              </w:rPr>
              <w:t>”</w:t>
            </w:r>
          </w:p>
          <w:p>
            <w:pPr>
              <w:pStyle w:val="null3"/>
              <w:ind w:firstLine="784"/>
              <w:jc w:val="both"/>
            </w:pPr>
            <w:r>
              <w:rPr>
                <w:rFonts w:ascii="仿宋_GB2312" w:hAnsi="仿宋_GB2312" w:cs="仿宋_GB2312" w:eastAsia="仿宋_GB2312"/>
                <w:sz w:val="24"/>
              </w:rPr>
              <w:t>7.6.3电压表、电流表：“江苏斯菲尔”、“斯沃”</w:t>
            </w:r>
          </w:p>
          <w:p>
            <w:pPr>
              <w:pStyle w:val="null3"/>
              <w:jc w:val="both"/>
            </w:pPr>
            <w:r>
              <w:rPr>
                <w:rFonts w:ascii="仿宋_GB2312" w:hAnsi="仿宋_GB2312" w:cs="仿宋_GB2312" w:eastAsia="仿宋_GB2312"/>
                <w:sz w:val="24"/>
              </w:rPr>
              <w:t>8.电缆桥架、线槽：国标电缆桥架、线槽。</w:t>
            </w:r>
          </w:p>
          <w:p>
            <w:pPr>
              <w:pStyle w:val="null3"/>
              <w:jc w:val="both"/>
            </w:pPr>
            <w:r>
              <w:rPr>
                <w:rFonts w:ascii="仿宋_GB2312" w:hAnsi="仿宋_GB2312" w:cs="仿宋_GB2312" w:eastAsia="仿宋_GB2312"/>
                <w:sz w:val="24"/>
              </w:rPr>
              <w:t>9.电气配管焊接钢管、室外穿线管</w:t>
            </w:r>
            <w:r>
              <w:rPr>
                <w:rFonts w:ascii="仿宋_GB2312" w:hAnsi="仿宋_GB2312" w:cs="仿宋_GB2312" w:eastAsia="仿宋_GB2312"/>
                <w:sz w:val="24"/>
              </w:rPr>
              <w:t>品牌、材质要求：陕西龙门钢铁（集团）有限责任公司、中国首钢集团、酒泉钢铁（集团）有限责任公司、宝钢集团有限公司、河北钢铁集团邯郸钢铁集团有限责任公司、包头钢铁（集团）有限责任公司、唐山钢铁集团有限责任公司、武汉钢铁（集团）公司、太原钢铁（集团）有限公司、马鞍山钢铁股份有限公司。</w:t>
            </w:r>
          </w:p>
          <w:p>
            <w:pPr>
              <w:pStyle w:val="null3"/>
              <w:jc w:val="both"/>
            </w:pPr>
            <w:r>
              <w:rPr>
                <w:rFonts w:ascii="仿宋_GB2312" w:hAnsi="仿宋_GB2312" w:cs="仿宋_GB2312" w:eastAsia="仿宋_GB2312"/>
                <w:sz w:val="24"/>
              </w:rPr>
              <w:t>10.电线及电力电缆：</w:t>
            </w:r>
            <w:r>
              <w:rPr>
                <w:rFonts w:ascii="仿宋_GB2312" w:hAnsi="仿宋_GB2312" w:cs="仿宋_GB2312" w:eastAsia="仿宋_GB2312"/>
                <w:sz w:val="24"/>
              </w:rPr>
              <w:t>“喜爱”、“西电”、“上上”。</w:t>
            </w:r>
          </w:p>
          <w:p>
            <w:pPr>
              <w:pStyle w:val="null3"/>
              <w:jc w:val="both"/>
            </w:pPr>
            <w:r>
              <w:rPr>
                <w:rFonts w:ascii="仿宋_GB2312" w:hAnsi="仿宋_GB2312" w:cs="仿宋_GB2312" w:eastAsia="仿宋_GB2312"/>
                <w:sz w:val="24"/>
              </w:rPr>
              <w:t>11.室内消防设施品牌及要求</w:t>
            </w:r>
          </w:p>
          <w:p>
            <w:pPr>
              <w:pStyle w:val="null3"/>
              <w:ind w:firstLine="547"/>
              <w:jc w:val="both"/>
            </w:pPr>
            <w:r>
              <w:rPr>
                <w:rFonts w:ascii="仿宋_GB2312" w:hAnsi="仿宋_GB2312" w:cs="仿宋_GB2312" w:eastAsia="仿宋_GB2312"/>
                <w:sz w:val="24"/>
              </w:rPr>
              <w:t>11.1 烟感、声光报警、手报、消火栓按钮：</w:t>
            </w:r>
            <w:r>
              <w:rPr>
                <w:rFonts w:ascii="仿宋_GB2312" w:hAnsi="仿宋_GB2312" w:cs="仿宋_GB2312" w:eastAsia="仿宋_GB2312"/>
                <w:sz w:val="24"/>
              </w:rPr>
              <w:t>“北大青鸟”、“海湾”、“深圳赋安”、“北京利达”、</w:t>
            </w:r>
            <w:r>
              <w:rPr>
                <w:rFonts w:ascii="仿宋_GB2312" w:hAnsi="仿宋_GB2312" w:cs="仿宋_GB2312" w:eastAsia="仿宋_GB2312"/>
                <w:sz w:val="24"/>
              </w:rPr>
              <w:t>“西核彩桥</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“深圳赋安”</w:t>
            </w:r>
          </w:p>
          <w:p>
            <w:pPr>
              <w:pStyle w:val="null3"/>
              <w:ind w:firstLine="547"/>
              <w:jc w:val="both"/>
            </w:pPr>
            <w:r>
              <w:rPr>
                <w:rFonts w:ascii="仿宋_GB2312" w:hAnsi="仿宋_GB2312" w:cs="仿宋_GB2312" w:eastAsia="仿宋_GB2312"/>
                <w:sz w:val="24"/>
              </w:rPr>
              <w:t>11.2 应急广播、应急照明、疏散标识：</w:t>
            </w:r>
            <w:r>
              <w:rPr>
                <w:rFonts w:ascii="仿宋_GB2312" w:hAnsi="仿宋_GB2312" w:cs="仿宋_GB2312" w:eastAsia="仿宋_GB2312"/>
                <w:sz w:val="24"/>
              </w:rPr>
              <w:t>“中消恒安”、“西安亚川”、“广东敏华”、</w:t>
            </w:r>
            <w:r>
              <w:rPr>
                <w:rFonts w:ascii="仿宋_GB2312" w:hAnsi="仿宋_GB2312" w:cs="仿宋_GB2312" w:eastAsia="仿宋_GB2312"/>
                <w:sz w:val="24"/>
              </w:rPr>
              <w:t>“深圳赋安”、</w:t>
            </w:r>
            <w:r>
              <w:rPr>
                <w:rFonts w:ascii="仿宋_GB2312" w:hAnsi="仿宋_GB2312" w:cs="仿宋_GB2312" w:eastAsia="仿宋_GB2312"/>
                <w:sz w:val="24"/>
              </w:rPr>
              <w:t>“北大青鸟”、“海湾”、“深圳赋安”、“北京利达”</w:t>
            </w:r>
            <w:r>
              <w:rPr>
                <w:rFonts w:ascii="仿宋_GB2312" w:hAnsi="仿宋_GB2312" w:cs="仿宋_GB2312" w:eastAsia="仿宋_GB2312"/>
                <w:sz w:val="24"/>
              </w:rPr>
              <w:t>；</w:t>
            </w:r>
          </w:p>
          <w:p>
            <w:pPr>
              <w:pStyle w:val="null3"/>
              <w:ind w:firstLine="547"/>
              <w:jc w:val="both"/>
            </w:pPr>
            <w:r>
              <w:rPr>
                <w:rFonts w:ascii="仿宋_GB2312" w:hAnsi="仿宋_GB2312" w:cs="仿宋_GB2312" w:eastAsia="仿宋_GB2312"/>
                <w:sz w:val="24"/>
              </w:rPr>
              <w:t>11.3 电消防钢管管径符合国标厚度；</w:t>
            </w:r>
          </w:p>
          <w:p>
            <w:pPr>
              <w:pStyle w:val="null3"/>
              <w:ind w:firstLine="547"/>
              <w:jc w:val="both"/>
            </w:pPr>
            <w:r>
              <w:rPr>
                <w:rFonts w:ascii="仿宋_GB2312" w:hAnsi="仿宋_GB2312" w:cs="仿宋_GB2312" w:eastAsia="仿宋_GB2312"/>
                <w:sz w:val="24"/>
              </w:rPr>
              <w:t>11.4 电线的线径达到标注的物理线径；</w:t>
            </w:r>
          </w:p>
          <w:p>
            <w:pPr>
              <w:pStyle w:val="null3"/>
              <w:jc w:val="both"/>
            </w:pPr>
            <w:r>
              <w:rPr>
                <w:rFonts w:ascii="仿宋_GB2312" w:hAnsi="仿宋_GB2312" w:cs="仿宋_GB2312" w:eastAsia="仿宋_GB2312"/>
                <w:sz w:val="24"/>
              </w:rPr>
              <w:t xml:space="preserve">        11.5 镀锌钢管：“天津利达”、“友发 ”、“华岐”国标加厚 1MM；</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工程地点：陕西省西安市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质量标准：达到国家施工验收规范合格标准和西安市有关质量标准和要求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1"/>
              </w:rPr>
              <w:t>30日历天</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暂列金：</w:t>
            </w:r>
            <w:r>
              <w:rPr>
                <w:rFonts w:ascii="仿宋_GB2312" w:hAnsi="仿宋_GB2312" w:cs="仿宋_GB2312" w:eastAsia="仿宋_GB2312"/>
                <w:sz w:val="21"/>
              </w:rPr>
              <w:t>经与建设单位沟通，本项目暂列金按</w:t>
            </w:r>
            <w:r>
              <w:rPr>
                <w:rFonts w:ascii="仿宋_GB2312" w:hAnsi="仿宋_GB2312" w:cs="仿宋_GB2312" w:eastAsia="仿宋_GB2312"/>
                <w:sz w:val="21"/>
              </w:rPr>
              <w:t>438000.00 元（不含措施费、规费、税金等）计取</w:t>
            </w:r>
            <w:r>
              <w:rPr>
                <w:rFonts w:ascii="仿宋_GB2312" w:hAnsi="仿宋_GB2312" w:cs="仿宋_GB2312" w:eastAsia="仿宋_GB2312"/>
                <w:sz w:val="21"/>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达到国家施工验收规范合格标准和西安市有关质量标准和要求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符合国家、省、市等相关标准及采购人和设计要求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1、本工程量清单采用广联达云计价平台GCCP6.0版本号6.4100.23.122编制。 2、本项目最高限价采用全费用综合单价，磋商总报价为完成本项目磋商文件中所提出的工作范围及要求的全部内容，并达到国家及采购人验收标准而产生的所有费用，投标报价包括但不限于以下内容：包括人工费、材料费、机械费、措施费、管理费、利润、规费、税金、风险、工程保险费、招标代理服务费、防污治霾费等完成本项目所产生的一切费用。任何错报、漏报由供应商自行负责。 3、成交供应商须向采购人无偿提供本项目纸质版竞争性磋商响应文件1 套正本、2套副本及电子版1份（与上传电子文件保持一致）。4、中标供应商须具备开具增值税专用发票的能力。</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技术服务方案.docx 响应文件封面 资格审查资料.docx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资格审查资料.docx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具有独立承担民事责任的能力。供应商具有独立承担民事责任能力的法人、其他组织或自然人，并出具合法有效的营业执照或事业单位法人证书等国家规定的相关证明，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提供经审计的2023年或2024年财务审计报告（成立时间至开标时间不足一年的可提供成立后任意时段的资产负债表）或提供基本存款账户信息及磋商截止日期前三个月内其基本存款账户开户银行出具的资信证明。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提供开标截止日前6个月内任意一个月（响应截止时间当月不计入）的纳税证明或完税证明，依法免税的单位应提供相关证明材料。</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提供磋商截止日期前2024年7月(含)以后连续两个月的社会保障资金缴存单据或社保机构开具的社会保险参保缴费情况证明。依法不需要缴纳社会保障资金的供应商应提供相关文件证明。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提供具有履行合同所必需的设备和专业技术能力证明文件， 提供承诺函。</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具备建设行政主管部门颁发的消防设施施工二级资质及以上资质证书，同时具有合格有效的安全生产许可证。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拟派项目经理须具备机电工程专业一级注册建造师资格，具备有效的安全生产考核合格证书（B证），在本单位注册，且无在建工程(需提供承诺)。（须提供身份证及2024年7月(含)以后连续两个月社保证明复印件）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项目部主要人员资质</w:t>
            </w:r>
          </w:p>
        </w:tc>
        <w:tc>
          <w:tcPr>
            <w:tcW w:type="dxa" w:w="3322"/>
          </w:tcPr>
          <w:p>
            <w:pPr>
              <w:pStyle w:val="null3"/>
            </w:pPr>
            <w:r>
              <w:rPr>
                <w:rFonts w:ascii="仿宋_GB2312" w:hAnsi="仿宋_GB2312" w:cs="仿宋_GB2312" w:eastAsia="仿宋_GB2312"/>
              </w:rPr>
              <w:t>供应商须提供住房和城乡建设部门核发的有效的安全生产考核合格证书A证(建筑施工企业主要负责人)、安全生产考核合格证书C证(建筑施工企业专职安全生产管理人员)。（人员均须提供身份证及2024年7月(含)以后连续两个月社保证明复印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供应商不得被“ 中国执行信息公开网” 网站中列入失信被执行人；不得被“信用中国” 网站中列入重大税收违法失信主体；不得被“ 中国政府采购网”政府采购严重违法失信行为记录名单。 如相关失信记录已失效，需提供相关证明资料。</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陕西省建筑市场监管与诚信信息一体化平台登记</w:t>
            </w:r>
          </w:p>
        </w:tc>
        <w:tc>
          <w:tcPr>
            <w:tcW w:type="dxa" w:w="3322"/>
          </w:tcPr>
          <w:p>
            <w:pPr>
              <w:pStyle w:val="null3"/>
            </w:pPr>
            <w:r>
              <w:rPr>
                <w:rFonts w:ascii="仿宋_GB2312" w:hAnsi="仿宋_GB2312" w:cs="仿宋_GB2312" w:eastAsia="仿宋_GB2312"/>
              </w:rPr>
              <w:t>供应商和项目负责人在陕西省建筑市场监管与诚信信息一体化平台登记。</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1、投标文件是否按照招标文件要求的格式编写； 2、投标报价内容是否有重大缺漏项。</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1、投标文件的签署、加盖印章是否合格、有效； 2、提供的各种证明文件、数据、资料 是否真实、有效。</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1、报价是否未超过最高限价，且只能有一个有效报价，不得提交选择性报价； 2、磋商有效期是否符合磋商文件的要求； 3、是否按要求提交投标保证金(如有)； 4、响应文件内容是否符合国家法律法规，是否响应了磋商文件要求的全部条款、条件和规格要求，没有重大偏离。</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 2、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