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版本号：SXWZ2025ZB-XJD-16820250708001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雁塔校区南阶、大楼桌椅维修项目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SXWZ2025ZB-XJD-168</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陕西万泽招标有限公司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陕西万泽招标有限公司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雁塔校区南阶、大楼桌椅维修项目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SXWZ2025ZB-XJD-168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雁塔校区南阶、大楼桌椅维修项目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西安建筑科技大学雁塔校区南阶、大楼桌椅维修项目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采购包1（雁塔校区南阶、大楼桌椅维修项目）：属于专门面向中小企业采购。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1、投标主体：具有独立承担民事责任能力的法人、其他组织或自然人：提供合法有效的统一社会信用代码营业执照（事业单位提供事业单位法人证书，自然人应提供身份证）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以来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4、社会保障资金缴纳证明：提供2024年6月以来任意一个月的社会保障资金缴存单据或社保机构开具的社会保险参保缴费情况证明。依法不需要缴纳社会保障资金的供应商应提供相关文件证明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6、参加政府采购活动前3年内在经营活动中没有重大违法记录的书面声明：参加政府采购活动前3年内在经营活动中没有重大违法记录的书面声明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7、本项目是否接受联合体磋商：本项目不接受联合体磋商</w:t>
      </w:r>
    </w:p>
    <w:p>
      <w:pPr>
        <w:pStyle w:val="null3"/>
      </w:pPr>
      <w:r>
        <w:rPr>
          <w:rFonts w:ascii="仿宋_GB2312" w:hAnsi="仿宋_GB2312" w:cs="仿宋_GB2312" w:eastAsia="仿宋_GB2312"/>
        </w:rPr>
        <w:t>8、中小企业申明函：提供中小企业声明函（本项目为专门面向中小微企业采购）。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西安建筑科技大学 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陕西万泽招标有限公司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陕西省西安市高新区唐延路旺座现代城C座2502室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招标二部 崔方明 刘嘉辉 陈晓航 许芳芳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029-88319689-8004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开户名称：陕西万泽招标有限公司</w:t>
            </w:r>
          </w:p>
          <w:p>
            <w:pPr>
              <w:pStyle w:val="null3"/>
            </w:pPr>
            <w:r>
              <w:rPr>
                <w:rFonts w:ascii="仿宋_GB2312" w:hAnsi="仿宋_GB2312" w:cs="仿宋_GB2312" w:eastAsia="仿宋_GB2312"/>
              </w:rPr>
              <w:t>开户银行：招商银行西安枫林绿洲支行</w:t>
            </w:r>
          </w:p>
          <w:p>
            <w:pPr>
              <w:pStyle w:val="null3"/>
            </w:pPr>
            <w:r>
              <w:rPr>
                <w:rFonts w:ascii="仿宋_GB2312" w:hAnsi="仿宋_GB2312" w:cs="仿宋_GB2312" w:eastAsia="仿宋_GB2312"/>
              </w:rPr>
              <w:t>银行账号：129906492210000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说明：1、交纳履约保证金时须注明项目编号+用途(履约保证金)。2、合同签订前，供应商须向采购人提交合同总价的5%作为履约保证金；3、待合同履约完毕后无息退还。4、逾期退还履约保证金的违约责任：按采购人内控制度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 100万元（不含）以下的项目中标服务费参照国家发展和改革委员会《招标代理服务收费暂行办法》（计价格[2002]1980 号）文件规定标准计取，100万元（含）以上的项目中标服务费参照国家发展和改革委员会《招标代理服务收费暂行办法》（计价格[2002]1980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踏勘时间：2025-07-16 10:00:00</w:t>
            </w:r>
          </w:p>
          <w:p>
            <w:pPr>
              <w:pStyle w:val="null3"/>
              <w:ind w:firstLine="975"/>
            </w:pPr>
            <w:r>
              <w:rPr>
                <w:rFonts w:ascii="仿宋_GB2312" w:hAnsi="仿宋_GB2312" w:cs="仿宋_GB2312" w:eastAsia="仿宋_GB2312"/>
              </w:rPr>
              <w:t>踏勘地点：雁塔校区北院南阶教学楼门前</w:t>
            </w:r>
          </w:p>
          <w:p>
            <w:pPr>
              <w:pStyle w:val="null3"/>
              <w:ind w:firstLine="975"/>
            </w:pPr>
            <w:r>
              <w:rPr>
                <w:rFonts w:ascii="仿宋_GB2312" w:hAnsi="仿宋_GB2312" w:cs="仿宋_GB2312" w:eastAsia="仿宋_GB2312"/>
              </w:rPr>
              <w:t>联系人：刘老师</w:t>
            </w:r>
          </w:p>
          <w:p>
            <w:pPr>
              <w:pStyle w:val="null3"/>
              <w:ind w:firstLine="975"/>
            </w:pPr>
            <w:r>
              <w:rPr>
                <w:rFonts w:ascii="仿宋_GB2312" w:hAnsi="仿宋_GB2312" w:cs="仿宋_GB2312" w:eastAsia="仿宋_GB2312"/>
              </w:rPr>
              <w:t>联系电话号码：029-82202233</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陕西万泽招标有限公司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西安建筑科技大学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陕西万泽招标有限公司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陕西万泽招标有限公司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陕西万泽招标有限公司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陕西万泽招标有限公司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联系人：招标二部 崔方明 刘嘉辉 陈晓航 许芳芳</w:t>
      </w:r>
    </w:p>
    <w:p>
      <w:pPr>
        <w:pStyle w:val="null3"/>
      </w:pPr>
      <w:r>
        <w:rPr>
          <w:rFonts w:ascii="仿宋_GB2312" w:hAnsi="仿宋_GB2312" w:cs="仿宋_GB2312" w:eastAsia="仿宋_GB2312"/>
        </w:rPr>
        <w:t>联系电话：029-88319689-8004</w:t>
      </w:r>
    </w:p>
    <w:p>
      <w:pPr>
        <w:pStyle w:val="null3"/>
      </w:pPr>
      <w:r>
        <w:rPr>
          <w:rFonts w:ascii="仿宋_GB2312" w:hAnsi="仿宋_GB2312" w:cs="仿宋_GB2312" w:eastAsia="仿宋_GB2312"/>
        </w:rPr>
        <w:t>地址：西安市高新区唐延路旺座现代城C座2502室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西安建筑科技大学雁塔校区南阶、大楼桌椅维修项目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735,000.00</w:t>
      </w:r>
    </w:p>
    <w:p>
      <w:pPr>
        <w:pStyle w:val="null3"/>
      </w:pPr>
      <w:r>
        <w:rPr>
          <w:rFonts w:ascii="仿宋_GB2312" w:hAnsi="仿宋_GB2312" w:cs="仿宋_GB2312" w:eastAsia="仿宋_GB2312"/>
        </w:rPr>
        <w:t>采购包最高限价（元）: 735,000.00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雁塔校区南阶、大楼桌椅维修项目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标的名称：雁塔校区南阶、大楼桌椅维修项目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商务要求：</w:t>
            </w:r>
          </w:p>
          <w:p>
            <w:pPr>
              <w:pStyle w:val="null3"/>
            </w:pPr>
            <w:r>
              <w:rPr>
                <w:rFonts w:ascii="仿宋_GB2312" w:hAnsi="仿宋_GB2312" w:cs="仿宋_GB2312" w:eastAsia="仿宋_GB2312"/>
                <w:sz w:val="24"/>
              </w:rPr>
              <w:t>（1）服务期：45日历天，根据项目实际需求及使用单位要求确定</w:t>
            </w:r>
          </w:p>
          <w:p>
            <w:pPr>
              <w:pStyle w:val="null3"/>
            </w:pPr>
            <w:r>
              <w:rPr>
                <w:rFonts w:ascii="仿宋_GB2312" w:hAnsi="仿宋_GB2312" w:cs="仿宋_GB2312" w:eastAsia="仿宋_GB2312"/>
                <w:sz w:val="24"/>
              </w:rPr>
              <w:t>（2）质保期：本项目验收合格通过之日起 贰 年</w:t>
            </w:r>
          </w:p>
          <w:p>
            <w:pPr>
              <w:pStyle w:val="null3"/>
            </w:pPr>
            <w:r>
              <w:rPr>
                <w:rFonts w:ascii="仿宋_GB2312" w:hAnsi="仿宋_GB2312" w:cs="仿宋_GB2312" w:eastAsia="仿宋_GB2312"/>
                <w:sz w:val="24"/>
              </w:rPr>
              <w:t>（3）质量标准： 质量标准执行国家、陕西省、西安市现行工程质量验评标准，施工结束后提供具有CMA/CNAS资格的第三方检测机构出具的空气质量检测报告。</w:t>
            </w:r>
          </w:p>
          <w:p>
            <w:pPr>
              <w:pStyle w:val="null3"/>
            </w:pPr>
            <w:r>
              <w:rPr>
                <w:rFonts w:ascii="仿宋_GB2312" w:hAnsi="仿宋_GB2312" w:cs="仿宋_GB2312" w:eastAsia="仿宋_GB2312"/>
                <w:sz w:val="24"/>
              </w:rPr>
              <w:t>（4）付款方式：合同签订后，服务验收合格后经审计部门或其委托有工程造价咨询资质的机构审定结算后，缴纳施工水电费后，支付至审定结算价的100%；但在国家规定的保修期限内，保修责任仍由承包人继续承担。达到付款条件起，30日内一次性付清合同款项。</w:t>
            </w:r>
          </w:p>
          <w:p>
            <w:pPr>
              <w:pStyle w:val="null3"/>
            </w:pPr>
            <w:r>
              <w:rPr>
                <w:rFonts w:ascii="仿宋_GB2312" w:hAnsi="仿宋_GB2312" w:cs="仿宋_GB2312" w:eastAsia="仿宋_GB2312"/>
                <w:sz w:val="24"/>
              </w:rPr>
              <w:t>（5）其他商务条款：详见合同条款</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560"/>
              <w:jc w:val="left"/>
            </w:pPr>
            <w:r>
              <w:rPr>
                <w:rFonts w:ascii="仿宋_GB2312" w:hAnsi="仿宋_GB2312" w:cs="仿宋_GB2312" w:eastAsia="仿宋_GB2312"/>
                <w:sz w:val="24"/>
              </w:rPr>
              <w:t>采购清单</w:t>
            </w:r>
          </w:p>
          <w:tbl>
            <w:tblPr>
              <w:tblBorders>
                <w:top w:val="single"/>
                <w:left w:val="single"/>
                <w:bottom w:val="single"/>
                <w:right w:val="single"/>
                <w:insideH w:val="single"/>
                <w:insideV w:val="single"/>
              </w:tblBorders>
            </w:tblPr>
            <w:tblGrid>
              <w:gridCol w:w="426"/>
              <w:gridCol w:w="426"/>
              <w:gridCol w:w="426"/>
              <w:gridCol w:w="426"/>
              <w:gridCol w:w="426"/>
              <w:gridCol w:w="426"/>
            </w:tblGrid>
            <w:tr>
              <w:tc>
                <w:tcPr>
                  <w:tcW w:type="dxa" w:w="426"/>
                </w:tcPr>
                <w:p>
                  <w:pPr>
                    <w:pStyle w:val="null3"/>
                  </w:pPr>
                  <w:r>
                    <w:rPr>
                      <w:rFonts w:ascii="仿宋_GB2312" w:hAnsi="仿宋_GB2312" w:cs="仿宋_GB2312" w:eastAsia="仿宋_GB2312"/>
                      <w:sz w:val="24"/>
                    </w:rPr>
                    <w:t>序号</w:t>
                  </w:r>
                </w:p>
              </w:tc>
              <w:tc>
                <w:tcPr>
                  <w:tcW w:type="dxa" w:w="426"/>
                </w:tcPr>
                <w:p>
                  <w:pPr>
                    <w:pStyle w:val="null3"/>
                  </w:pPr>
                  <w:r>
                    <w:rPr>
                      <w:rFonts w:ascii="仿宋_GB2312" w:hAnsi="仿宋_GB2312" w:cs="仿宋_GB2312" w:eastAsia="仿宋_GB2312"/>
                      <w:sz w:val="24"/>
                    </w:rPr>
                    <w:t>项目名称</w:t>
                  </w:r>
                </w:p>
              </w:tc>
              <w:tc>
                <w:tcPr>
                  <w:tcW w:type="dxa" w:w="426"/>
                </w:tcPr>
                <w:p>
                  <w:pPr>
                    <w:pStyle w:val="null3"/>
                  </w:pPr>
                  <w:r>
                    <w:rPr>
                      <w:rFonts w:ascii="仿宋_GB2312" w:hAnsi="仿宋_GB2312" w:cs="仿宋_GB2312" w:eastAsia="仿宋_GB2312"/>
                      <w:sz w:val="24"/>
                    </w:rPr>
                    <w:t>内容</w:t>
                  </w:r>
                </w:p>
              </w:tc>
              <w:tc>
                <w:tcPr>
                  <w:tcW w:type="dxa" w:w="426"/>
                </w:tcPr>
                <w:p>
                  <w:pPr>
                    <w:pStyle w:val="null3"/>
                  </w:pPr>
                  <w:r>
                    <w:rPr>
                      <w:rFonts w:ascii="仿宋_GB2312" w:hAnsi="仿宋_GB2312" w:cs="仿宋_GB2312" w:eastAsia="仿宋_GB2312"/>
                      <w:sz w:val="24"/>
                    </w:rPr>
                    <w:t>工程量</w:t>
                  </w:r>
                </w:p>
              </w:tc>
              <w:tc>
                <w:tcPr>
                  <w:tcW w:type="dxa" w:w="426"/>
                </w:tcPr>
                <w:p>
                  <w:pPr>
                    <w:pStyle w:val="null3"/>
                  </w:pPr>
                  <w:r>
                    <w:rPr>
                      <w:rFonts w:ascii="仿宋_GB2312" w:hAnsi="仿宋_GB2312" w:cs="仿宋_GB2312" w:eastAsia="仿宋_GB2312"/>
                      <w:sz w:val="24"/>
                    </w:rPr>
                    <w:t>单位</w:t>
                  </w:r>
                </w:p>
              </w:tc>
              <w:tc>
                <w:tcPr>
                  <w:tcW w:type="dxa" w:w="426"/>
                </w:tcPr>
                <w:p>
                  <w:pPr>
                    <w:pStyle w:val="null3"/>
                  </w:pPr>
                  <w:r>
                    <w:rPr>
                      <w:rFonts w:ascii="仿宋_GB2312" w:hAnsi="仿宋_GB2312" w:cs="仿宋_GB2312" w:eastAsia="仿宋_GB2312"/>
                      <w:sz w:val="24"/>
                    </w:rPr>
                    <w:t>备注</w:t>
                  </w:r>
                </w:p>
              </w:tc>
            </w:tr>
            <w:tr>
              <w:tc>
                <w:tcPr>
                  <w:tcW w:type="dxa" w:w="426"/>
                </w:tcPr>
                <w:p>
                  <w:pPr>
                    <w:pStyle w:val="null3"/>
                  </w:pPr>
                  <w:r>
                    <w:rPr>
                      <w:rFonts w:ascii="仿宋_GB2312" w:hAnsi="仿宋_GB2312" w:cs="仿宋_GB2312" w:eastAsia="仿宋_GB2312"/>
                      <w:sz w:val="24"/>
                    </w:rPr>
                    <w:t>1</w:t>
                  </w:r>
                </w:p>
              </w:tc>
              <w:tc>
                <w:tcPr>
                  <w:tcW w:type="dxa" w:w="426"/>
                </w:tcPr>
                <w:p>
                  <w:pPr>
                    <w:pStyle w:val="null3"/>
                  </w:pPr>
                  <w:r>
                    <w:rPr>
                      <w:rFonts w:ascii="仿宋_GB2312" w:hAnsi="仿宋_GB2312" w:cs="仿宋_GB2312" w:eastAsia="仿宋_GB2312"/>
                      <w:sz w:val="24"/>
                    </w:rPr>
                    <w:t>南阶1-3层座椅维修</w:t>
                  </w:r>
                </w:p>
              </w:tc>
              <w:tc>
                <w:tcPr>
                  <w:tcW w:type="dxa" w:w="426"/>
                </w:tcPr>
                <w:p>
                  <w:pPr>
                    <w:pStyle w:val="null3"/>
                  </w:pPr>
                  <w:r>
                    <w:rPr>
                      <w:rFonts w:ascii="仿宋_GB2312" w:hAnsi="仿宋_GB2312" w:cs="仿宋_GB2312" w:eastAsia="仿宋_GB2312"/>
                      <w:sz w:val="24"/>
                    </w:rPr>
                    <w:t>1、将原有桌面、座板、靠背拆卸、并搬运到校内指定位置，新桌面、座板、靠背进行安装到位。并对课桌椅回转机构、桌斗变形、脱落、桌子支架变形等问题进行维修，课桌椅回转机构下滑现象，采用钢筋焊接，焊接完成后，正常回弹、且座椅无下滑等现象，以恢复正常使用状态。课桌椅桌斗目前出现钢管掉落、变形等问题，维修后桌斗平整、无变形等达到正常使用状态，课桌椅加强筋安装，每位桌面支架下安装加强筋，整体保证桌面平整度，增加桌子稳定性。</w:t>
                  </w:r>
                </w:p>
                <w:p>
                  <w:pPr>
                    <w:pStyle w:val="null3"/>
                  </w:pPr>
                  <w:r>
                    <w:rPr>
                      <w:rFonts w:ascii="仿宋_GB2312" w:hAnsi="仿宋_GB2312" w:cs="仿宋_GB2312" w:eastAsia="仿宋_GB2312"/>
                      <w:sz w:val="24"/>
                    </w:rPr>
                    <w:t>2、桌面拆除更换，距桌架边沿20mm采用6颗国标加强型自攻丝锁紧。</w:t>
                  </w:r>
                </w:p>
                <w:p>
                  <w:pPr>
                    <w:pStyle w:val="null3"/>
                  </w:pPr>
                  <w:r>
                    <w:rPr>
                      <w:rFonts w:ascii="仿宋_GB2312" w:hAnsi="仿宋_GB2312" w:cs="仿宋_GB2312" w:eastAsia="仿宋_GB2312"/>
                      <w:sz w:val="24"/>
                    </w:rPr>
                    <w:t>3、靠背拆除更换，上沿高于桌面20mm，靠背与桌腿采用L角码和8颗国标8*25mm穿透丝锁紧。</w:t>
                  </w:r>
                </w:p>
                <w:p>
                  <w:pPr>
                    <w:pStyle w:val="null3"/>
                  </w:pPr>
                  <w:r>
                    <w:rPr>
                      <w:rFonts w:ascii="仿宋_GB2312" w:hAnsi="仿宋_GB2312" w:cs="仿宋_GB2312" w:eastAsia="仿宋_GB2312"/>
                      <w:sz w:val="24"/>
                    </w:rPr>
                    <w:t>4、座板拆除更换，距靠背边沿40mm,使用4颗国标8*25mm穿透丝与回转机构上角码锁紧。</w:t>
                  </w:r>
                </w:p>
                <w:p>
                  <w:pPr>
                    <w:pStyle w:val="null3"/>
                  </w:pPr>
                  <w:r>
                    <w:rPr>
                      <w:rFonts w:ascii="仿宋_GB2312" w:hAnsi="仿宋_GB2312" w:cs="仿宋_GB2312" w:eastAsia="仿宋_GB2312"/>
                      <w:sz w:val="24"/>
                    </w:rPr>
                    <w:t>5、加强筋安装，上部采用1颗国标加强型燕尾丝与桌面支架锁紧，下部采用2颗国标加强型燕尾丝与桌斗支架锁紧。</w:t>
                  </w:r>
                </w:p>
                <w:p>
                  <w:pPr>
                    <w:pStyle w:val="null3"/>
                  </w:pPr>
                  <w:r>
                    <w:rPr>
                      <w:rFonts w:ascii="仿宋_GB2312" w:hAnsi="仿宋_GB2312" w:cs="仿宋_GB2312" w:eastAsia="仿宋_GB2312"/>
                      <w:sz w:val="24"/>
                    </w:rPr>
                    <w:t>6、桌斗层板安装，卡入原有桌斗钢管中，四角采用四颗国标加强型燕尾丝与原有桌斗支架锁紧。</w:t>
                  </w:r>
                </w:p>
                <w:p>
                  <w:pPr>
                    <w:pStyle w:val="null3"/>
                  </w:pPr>
                  <w:r>
                    <w:rPr>
                      <w:rFonts w:ascii="仿宋_GB2312" w:hAnsi="仿宋_GB2312" w:cs="仿宋_GB2312" w:eastAsia="仿宋_GB2312"/>
                      <w:sz w:val="24"/>
                    </w:rPr>
                    <w:t>7、回转机构内采用ø8mm钢筋焊接挡块，焊接完成后回转机构正常回弹、且座椅无下滑等现象，以恢复正常使用状态。</w:t>
                  </w:r>
                </w:p>
                <w:p>
                  <w:pPr>
                    <w:pStyle w:val="null3"/>
                  </w:pPr>
                  <w:r>
                    <w:rPr>
                      <w:rFonts w:ascii="仿宋_GB2312" w:hAnsi="仿宋_GB2312" w:cs="仿宋_GB2312" w:eastAsia="仿宋_GB2312"/>
                      <w:sz w:val="24"/>
                    </w:rPr>
                    <w:t>8、桌腿上方加装25*50塑料内塞胶套。</w:t>
                  </w:r>
                </w:p>
                <w:p>
                  <w:pPr>
                    <w:pStyle w:val="null3"/>
                  </w:pPr>
                  <w:r>
                    <w:rPr>
                      <w:rFonts w:ascii="仿宋_GB2312" w:hAnsi="仿宋_GB2312" w:cs="仿宋_GB2312" w:eastAsia="仿宋_GB2312"/>
                      <w:sz w:val="24"/>
                    </w:rPr>
                    <w:t>9、垃圾清运。</w:t>
                  </w:r>
                </w:p>
                <w:p>
                  <w:pPr>
                    <w:pStyle w:val="null3"/>
                  </w:pPr>
                  <w:r>
                    <w:rPr>
                      <w:rFonts w:ascii="仿宋_GB2312" w:hAnsi="仿宋_GB2312" w:cs="仿宋_GB2312" w:eastAsia="仿宋_GB2312"/>
                      <w:sz w:val="24"/>
                    </w:rPr>
                    <w:t>10、改造后提供4%的座椅及背板材料，供甲方可及时更换维修</w:t>
                  </w:r>
                </w:p>
              </w:tc>
              <w:tc>
                <w:tcPr>
                  <w:tcW w:type="dxa" w:w="426"/>
                </w:tcPr>
                <w:p>
                  <w:pPr>
                    <w:pStyle w:val="null3"/>
                  </w:pPr>
                  <w:r>
                    <w:rPr>
                      <w:rFonts w:ascii="仿宋_GB2312" w:hAnsi="仿宋_GB2312" w:cs="仿宋_GB2312" w:eastAsia="仿宋_GB2312"/>
                      <w:sz w:val="24"/>
                    </w:rPr>
                    <w:t>2600</w:t>
                  </w:r>
                </w:p>
              </w:tc>
              <w:tc>
                <w:tcPr>
                  <w:tcW w:type="dxa" w:w="426"/>
                </w:tcPr>
                <w:p>
                  <w:pPr>
                    <w:pStyle w:val="null3"/>
                  </w:pPr>
                  <w:r>
                    <w:rPr>
                      <w:rFonts w:ascii="仿宋_GB2312" w:hAnsi="仿宋_GB2312" w:cs="仿宋_GB2312" w:eastAsia="仿宋_GB2312"/>
                      <w:sz w:val="24"/>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sz w:val="24"/>
                    </w:rPr>
                    <w:t>2</w:t>
                  </w:r>
                </w:p>
              </w:tc>
              <w:tc>
                <w:tcPr>
                  <w:tcW w:type="dxa" w:w="426"/>
                </w:tcPr>
                <w:p>
                  <w:pPr>
                    <w:pStyle w:val="null3"/>
                  </w:pPr>
                  <w:r>
                    <w:rPr>
                      <w:rFonts w:ascii="仿宋_GB2312" w:hAnsi="仿宋_GB2312" w:cs="仿宋_GB2312" w:eastAsia="仿宋_GB2312"/>
                      <w:sz w:val="24"/>
                    </w:rPr>
                    <w:t>南阶4、5层及教学大楼座椅维修</w:t>
                  </w:r>
                </w:p>
              </w:tc>
              <w:tc>
                <w:tcPr>
                  <w:tcW w:type="dxa" w:w="426"/>
                </w:tcPr>
                <w:p>
                  <w:pPr>
                    <w:pStyle w:val="null3"/>
                    <w:numPr>
                      <w:ilvl w:val="0"/>
                      <w:numId w:val="1"/>
                    </w:numPr>
                  </w:pPr>
                  <w:r>
                    <w:rPr>
                      <w:rFonts w:ascii="仿宋_GB2312" w:hAnsi="仿宋_GB2312" w:cs="仿宋_GB2312" w:eastAsia="仿宋_GB2312"/>
                      <w:sz w:val="24"/>
                    </w:rPr>
                    <w:t>将原有座板、靠背拆卸、并搬运到校内定位置，新座板、靠背进行安装到位。课桌椅回转机构下滑现象，采用钢筋焊接，焊接完成后，正常回弹、且座椅无下滑等现象，以恢复正常使用状态</w:t>
                  </w:r>
                </w:p>
                <w:p>
                  <w:pPr>
                    <w:pStyle w:val="null3"/>
                    <w:numPr>
                      <w:ilvl w:val="0"/>
                      <w:numId w:val="1"/>
                    </w:numPr>
                  </w:pPr>
                  <w:r>
                    <w:rPr>
                      <w:rFonts w:ascii="仿宋_GB2312" w:hAnsi="仿宋_GB2312" w:cs="仿宋_GB2312" w:eastAsia="仿宋_GB2312"/>
                      <w:sz w:val="24"/>
                    </w:rPr>
                    <w:t>靠背拆除更换，上沿高于桌面20mm，靠背与桌腿采用L角码和8颗国标8*25mm穿透丝锁紧。</w:t>
                  </w:r>
                </w:p>
                <w:p>
                  <w:pPr>
                    <w:pStyle w:val="null3"/>
                    <w:numPr>
                      <w:ilvl w:val="0"/>
                      <w:numId w:val="1"/>
                    </w:numPr>
                  </w:pPr>
                  <w:r>
                    <w:rPr>
                      <w:rFonts w:ascii="仿宋_GB2312" w:hAnsi="仿宋_GB2312" w:cs="仿宋_GB2312" w:eastAsia="仿宋_GB2312"/>
                      <w:sz w:val="24"/>
                    </w:rPr>
                    <w:t>座板拆除更换，距靠背边沿40mm,使用4颗国标8*25mm穿透丝与回转机构上角码锁紧。</w:t>
                  </w:r>
                </w:p>
                <w:p>
                  <w:pPr>
                    <w:pStyle w:val="null3"/>
                    <w:numPr>
                      <w:ilvl w:val="0"/>
                      <w:numId w:val="1"/>
                    </w:numPr>
                  </w:pPr>
                  <w:r>
                    <w:rPr>
                      <w:rFonts w:ascii="仿宋_GB2312" w:hAnsi="仿宋_GB2312" w:cs="仿宋_GB2312" w:eastAsia="仿宋_GB2312"/>
                      <w:sz w:val="24"/>
                    </w:rPr>
                    <w:t>回转机构内采用ø8mm钢筋焊接挡块，焊接完成后回转机构正常回弹、且座椅无下滑等现象，以恢复正常使用状态。</w:t>
                  </w:r>
                </w:p>
                <w:p>
                  <w:pPr>
                    <w:pStyle w:val="null3"/>
                    <w:numPr>
                      <w:ilvl w:val="0"/>
                      <w:numId w:val="1"/>
                    </w:numPr>
                  </w:pPr>
                  <w:r>
                    <w:rPr>
                      <w:rFonts w:ascii="仿宋_GB2312" w:hAnsi="仿宋_GB2312" w:cs="仿宋_GB2312" w:eastAsia="仿宋_GB2312"/>
                      <w:sz w:val="24"/>
                    </w:rPr>
                    <w:t>垃圾清运。</w:t>
                  </w:r>
                </w:p>
              </w:tc>
              <w:tc>
                <w:tcPr>
                  <w:tcW w:type="dxa" w:w="426"/>
                </w:tcPr>
                <w:p>
                  <w:pPr>
                    <w:pStyle w:val="null3"/>
                  </w:pPr>
                  <w:r>
                    <w:rPr>
                      <w:rFonts w:ascii="仿宋_GB2312" w:hAnsi="仿宋_GB2312" w:cs="仿宋_GB2312" w:eastAsia="仿宋_GB2312"/>
                      <w:sz w:val="24"/>
                    </w:rPr>
                    <w:t>600</w:t>
                  </w:r>
                </w:p>
              </w:tc>
              <w:tc>
                <w:tcPr>
                  <w:tcW w:type="dxa" w:w="426"/>
                </w:tcPr>
                <w:p>
                  <w:pPr>
                    <w:pStyle w:val="null3"/>
                  </w:pPr>
                  <w:r>
                    <w:rPr>
                      <w:rFonts w:ascii="仿宋_GB2312" w:hAnsi="仿宋_GB2312" w:cs="仿宋_GB2312" w:eastAsia="仿宋_GB2312"/>
                      <w:sz w:val="24"/>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sz w:val="24"/>
                    </w:rPr>
                    <w:t>3</w:t>
                  </w:r>
                </w:p>
              </w:tc>
              <w:tc>
                <w:tcPr>
                  <w:tcW w:type="dxa" w:w="426"/>
                </w:tcPr>
                <w:p>
                  <w:pPr>
                    <w:pStyle w:val="null3"/>
                  </w:pPr>
                  <w:r>
                    <w:rPr>
                      <w:rFonts w:ascii="仿宋_GB2312" w:hAnsi="仿宋_GB2312" w:cs="仿宋_GB2312" w:eastAsia="仿宋_GB2312"/>
                      <w:sz w:val="24"/>
                    </w:rPr>
                    <w:t>讲台更换</w:t>
                  </w:r>
                </w:p>
              </w:tc>
              <w:tc>
                <w:tcPr>
                  <w:tcW w:type="dxa" w:w="426"/>
                </w:tcPr>
                <w:p>
                  <w:pPr>
                    <w:pStyle w:val="null3"/>
                    <w:numPr>
                      <w:ilvl w:val="0"/>
                      <w:numId w:val="1"/>
                    </w:numPr>
                  </w:pPr>
                  <w:r>
                    <w:rPr>
                      <w:rFonts w:ascii="仿宋_GB2312" w:hAnsi="仿宋_GB2312" w:cs="仿宋_GB2312" w:eastAsia="仿宋_GB2312"/>
                      <w:sz w:val="24"/>
                    </w:rPr>
                    <w:t>现有讲台拆除、搬运、垃圾清理。</w:t>
                  </w:r>
                </w:p>
                <w:p>
                  <w:pPr>
                    <w:pStyle w:val="null3"/>
                    <w:numPr>
                      <w:ilvl w:val="0"/>
                      <w:numId w:val="1"/>
                    </w:numPr>
                  </w:pPr>
                  <w:r>
                    <w:rPr>
                      <w:rFonts w:ascii="仿宋_GB2312" w:hAnsi="仿宋_GB2312" w:cs="仿宋_GB2312" w:eastAsia="仿宋_GB2312"/>
                      <w:sz w:val="24"/>
                    </w:rPr>
                    <w:t>讲台定制加工，搬运安装。</w:t>
                  </w:r>
                </w:p>
              </w:tc>
              <w:tc>
                <w:tcPr>
                  <w:tcW w:type="dxa" w:w="426"/>
                </w:tcPr>
                <w:p>
                  <w:pPr>
                    <w:pStyle w:val="null3"/>
                  </w:pPr>
                  <w:r>
                    <w:rPr>
                      <w:rFonts w:ascii="仿宋_GB2312" w:hAnsi="仿宋_GB2312" w:cs="仿宋_GB2312" w:eastAsia="仿宋_GB2312"/>
                      <w:sz w:val="24"/>
                    </w:rPr>
                    <w:t>15</w:t>
                  </w:r>
                </w:p>
              </w:tc>
              <w:tc>
                <w:tcPr>
                  <w:tcW w:type="dxa" w:w="426"/>
                </w:tcPr>
                <w:p>
                  <w:pPr>
                    <w:pStyle w:val="null3"/>
                  </w:pPr>
                  <w:r>
                    <w:rPr>
                      <w:rFonts w:ascii="仿宋_GB2312" w:hAnsi="仿宋_GB2312" w:cs="仿宋_GB2312" w:eastAsia="仿宋_GB2312"/>
                      <w:sz w:val="24"/>
                    </w:rPr>
                    <w:t>套</w:t>
                  </w:r>
                </w:p>
              </w:tc>
              <w:tc>
                <w:tcPr>
                  <w:tcW w:type="dxa" w:w="426"/>
                </w:tcPr>
                <w:p>
                  <w:pPr>
                    <w:pStyle w:val="null3"/>
                  </w:pPr>
                  <w:r>
                    <w:rPr>
                      <w:rFonts w:ascii="仿宋_GB2312" w:hAnsi="仿宋_GB2312" w:cs="仿宋_GB2312" w:eastAsia="仿宋_GB2312"/>
                    </w:rPr>
                    <w:t xml:space="preserve"> </w:t>
                  </w:r>
                </w:p>
              </w:tc>
            </w:tr>
            <w:tr>
              <w:tc>
                <w:tcPr>
                  <w:tcW w:type="dxa" w:w="426"/>
                </w:tcPr>
                <w:p>
                  <w:pPr>
                    <w:pStyle w:val="null3"/>
                  </w:pPr>
                  <w:r>
                    <w:rPr>
                      <w:rFonts w:ascii="仿宋_GB2312" w:hAnsi="仿宋_GB2312" w:cs="仿宋_GB2312" w:eastAsia="仿宋_GB2312"/>
                      <w:sz w:val="24"/>
                    </w:rPr>
                    <w:t>4</w:t>
                  </w:r>
                </w:p>
              </w:tc>
              <w:tc>
                <w:tcPr>
                  <w:tcW w:type="dxa" w:w="426"/>
                </w:tcPr>
                <w:p>
                  <w:pPr>
                    <w:pStyle w:val="null3"/>
                  </w:pPr>
                  <w:r>
                    <w:rPr>
                      <w:rFonts w:ascii="仿宋_GB2312" w:hAnsi="仿宋_GB2312" w:cs="仿宋_GB2312" w:eastAsia="仿宋_GB2312"/>
                      <w:sz w:val="24"/>
                    </w:rPr>
                    <w:t>室内甲醛处理</w:t>
                  </w:r>
                </w:p>
              </w:tc>
              <w:tc>
                <w:tcPr>
                  <w:tcW w:type="dxa" w:w="426"/>
                </w:tcPr>
                <w:p>
                  <w:pPr>
                    <w:pStyle w:val="null3"/>
                  </w:pPr>
                  <w:r>
                    <w:rPr>
                      <w:rFonts w:ascii="仿宋_GB2312" w:hAnsi="仿宋_GB2312" w:cs="仿宋_GB2312" w:eastAsia="仿宋_GB2312"/>
                      <w:sz w:val="24"/>
                    </w:rPr>
                    <w:t>施工教室内甲醛等析出物净化处理，处理结束后要求无异味，符合GB/T18883《室内空气质量标准》内指标要求。</w:t>
                  </w:r>
                </w:p>
              </w:tc>
              <w:tc>
                <w:tcPr>
                  <w:tcW w:type="dxa" w:w="426"/>
                </w:tcPr>
                <w:p>
                  <w:pPr>
                    <w:pStyle w:val="null3"/>
                  </w:pPr>
                  <w:r>
                    <w:rPr>
                      <w:rFonts w:ascii="仿宋_GB2312" w:hAnsi="仿宋_GB2312" w:cs="仿宋_GB2312" w:eastAsia="仿宋_GB2312"/>
                      <w:sz w:val="24"/>
                    </w:rPr>
                    <w:t>30</w:t>
                  </w:r>
                </w:p>
              </w:tc>
              <w:tc>
                <w:tcPr>
                  <w:tcW w:type="dxa" w:w="426"/>
                </w:tcPr>
                <w:p>
                  <w:pPr>
                    <w:pStyle w:val="null3"/>
                  </w:pPr>
                  <w:r>
                    <w:rPr>
                      <w:rFonts w:ascii="仿宋_GB2312" w:hAnsi="仿宋_GB2312" w:cs="仿宋_GB2312" w:eastAsia="仿宋_GB2312"/>
                      <w:sz w:val="24"/>
                    </w:rPr>
                    <w:t>间</w:t>
                  </w:r>
                </w:p>
              </w:tc>
              <w:tc>
                <w:tcPr>
                  <w:tcW w:type="dxa" w:w="426"/>
                </w:tcPr>
                <w:p>
                  <w:pPr>
                    <w:pStyle w:val="null3"/>
                  </w:pP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560"/>
              <w:jc w:val="left"/>
            </w:pPr>
            <w:r>
              <w:rPr>
                <w:rFonts w:ascii="仿宋_GB2312" w:hAnsi="仿宋_GB2312" w:cs="仿宋_GB2312" w:eastAsia="仿宋_GB2312"/>
                <w:sz w:val="28"/>
              </w:rPr>
              <w:t>技术参数要求</w:t>
            </w:r>
            <w:r>
              <w:rPr>
                <w:rFonts w:ascii="仿宋_GB2312" w:hAnsi="仿宋_GB2312" w:cs="仿宋_GB2312" w:eastAsia="仿宋_GB2312"/>
                <w:sz w:val="28"/>
                <w:b/>
              </w:rPr>
              <w:t>（</w:t>
            </w:r>
            <w:r>
              <w:rPr>
                <w:rFonts w:ascii="仿宋_GB2312" w:hAnsi="仿宋_GB2312" w:cs="仿宋_GB2312" w:eastAsia="仿宋_GB2312"/>
                <w:sz w:val="28"/>
                <w:b/>
              </w:rPr>
              <w:t>以下</w:t>
            </w:r>
            <w:r>
              <w:rPr>
                <w:rFonts w:ascii="仿宋_GB2312" w:hAnsi="仿宋_GB2312" w:cs="仿宋_GB2312" w:eastAsia="仿宋_GB2312"/>
                <w:sz w:val="28"/>
                <w:b/>
              </w:rPr>
              <w:t>图纸</w:t>
            </w:r>
            <w:r>
              <w:rPr>
                <w:rFonts w:ascii="仿宋_GB2312" w:hAnsi="仿宋_GB2312" w:cs="仿宋_GB2312" w:eastAsia="仿宋_GB2312"/>
                <w:sz w:val="28"/>
                <w:b/>
              </w:rPr>
              <w:t>及表格内容，</w:t>
            </w:r>
            <w:r>
              <w:rPr>
                <w:rFonts w:ascii="仿宋_GB2312" w:hAnsi="仿宋_GB2312" w:cs="仿宋_GB2312" w:eastAsia="仿宋_GB2312"/>
                <w:sz w:val="28"/>
                <w:b/>
              </w:rPr>
              <w:t>除特别注明外，其余单位为</w:t>
            </w:r>
            <w:r>
              <w:rPr>
                <w:rFonts w:ascii="仿宋_GB2312" w:hAnsi="仿宋_GB2312" w:cs="仿宋_GB2312" w:eastAsia="仿宋_GB2312"/>
                <w:sz w:val="28"/>
                <w:b/>
              </w:rPr>
              <w:t>mm。）</w:t>
            </w:r>
          </w:p>
          <w:tbl>
            <w:tblPr>
              <w:tblBorders>
                <w:top w:val="none" w:color="000000" w:sz="4"/>
                <w:left w:val="none" w:color="000000" w:sz="4"/>
                <w:bottom w:val="none" w:color="000000" w:sz="4"/>
                <w:right w:val="none" w:color="000000" w:sz="4"/>
                <w:insideH w:val="none"/>
                <w:insideV w:val="none"/>
              </w:tblBorders>
            </w:tblPr>
            <w:tblGrid>
              <w:gridCol w:w="233"/>
              <w:gridCol w:w="292"/>
              <w:gridCol w:w="372"/>
              <w:gridCol w:w="1657"/>
            </w:tblGrid>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位置</w:t>
                  </w:r>
                </w:p>
              </w:tc>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材料名称</w:t>
                  </w:r>
                </w:p>
              </w:tc>
              <w:tc>
                <w:tcPr>
                  <w:tcW w:type="dxa" w:w="16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参数、标准、要求</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前挡板</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★规格尺寸：</w:t>
                  </w:r>
                  <w:r>
                    <w:rPr>
                      <w:rFonts w:ascii="仿宋_GB2312" w:hAnsi="仿宋_GB2312" w:cs="仿宋_GB2312" w:eastAsia="仿宋_GB2312"/>
                      <w:sz w:val="21"/>
                    </w:rPr>
                    <w:t>500*400*15mm</w:t>
                  </w:r>
                  <w:r>
                    <w:rPr>
                      <w:rFonts w:ascii="仿宋_GB2312" w:hAnsi="仿宋_GB2312" w:cs="仿宋_GB2312" w:eastAsia="仿宋_GB2312"/>
                      <w:sz w:val="21"/>
                    </w:rPr>
                    <w:t>，颜色：榉木色（最终以甲方确定为准）</w:t>
                  </w:r>
                </w:p>
                <w:p>
                  <w:pPr>
                    <w:pStyle w:val="null3"/>
                    <w:jc w:val="both"/>
                  </w:pPr>
                  <w:r>
                    <w:rPr>
                      <w:rFonts w:ascii="仿宋_GB2312" w:hAnsi="仿宋_GB2312" w:cs="仿宋_GB2312" w:eastAsia="仿宋_GB2312"/>
                      <w:sz w:val="21"/>
                    </w:rPr>
                    <w:t>材质采用：</w:t>
                  </w:r>
                  <w:r>
                    <w:rPr>
                      <w:rFonts w:ascii="仿宋_GB2312" w:hAnsi="仿宋_GB2312" w:cs="仿宋_GB2312" w:eastAsia="仿宋_GB2312"/>
                      <w:sz w:val="21"/>
                    </w:rPr>
                    <w:t>1</w:t>
                  </w:r>
                  <w:r>
                    <w:rPr>
                      <w:rFonts w:ascii="仿宋_GB2312" w:hAnsi="仿宋_GB2312" w:cs="仿宋_GB2312" w:eastAsia="仿宋_GB2312"/>
                      <w:sz w:val="21"/>
                    </w:rPr>
                    <w:t>、基材：</w:t>
                  </w:r>
                  <w:r>
                    <w:rPr>
                      <w:rFonts w:ascii="仿宋_GB2312" w:hAnsi="仿宋_GB2312" w:cs="仿宋_GB2312" w:eastAsia="仿宋_GB2312"/>
                      <w:sz w:val="21"/>
                    </w:rPr>
                    <w:t>E1</w:t>
                  </w:r>
                  <w:r>
                    <w:rPr>
                      <w:rFonts w:ascii="仿宋_GB2312" w:hAnsi="仿宋_GB2312" w:cs="仿宋_GB2312" w:eastAsia="仿宋_GB2312"/>
                      <w:sz w:val="21"/>
                    </w:rPr>
                    <w:t>级颗粒板，面贴三聚氰胺纸。颗粒板符合</w:t>
                  </w:r>
                  <w:r>
                    <w:rPr>
                      <w:rFonts w:ascii="仿宋_GB2312" w:hAnsi="仿宋_GB2312" w:cs="仿宋_GB2312" w:eastAsia="仿宋_GB2312"/>
                      <w:sz w:val="21"/>
                    </w:rPr>
                    <w:t xml:space="preserve">GB18580-2017 </w:t>
                  </w:r>
                  <w:r>
                    <w:rPr>
                      <w:rFonts w:ascii="仿宋_GB2312" w:hAnsi="仿宋_GB2312" w:cs="仿宋_GB2312" w:eastAsia="仿宋_GB2312"/>
                      <w:sz w:val="21"/>
                    </w:rPr>
                    <w:t>《室内装饰装修材料人造板及其制品中甲醛释放限量》；</w:t>
                  </w:r>
                  <w:r>
                    <w:rPr>
                      <w:rFonts w:ascii="仿宋_GB2312" w:hAnsi="仿宋_GB2312" w:cs="仿宋_GB2312" w:eastAsia="仿宋_GB2312"/>
                      <w:sz w:val="21"/>
                    </w:rPr>
                    <w:t>GB/T 39600-2021</w:t>
                  </w:r>
                  <w:r>
                    <w:rPr>
                      <w:rFonts w:ascii="仿宋_GB2312" w:hAnsi="仿宋_GB2312" w:cs="仿宋_GB2312" w:eastAsia="仿宋_GB2312"/>
                      <w:sz w:val="21"/>
                    </w:rPr>
                    <w:t>《人造板及其制品甲醛释放量分级》。</w:t>
                  </w:r>
                  <w:r>
                    <w:rPr>
                      <w:rFonts w:ascii="仿宋_GB2312" w:hAnsi="仿宋_GB2312" w:cs="仿宋_GB2312" w:eastAsia="仿宋_GB2312"/>
                      <w:sz w:val="21"/>
                    </w:rPr>
                    <w:t xml:space="preserve">GB/T 15102-2017 </w:t>
                  </w:r>
                  <w:r>
                    <w:rPr>
                      <w:rFonts w:ascii="仿宋_GB2312" w:hAnsi="仿宋_GB2312" w:cs="仿宋_GB2312" w:eastAsia="仿宋_GB2312"/>
                      <w:sz w:val="21"/>
                    </w:rPr>
                    <w:t>《浸渍胶膜纸饰面纤维板和刨花板》，其中甲醛释放含量</w:t>
                  </w:r>
                  <w:r>
                    <w:rPr>
                      <w:rFonts w:ascii="仿宋_GB2312" w:hAnsi="仿宋_GB2312" w:cs="仿宋_GB2312" w:eastAsia="仿宋_GB2312"/>
                      <w:sz w:val="21"/>
                    </w:rPr>
                    <w:t>≤</w:t>
                  </w:r>
                  <w:r>
                    <w:rPr>
                      <w:rFonts w:ascii="仿宋_GB2312" w:hAnsi="仿宋_GB2312" w:cs="仿宋_GB2312" w:eastAsia="仿宋_GB2312"/>
                      <w:sz w:val="21"/>
                    </w:rPr>
                    <w:t>0.124mg/m</w:t>
                  </w:r>
                  <w:r>
                    <w:rPr>
                      <w:rFonts w:ascii="仿宋_GB2312" w:hAnsi="仿宋_GB2312" w:cs="仿宋_GB2312" w:eastAsia="仿宋_GB2312"/>
                      <w:sz w:val="21"/>
                    </w:rPr>
                    <w:t>³；边部采用封</w:t>
                  </w:r>
                  <w:r>
                    <w:rPr>
                      <w:rFonts w:ascii="仿宋_GB2312" w:hAnsi="仿宋_GB2312" w:cs="仿宋_GB2312" w:eastAsia="仿宋_GB2312"/>
                      <w:sz w:val="21"/>
                    </w:rPr>
                    <w:t xml:space="preserve">1.5mm </w:t>
                  </w:r>
                  <w:r>
                    <w:rPr>
                      <w:rFonts w:ascii="仿宋_GB2312" w:hAnsi="仿宋_GB2312" w:cs="仿宋_GB2312" w:eastAsia="仿宋_GB2312"/>
                      <w:sz w:val="21"/>
                    </w:rPr>
                    <w:t>厚</w:t>
                  </w:r>
                  <w:r>
                    <w:rPr>
                      <w:rFonts w:ascii="仿宋_GB2312" w:hAnsi="仿宋_GB2312" w:cs="仿宋_GB2312" w:eastAsia="仿宋_GB2312"/>
                      <w:sz w:val="21"/>
                    </w:rPr>
                    <w:t xml:space="preserve"> PVC </w:t>
                  </w:r>
                  <w:r>
                    <w:rPr>
                      <w:rFonts w:ascii="仿宋_GB2312" w:hAnsi="仿宋_GB2312" w:cs="仿宋_GB2312" w:eastAsia="仿宋_GB2312"/>
                      <w:sz w:val="21"/>
                    </w:rPr>
                    <w:t xml:space="preserve">封边。采用高温封边热溶胶，胶粘剂符合 </w:t>
                  </w:r>
                  <w:r>
                    <w:rPr>
                      <w:rFonts w:ascii="仿宋_GB2312" w:hAnsi="仿宋_GB2312" w:cs="仿宋_GB2312" w:eastAsia="仿宋_GB2312"/>
                      <w:sz w:val="21"/>
                    </w:rPr>
                    <w:t>GB 18583-2008</w:t>
                  </w:r>
                  <w:r>
                    <w:rPr>
                      <w:rFonts w:ascii="仿宋_GB2312" w:hAnsi="仿宋_GB2312" w:cs="仿宋_GB2312" w:eastAsia="仿宋_GB2312"/>
                      <w:sz w:val="21"/>
                    </w:rPr>
                    <w:t xml:space="preserve">《室内装饰装修材料胶粘剂中有害物质限量》标准。经全自动封边机热压。前挡板和钢架采用穿透式螺杆固定。紧固件符合 </w:t>
                  </w:r>
                  <w:r>
                    <w:rPr>
                      <w:rFonts w:ascii="仿宋_GB2312" w:hAnsi="仿宋_GB2312" w:cs="仿宋_GB2312" w:eastAsia="仿宋_GB2312"/>
                      <w:sz w:val="21"/>
                    </w:rPr>
                    <w:t>GB/T 3098.1-2010</w:t>
                  </w:r>
                  <w:r>
                    <w:rPr>
                      <w:rFonts w:ascii="仿宋_GB2312" w:hAnsi="仿宋_GB2312" w:cs="仿宋_GB2312" w:eastAsia="仿宋_GB2312"/>
                      <w:sz w:val="21"/>
                    </w:rPr>
                    <w:t>《紧固件机械性能螺栓、螺钉和螺柱》提供颗粒板、胶粘剂、紧固件相关证明材料。</w:t>
                  </w:r>
                </w:p>
                <w:p>
                  <w:pPr>
                    <w:pStyle w:val="null3"/>
                    <w:jc w:val="both"/>
                  </w:pPr>
                  <w:r>
                    <w:rPr>
                      <w:rFonts w:ascii="仿宋_GB2312" w:hAnsi="仿宋_GB2312" w:cs="仿宋_GB2312" w:eastAsia="仿宋_GB2312"/>
                      <w:sz w:val="21"/>
                    </w:rPr>
                    <w:t>供应商提供承诺保证采购方两年内可以以同等价格采购到同批次物品。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桌面</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★规格尺寸：</w:t>
                  </w:r>
                  <w:r>
                    <w:rPr>
                      <w:rFonts w:ascii="仿宋_GB2312" w:hAnsi="仿宋_GB2312" w:cs="仿宋_GB2312" w:eastAsia="仿宋_GB2312"/>
                      <w:sz w:val="21"/>
                    </w:rPr>
                    <w:t>500*350*25mm</w:t>
                  </w:r>
                  <w:r>
                    <w:rPr>
                      <w:rFonts w:ascii="仿宋_GB2312" w:hAnsi="仿宋_GB2312" w:cs="仿宋_GB2312" w:eastAsia="仿宋_GB2312"/>
                      <w:sz w:val="21"/>
                    </w:rPr>
                    <w:t>，颜色：榉木色（最终以甲方确定为准）</w:t>
                  </w:r>
                </w:p>
                <w:p>
                  <w:pPr>
                    <w:pStyle w:val="null3"/>
                    <w:jc w:val="both"/>
                  </w:pPr>
                  <w:r>
                    <w:rPr>
                      <w:rFonts w:ascii="仿宋_GB2312" w:hAnsi="仿宋_GB2312" w:cs="仿宋_GB2312" w:eastAsia="仿宋_GB2312"/>
                      <w:sz w:val="21"/>
                    </w:rPr>
                    <w:t>材质采用：基材：</w:t>
                  </w:r>
                  <w:r>
                    <w:rPr>
                      <w:rFonts w:ascii="仿宋_GB2312" w:hAnsi="仿宋_GB2312" w:cs="仿宋_GB2312" w:eastAsia="仿宋_GB2312"/>
                      <w:sz w:val="21"/>
                    </w:rPr>
                    <w:t>E1</w:t>
                  </w:r>
                  <w:r>
                    <w:rPr>
                      <w:rFonts w:ascii="仿宋_GB2312" w:hAnsi="仿宋_GB2312" w:cs="仿宋_GB2312" w:eastAsia="仿宋_GB2312"/>
                      <w:sz w:val="21"/>
                    </w:rPr>
                    <w:t>级中密度纤维板，面贴防火板。密度板符合</w:t>
                  </w:r>
                  <w:r>
                    <w:rPr>
                      <w:rFonts w:ascii="仿宋_GB2312" w:hAnsi="仿宋_GB2312" w:cs="仿宋_GB2312" w:eastAsia="仿宋_GB2312"/>
                      <w:sz w:val="21"/>
                    </w:rPr>
                    <w:t xml:space="preserve">GB18580-2017 </w:t>
                  </w:r>
                  <w:r>
                    <w:rPr>
                      <w:rFonts w:ascii="仿宋_GB2312" w:hAnsi="仿宋_GB2312" w:cs="仿宋_GB2312" w:eastAsia="仿宋_GB2312"/>
                      <w:sz w:val="21"/>
                    </w:rPr>
                    <w:t>《室内装饰装修材料人造板及其制品中甲醛释放限量》；密度板符合</w:t>
                  </w:r>
                  <w:r>
                    <w:rPr>
                      <w:rFonts w:ascii="仿宋_GB2312" w:hAnsi="仿宋_GB2312" w:cs="仿宋_GB2312" w:eastAsia="仿宋_GB2312"/>
                      <w:sz w:val="21"/>
                    </w:rPr>
                    <w:t>GB/T 17657-2013</w:t>
                  </w:r>
                  <w:r>
                    <w:rPr>
                      <w:rFonts w:ascii="仿宋_GB2312" w:hAnsi="仿宋_GB2312" w:cs="仿宋_GB2312" w:eastAsia="仿宋_GB2312"/>
                      <w:sz w:val="21"/>
                    </w:rPr>
                    <w:t>《人造板及饰面人造板理化性能试验方法》；</w:t>
                  </w:r>
                  <w:r>
                    <w:rPr>
                      <w:rFonts w:ascii="仿宋_GB2312" w:hAnsi="仿宋_GB2312" w:cs="仿宋_GB2312" w:eastAsia="仿宋_GB2312"/>
                      <w:sz w:val="21"/>
                    </w:rPr>
                    <w:t>GB/T 11718-2021</w:t>
                  </w:r>
                  <w:r>
                    <w:rPr>
                      <w:rFonts w:ascii="仿宋_GB2312" w:hAnsi="仿宋_GB2312" w:cs="仿宋_GB2312" w:eastAsia="仿宋_GB2312"/>
                      <w:sz w:val="21"/>
                    </w:rPr>
                    <w:t>《中密度纤维板》；</w:t>
                  </w:r>
                  <w:r>
                    <w:rPr>
                      <w:rFonts w:ascii="仿宋_GB2312" w:hAnsi="仿宋_GB2312" w:cs="仿宋_GB2312" w:eastAsia="仿宋_GB2312"/>
                      <w:sz w:val="21"/>
                    </w:rPr>
                    <w:t xml:space="preserve">GB/T 39600-2021 </w:t>
                  </w:r>
                  <w:r>
                    <w:rPr>
                      <w:rFonts w:ascii="仿宋_GB2312" w:hAnsi="仿宋_GB2312" w:cs="仿宋_GB2312" w:eastAsia="仿宋_GB2312"/>
                      <w:sz w:val="21"/>
                    </w:rPr>
                    <w:t>《人造板及其制品甲醛释放量分级》标准，其中甲醛释放含量≤</w:t>
                  </w:r>
                  <w:r>
                    <w:rPr>
                      <w:rFonts w:ascii="仿宋_GB2312" w:hAnsi="仿宋_GB2312" w:cs="仿宋_GB2312" w:eastAsia="仿宋_GB2312"/>
                      <w:sz w:val="21"/>
                    </w:rPr>
                    <w:t>0.124mg/m</w:t>
                  </w:r>
                  <w:r>
                    <w:rPr>
                      <w:rFonts w:ascii="仿宋_GB2312" w:hAnsi="仿宋_GB2312" w:cs="仿宋_GB2312" w:eastAsia="仿宋_GB2312"/>
                      <w:sz w:val="21"/>
                    </w:rPr>
                    <w:t>³。桌面靠近靠背处做圆弧设计，使桌面与靠背完美贴合，桌面前端做圆边设计，整体符合人体工程学，边部采用</w:t>
                  </w:r>
                  <w:r>
                    <w:rPr>
                      <w:rFonts w:ascii="仿宋_GB2312" w:hAnsi="仿宋_GB2312" w:cs="仿宋_GB2312" w:eastAsia="仿宋_GB2312"/>
                      <w:sz w:val="21"/>
                    </w:rPr>
                    <w:t>1.5mm</w:t>
                  </w:r>
                  <w:r>
                    <w:rPr>
                      <w:rFonts w:ascii="仿宋_GB2312" w:hAnsi="仿宋_GB2312" w:cs="仿宋_GB2312" w:eastAsia="仿宋_GB2312"/>
                      <w:sz w:val="21"/>
                    </w:rPr>
                    <w:t>厚椭圆</w:t>
                  </w:r>
                  <w:r>
                    <w:rPr>
                      <w:rFonts w:ascii="仿宋_GB2312" w:hAnsi="仿宋_GB2312" w:cs="仿宋_GB2312" w:eastAsia="仿宋_GB2312"/>
                      <w:sz w:val="21"/>
                    </w:rPr>
                    <w:t>PVC</w:t>
                  </w:r>
                  <w:r>
                    <w:rPr>
                      <w:rFonts w:ascii="仿宋_GB2312" w:hAnsi="仿宋_GB2312" w:cs="仿宋_GB2312" w:eastAsia="仿宋_GB2312"/>
                      <w:sz w:val="21"/>
                    </w:rPr>
                    <w:t xml:space="preserve">开槽式封边条，采用高温封边热溶胶，胶粘剂符合 </w:t>
                  </w:r>
                  <w:r>
                    <w:rPr>
                      <w:rFonts w:ascii="仿宋_GB2312" w:hAnsi="仿宋_GB2312" w:cs="仿宋_GB2312" w:eastAsia="仿宋_GB2312"/>
                      <w:sz w:val="21"/>
                    </w:rPr>
                    <w:t>GB 18583-2008</w:t>
                  </w:r>
                  <w:r>
                    <w:rPr>
                      <w:rFonts w:ascii="仿宋_GB2312" w:hAnsi="仿宋_GB2312" w:cs="仿宋_GB2312" w:eastAsia="仿宋_GB2312"/>
                      <w:sz w:val="21"/>
                    </w:rPr>
                    <w:t>《室内装饰装修材料 胶粘剂中有害物质限量》标准。经全自动封边机热压；封边近人体端圆弧设计。桌面与桌架连接处加装</w:t>
                  </w:r>
                  <w:r>
                    <w:rPr>
                      <w:rFonts w:ascii="仿宋_GB2312" w:hAnsi="仿宋_GB2312" w:cs="仿宋_GB2312" w:eastAsia="仿宋_GB2312"/>
                      <w:sz w:val="21"/>
                    </w:rPr>
                    <w:t>25*50mm</w:t>
                  </w:r>
                  <w:r>
                    <w:rPr>
                      <w:rFonts w:ascii="仿宋_GB2312" w:hAnsi="仿宋_GB2312" w:cs="仿宋_GB2312" w:eastAsia="仿宋_GB2312"/>
                      <w:sz w:val="21"/>
                    </w:rPr>
                    <w:t xml:space="preserve">塑料胶套，符合 </w:t>
                  </w:r>
                  <w:r>
                    <w:rPr>
                      <w:rFonts w:ascii="仿宋_GB2312" w:hAnsi="仿宋_GB2312" w:cs="仿宋_GB2312" w:eastAsia="仿宋_GB2312"/>
                      <w:sz w:val="21"/>
                    </w:rPr>
                    <w:t>GB/T 32487-2016</w:t>
                  </w:r>
                  <w:r>
                    <w:rPr>
                      <w:rFonts w:ascii="仿宋_GB2312" w:hAnsi="仿宋_GB2312" w:cs="仿宋_GB2312" w:eastAsia="仿宋_GB2312"/>
                      <w:sz w:val="21"/>
                    </w:rPr>
                    <w:t xml:space="preserve">《塑料家具通用技术条件》和 </w:t>
                  </w:r>
                  <w:r>
                    <w:rPr>
                      <w:rFonts w:ascii="仿宋_GB2312" w:hAnsi="仿宋_GB2312" w:cs="仿宋_GB2312" w:eastAsia="仿宋_GB2312"/>
                      <w:sz w:val="21"/>
                    </w:rPr>
                    <w:t xml:space="preserve">GB 28481-2012 </w:t>
                  </w:r>
                  <w:r>
                    <w:rPr>
                      <w:rFonts w:ascii="仿宋_GB2312" w:hAnsi="仿宋_GB2312" w:cs="仿宋_GB2312" w:eastAsia="仿宋_GB2312"/>
                      <w:sz w:val="21"/>
                    </w:rPr>
                    <w:t>《塑料家具中有害物质限量》标准。桌面与桌架采用自攻丝连接。提供中密度板、胶粘剂、塑料件相关证明材料。</w:t>
                  </w:r>
                </w:p>
                <w:p>
                  <w:pPr>
                    <w:pStyle w:val="null3"/>
                    <w:jc w:val="both"/>
                  </w:pPr>
                  <w:r>
                    <w:rPr>
                      <w:rFonts w:ascii="仿宋_GB2312" w:hAnsi="仿宋_GB2312" w:cs="仿宋_GB2312" w:eastAsia="仿宋_GB2312"/>
                      <w:sz w:val="21"/>
                    </w:rPr>
                    <w:t>供应商提供承诺保证采购方两年内可以以同等价格采购到同批次物品。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背板</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★规格尺寸：</w:t>
                  </w:r>
                  <w:r>
                    <w:rPr>
                      <w:rFonts w:ascii="仿宋_GB2312" w:hAnsi="仿宋_GB2312" w:cs="仿宋_GB2312" w:eastAsia="仿宋_GB2312"/>
                      <w:sz w:val="21"/>
                    </w:rPr>
                    <w:t>480*350*12mm</w:t>
                  </w:r>
                  <w:r>
                    <w:rPr>
                      <w:rFonts w:ascii="仿宋_GB2312" w:hAnsi="仿宋_GB2312" w:cs="仿宋_GB2312" w:eastAsia="仿宋_GB2312"/>
                      <w:sz w:val="21"/>
                    </w:rPr>
                    <w:t>，颜色：榉木色（最终以甲方确定为准）</w:t>
                  </w:r>
                </w:p>
                <w:p>
                  <w:pPr>
                    <w:pStyle w:val="null3"/>
                    <w:jc w:val="both"/>
                  </w:pPr>
                  <w:r>
                    <w:rPr>
                      <w:rFonts w:ascii="仿宋_GB2312" w:hAnsi="仿宋_GB2312" w:cs="仿宋_GB2312" w:eastAsia="仿宋_GB2312"/>
                      <w:sz w:val="21"/>
                    </w:rPr>
                    <w:t>外型根据人体工程学设计，靠背板带弧度，四周倒圆角。材质采用：</w:t>
                  </w:r>
                  <w:r>
                    <w:rPr>
                      <w:rFonts w:ascii="仿宋_GB2312" w:hAnsi="仿宋_GB2312" w:cs="仿宋_GB2312" w:eastAsia="仿宋_GB2312"/>
                      <w:sz w:val="21"/>
                    </w:rPr>
                    <w:t>E1</w:t>
                  </w:r>
                  <w:r>
                    <w:rPr>
                      <w:rFonts w:ascii="仿宋_GB2312" w:hAnsi="仿宋_GB2312" w:cs="仿宋_GB2312" w:eastAsia="仿宋_GB2312"/>
                      <w:sz w:val="21"/>
                    </w:rPr>
                    <w:t>级实木多层板经模具热压成型并双面压防火板，</w:t>
                  </w:r>
                  <w:r>
                    <w:rPr>
                      <w:rFonts w:ascii="仿宋_GB2312" w:hAnsi="仿宋_GB2312" w:cs="仿宋_GB2312" w:eastAsia="仿宋_GB2312"/>
                      <w:sz w:val="21"/>
                    </w:rPr>
                    <w:t>多层板</w:t>
                  </w:r>
                  <w:r>
                    <w:rPr>
                      <w:rFonts w:ascii="仿宋_GB2312" w:hAnsi="仿宋_GB2312" w:cs="仿宋_GB2312" w:eastAsia="仿宋_GB2312"/>
                      <w:sz w:val="21"/>
                    </w:rPr>
                    <w:t>符合</w:t>
                  </w:r>
                  <w:r>
                    <w:rPr>
                      <w:rFonts w:ascii="仿宋_GB2312" w:hAnsi="仿宋_GB2312" w:cs="仿宋_GB2312" w:eastAsia="仿宋_GB2312"/>
                      <w:sz w:val="21"/>
                    </w:rPr>
                    <w:t xml:space="preserve">GB18580-2017 </w:t>
                  </w:r>
                  <w:r>
                    <w:rPr>
                      <w:rFonts w:ascii="仿宋_GB2312" w:hAnsi="仿宋_GB2312" w:cs="仿宋_GB2312" w:eastAsia="仿宋_GB2312"/>
                      <w:sz w:val="21"/>
                    </w:rPr>
                    <w:t>《室内装饰装修材料人造板及其制品中甲醛释放限量》；多层板符合</w:t>
                  </w:r>
                  <w:r>
                    <w:rPr>
                      <w:rFonts w:ascii="仿宋_GB2312" w:hAnsi="仿宋_GB2312" w:cs="仿宋_GB2312" w:eastAsia="仿宋_GB2312"/>
                      <w:sz w:val="21"/>
                    </w:rPr>
                    <w:t>GB/T 34722-2017</w:t>
                  </w:r>
                  <w:r>
                    <w:rPr>
                      <w:rFonts w:ascii="仿宋_GB2312" w:hAnsi="仿宋_GB2312" w:cs="仿宋_GB2312" w:eastAsia="仿宋_GB2312"/>
                      <w:sz w:val="21"/>
                    </w:rPr>
                    <w:t>《浸渍胶膜纸饰面胶合板和细工木板》、</w:t>
                  </w:r>
                  <w:r>
                    <w:rPr>
                      <w:rFonts w:ascii="仿宋_GB2312" w:hAnsi="仿宋_GB2312" w:cs="仿宋_GB2312" w:eastAsia="仿宋_GB2312"/>
                      <w:sz w:val="21"/>
                    </w:rPr>
                    <w:t>GB/T 39600-2021</w:t>
                  </w:r>
                  <w:r>
                    <w:rPr>
                      <w:rFonts w:ascii="仿宋_GB2312" w:hAnsi="仿宋_GB2312" w:cs="仿宋_GB2312" w:eastAsia="仿宋_GB2312"/>
                      <w:sz w:val="21"/>
                    </w:rPr>
                    <w:t xml:space="preserve">《人造板及其制品甲醛释放量分级》，胶粘剂符合 </w:t>
                  </w:r>
                  <w:r>
                    <w:rPr>
                      <w:rFonts w:ascii="仿宋_GB2312" w:hAnsi="仿宋_GB2312" w:cs="仿宋_GB2312" w:eastAsia="仿宋_GB2312"/>
                      <w:sz w:val="21"/>
                    </w:rPr>
                    <w:t>GB 18583-2008</w:t>
                  </w:r>
                  <w:r>
                    <w:rPr>
                      <w:rFonts w:ascii="仿宋_GB2312" w:hAnsi="仿宋_GB2312" w:cs="仿宋_GB2312" w:eastAsia="仿宋_GB2312"/>
                      <w:sz w:val="21"/>
                    </w:rPr>
                    <w:t>《室内装饰装修材料胶粘剂中有害物质限量》标准</w:t>
                  </w:r>
                  <w:r>
                    <w:rPr>
                      <w:rFonts w:ascii="仿宋_GB2312" w:hAnsi="仿宋_GB2312" w:cs="仿宋_GB2312" w:eastAsia="仿宋_GB2312"/>
                      <w:sz w:val="21"/>
                    </w:rPr>
                    <w:t>。</w:t>
                  </w:r>
                  <w:r>
                    <w:rPr>
                      <w:rFonts w:ascii="仿宋_GB2312" w:hAnsi="仿宋_GB2312" w:cs="仿宋_GB2312" w:eastAsia="仿宋_GB2312"/>
                      <w:sz w:val="21"/>
                    </w:rPr>
                    <w:t>靠板与脚架连接处角码采用</w:t>
                  </w:r>
                  <w:r>
                    <w:rPr>
                      <w:rFonts w:ascii="仿宋_GB2312" w:hAnsi="仿宋_GB2312" w:cs="仿宋_GB2312" w:eastAsia="仿宋_GB2312"/>
                      <w:sz w:val="21"/>
                    </w:rPr>
                    <w:t>2mm</w:t>
                  </w:r>
                  <w:r>
                    <w:rPr>
                      <w:rFonts w:ascii="仿宋_GB2312" w:hAnsi="仿宋_GB2312" w:cs="仿宋_GB2312" w:eastAsia="仿宋_GB2312"/>
                      <w:sz w:val="21"/>
                    </w:rPr>
                    <w:t>厚冷轧钢板经磨具冲压成型角码采用穿透式连接，采用等级为</w:t>
                  </w:r>
                  <w:r>
                    <w:rPr>
                      <w:rFonts w:ascii="仿宋_GB2312" w:hAnsi="仿宋_GB2312" w:cs="仿宋_GB2312" w:eastAsia="仿宋_GB2312"/>
                      <w:sz w:val="21"/>
                    </w:rPr>
                    <w:t>6.8</w:t>
                  </w:r>
                  <w:r>
                    <w:rPr>
                      <w:rFonts w:ascii="仿宋_GB2312" w:hAnsi="仿宋_GB2312" w:cs="仿宋_GB2312" w:eastAsia="仿宋_GB2312"/>
                      <w:sz w:val="21"/>
                    </w:rPr>
                    <w:t>级</w:t>
                  </w:r>
                  <w:r>
                    <w:rPr>
                      <w:rFonts w:ascii="仿宋_GB2312" w:hAnsi="仿宋_GB2312" w:cs="仿宋_GB2312" w:eastAsia="仿宋_GB2312"/>
                      <w:sz w:val="21"/>
                    </w:rPr>
                    <w:t>M8</w:t>
                  </w:r>
                  <w:r>
                    <w:rPr>
                      <w:rFonts w:ascii="仿宋_GB2312" w:hAnsi="仿宋_GB2312" w:cs="仿宋_GB2312" w:eastAsia="仿宋_GB2312"/>
                      <w:sz w:val="21"/>
                    </w:rPr>
                    <w:t>圆柱头螺钉</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 xml:space="preserve">角码，紧固件符合 </w:t>
                  </w:r>
                  <w:r>
                    <w:rPr>
                      <w:rFonts w:ascii="仿宋_GB2312" w:hAnsi="仿宋_GB2312" w:cs="仿宋_GB2312" w:eastAsia="仿宋_GB2312"/>
                      <w:sz w:val="21"/>
                    </w:rPr>
                    <w:t>GB/T 3098.1-2010</w:t>
                  </w:r>
                  <w:r>
                    <w:rPr>
                      <w:rFonts w:ascii="仿宋_GB2312" w:hAnsi="仿宋_GB2312" w:cs="仿宋_GB2312" w:eastAsia="仿宋_GB2312"/>
                      <w:sz w:val="21"/>
                    </w:rPr>
                    <w:t>《紧固件机械性能螺栓、螺钉和螺柱》。提供多层板、胶粘剂、紧固件相关证明材料。</w:t>
                  </w:r>
                </w:p>
                <w:p>
                  <w:pPr>
                    <w:pStyle w:val="null3"/>
                    <w:jc w:val="both"/>
                  </w:pPr>
                  <w:r>
                    <w:rPr>
                      <w:rFonts w:ascii="仿宋_GB2312" w:hAnsi="仿宋_GB2312" w:cs="仿宋_GB2312" w:eastAsia="仿宋_GB2312"/>
                      <w:sz w:val="21"/>
                    </w:rPr>
                    <w:t>供应商提供承诺保证采购方两年内可以以同等价格采购到同批次物品。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座</w:t>
                  </w:r>
                  <w:r>
                    <w:rPr>
                      <w:rFonts w:ascii="仿宋_GB2312" w:hAnsi="仿宋_GB2312" w:cs="仿宋_GB2312" w:eastAsia="仿宋_GB2312"/>
                      <w:sz w:val="21"/>
                    </w:rPr>
                    <w:t>板</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★规格尺寸：</w:t>
                  </w:r>
                  <w:r>
                    <w:rPr>
                      <w:rFonts w:ascii="仿宋_GB2312" w:hAnsi="仿宋_GB2312" w:cs="仿宋_GB2312" w:eastAsia="仿宋_GB2312"/>
                      <w:sz w:val="21"/>
                    </w:rPr>
                    <w:t>460*390*15mm</w:t>
                  </w:r>
                  <w:r>
                    <w:rPr>
                      <w:rFonts w:ascii="仿宋_GB2312" w:hAnsi="仿宋_GB2312" w:cs="仿宋_GB2312" w:eastAsia="仿宋_GB2312"/>
                      <w:sz w:val="21"/>
                    </w:rPr>
                    <w:t>，颜色：榉木色（最终以甲方确定为准）外型根据人体工程学设计，座板带弧度，四周倒圆角。</w:t>
                  </w:r>
                </w:p>
                <w:p>
                  <w:pPr>
                    <w:pStyle w:val="null3"/>
                    <w:jc w:val="both"/>
                  </w:pPr>
                  <w:r>
                    <w:rPr>
                      <w:rFonts w:ascii="仿宋_GB2312" w:hAnsi="仿宋_GB2312" w:cs="仿宋_GB2312" w:eastAsia="仿宋_GB2312"/>
                      <w:sz w:val="21"/>
                    </w:rPr>
                    <w:t>材质采用：</w:t>
                  </w:r>
                  <w:r>
                    <w:rPr>
                      <w:rFonts w:ascii="仿宋_GB2312" w:hAnsi="仿宋_GB2312" w:cs="仿宋_GB2312" w:eastAsia="仿宋_GB2312"/>
                      <w:sz w:val="21"/>
                    </w:rPr>
                    <w:t>E1</w:t>
                  </w:r>
                  <w:r>
                    <w:rPr>
                      <w:rFonts w:ascii="仿宋_GB2312" w:hAnsi="仿宋_GB2312" w:cs="仿宋_GB2312" w:eastAsia="仿宋_GB2312"/>
                      <w:sz w:val="21"/>
                    </w:rPr>
                    <w:t>级实木多层板经模具热压成型并双面压防火板，</w:t>
                  </w:r>
                  <w:r>
                    <w:rPr>
                      <w:rFonts w:ascii="仿宋_GB2312" w:hAnsi="仿宋_GB2312" w:cs="仿宋_GB2312" w:eastAsia="仿宋_GB2312"/>
                      <w:sz w:val="21"/>
                    </w:rPr>
                    <w:t>多层板</w:t>
                  </w:r>
                  <w:r>
                    <w:rPr>
                      <w:rFonts w:ascii="仿宋_GB2312" w:hAnsi="仿宋_GB2312" w:cs="仿宋_GB2312" w:eastAsia="仿宋_GB2312"/>
                      <w:sz w:val="21"/>
                    </w:rPr>
                    <w:t>符合</w:t>
                  </w:r>
                  <w:r>
                    <w:rPr>
                      <w:rFonts w:ascii="仿宋_GB2312" w:hAnsi="仿宋_GB2312" w:cs="仿宋_GB2312" w:eastAsia="仿宋_GB2312"/>
                      <w:sz w:val="21"/>
                    </w:rPr>
                    <w:t xml:space="preserve">GB18580-2017 </w:t>
                  </w:r>
                  <w:r>
                    <w:rPr>
                      <w:rFonts w:ascii="仿宋_GB2312" w:hAnsi="仿宋_GB2312" w:cs="仿宋_GB2312" w:eastAsia="仿宋_GB2312"/>
                      <w:sz w:val="21"/>
                    </w:rPr>
                    <w:t>《室内装饰装修材料人造板及其制品中甲醛释放限量》，多层板符合</w:t>
                  </w:r>
                  <w:r>
                    <w:rPr>
                      <w:rFonts w:ascii="仿宋_GB2312" w:hAnsi="仿宋_GB2312" w:cs="仿宋_GB2312" w:eastAsia="仿宋_GB2312"/>
                      <w:sz w:val="21"/>
                    </w:rPr>
                    <w:t>GB/T34722-2017</w:t>
                  </w:r>
                  <w:r>
                    <w:rPr>
                      <w:rFonts w:ascii="仿宋_GB2312" w:hAnsi="仿宋_GB2312" w:cs="仿宋_GB2312" w:eastAsia="仿宋_GB2312"/>
                      <w:sz w:val="21"/>
                    </w:rPr>
                    <w:t>《浸渍胶膜纸饰面胶合板和细工木板》、</w:t>
                  </w:r>
                  <w:r>
                    <w:rPr>
                      <w:rFonts w:ascii="仿宋_GB2312" w:hAnsi="仿宋_GB2312" w:cs="仿宋_GB2312" w:eastAsia="仿宋_GB2312"/>
                      <w:sz w:val="21"/>
                    </w:rPr>
                    <w:t xml:space="preserve">GB/T 39600-2021 </w:t>
                  </w:r>
                  <w:r>
                    <w:rPr>
                      <w:rFonts w:ascii="仿宋_GB2312" w:hAnsi="仿宋_GB2312" w:cs="仿宋_GB2312" w:eastAsia="仿宋_GB2312"/>
                      <w:sz w:val="21"/>
                    </w:rPr>
                    <w:t>《人造板及其制品甲醛释放量分级》甲醛释放量≤</w:t>
                  </w:r>
                  <w:r>
                    <w:rPr>
                      <w:rFonts w:ascii="仿宋_GB2312" w:hAnsi="仿宋_GB2312" w:cs="仿宋_GB2312" w:eastAsia="仿宋_GB2312"/>
                      <w:sz w:val="21"/>
                    </w:rPr>
                    <w:t>0.124mg/m</w:t>
                  </w:r>
                  <w:r>
                    <w:rPr>
                      <w:rFonts w:ascii="仿宋_GB2312" w:hAnsi="仿宋_GB2312" w:cs="仿宋_GB2312" w:eastAsia="仿宋_GB2312"/>
                      <w:sz w:val="21"/>
                    </w:rPr>
                    <w:t xml:space="preserve">³，胶粘剂符合 </w:t>
                  </w:r>
                  <w:r>
                    <w:rPr>
                      <w:rFonts w:ascii="仿宋_GB2312" w:hAnsi="仿宋_GB2312" w:cs="仿宋_GB2312" w:eastAsia="仿宋_GB2312"/>
                      <w:sz w:val="21"/>
                    </w:rPr>
                    <w:t>GB 18583-2008</w:t>
                  </w:r>
                  <w:r>
                    <w:rPr>
                      <w:rFonts w:ascii="仿宋_GB2312" w:hAnsi="仿宋_GB2312" w:cs="仿宋_GB2312" w:eastAsia="仿宋_GB2312"/>
                      <w:sz w:val="21"/>
                    </w:rPr>
                    <w:t>《室内装饰装修材料胶粘剂中有害物质限量》标准。靠板与脚架连接处角码采用穿透式连接，采用等级为</w:t>
                  </w:r>
                  <w:r>
                    <w:rPr>
                      <w:rFonts w:ascii="仿宋_GB2312" w:hAnsi="仿宋_GB2312" w:cs="仿宋_GB2312" w:eastAsia="仿宋_GB2312"/>
                      <w:sz w:val="21"/>
                    </w:rPr>
                    <w:t>6.8</w:t>
                  </w:r>
                  <w:r>
                    <w:rPr>
                      <w:rFonts w:ascii="仿宋_GB2312" w:hAnsi="仿宋_GB2312" w:cs="仿宋_GB2312" w:eastAsia="仿宋_GB2312"/>
                      <w:sz w:val="21"/>
                    </w:rPr>
                    <w:t>级</w:t>
                  </w:r>
                  <w:r>
                    <w:rPr>
                      <w:rFonts w:ascii="仿宋_GB2312" w:hAnsi="仿宋_GB2312" w:cs="仿宋_GB2312" w:eastAsia="仿宋_GB2312"/>
                      <w:sz w:val="21"/>
                    </w:rPr>
                    <w:t>M8</w:t>
                  </w:r>
                  <w:r>
                    <w:rPr>
                      <w:rFonts w:ascii="仿宋_GB2312" w:hAnsi="仿宋_GB2312" w:cs="仿宋_GB2312" w:eastAsia="仿宋_GB2312"/>
                      <w:sz w:val="21"/>
                    </w:rPr>
                    <w:t>圆柱头螺钉</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 xml:space="preserve">角码，紧固件符合 </w:t>
                  </w:r>
                  <w:r>
                    <w:rPr>
                      <w:rFonts w:ascii="仿宋_GB2312" w:hAnsi="仿宋_GB2312" w:cs="仿宋_GB2312" w:eastAsia="仿宋_GB2312"/>
                      <w:sz w:val="21"/>
                    </w:rPr>
                    <w:t>GB/T 3098.1-2010</w:t>
                  </w:r>
                  <w:r>
                    <w:rPr>
                      <w:rFonts w:ascii="仿宋_GB2312" w:hAnsi="仿宋_GB2312" w:cs="仿宋_GB2312" w:eastAsia="仿宋_GB2312"/>
                      <w:sz w:val="21"/>
                    </w:rPr>
                    <w:t>《紧固件机械性能螺栓、螺钉和螺柱》。提供多层板、胶粘剂、紧固件相关证明材料。</w:t>
                  </w:r>
                </w:p>
                <w:p>
                  <w:pPr>
                    <w:pStyle w:val="null3"/>
                    <w:jc w:val="both"/>
                  </w:pPr>
                  <w:r>
                    <w:rPr>
                      <w:rFonts w:ascii="仿宋_GB2312" w:hAnsi="仿宋_GB2312" w:cs="仿宋_GB2312" w:eastAsia="仿宋_GB2312"/>
                      <w:sz w:val="21"/>
                    </w:rPr>
                    <w:t>供应商提供承诺保证采购方两年内可以以同等价格采购到同批次物品。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桌架加强筋</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加强筋长度：</w:t>
                  </w:r>
                  <w:r>
                    <w:rPr>
                      <w:rFonts w:ascii="仿宋_GB2312" w:hAnsi="仿宋_GB2312" w:cs="仿宋_GB2312" w:eastAsia="仿宋_GB2312"/>
                      <w:sz w:val="21"/>
                    </w:rPr>
                    <w:t>165mm</w:t>
                  </w:r>
                  <w:r>
                    <w:rPr>
                      <w:rFonts w:ascii="仿宋_GB2312" w:hAnsi="仿宋_GB2312" w:cs="仿宋_GB2312" w:eastAsia="仿宋_GB2312"/>
                      <w:sz w:val="21"/>
                    </w:rPr>
                    <w:t>，材质：采用</w:t>
                  </w:r>
                  <w:r>
                    <w:rPr>
                      <w:rFonts w:ascii="仿宋_GB2312" w:hAnsi="仿宋_GB2312" w:cs="仿宋_GB2312" w:eastAsia="仿宋_GB2312"/>
                      <w:sz w:val="21"/>
                    </w:rPr>
                    <w:t>Q235</w:t>
                  </w:r>
                  <w:r>
                    <w:rPr>
                      <w:rFonts w:ascii="仿宋_GB2312" w:hAnsi="仿宋_GB2312" w:cs="仿宋_GB2312" w:eastAsia="仿宋_GB2312"/>
                      <w:sz w:val="21"/>
                    </w:rPr>
                    <w:t>碳素钢</w:t>
                  </w:r>
                  <w:r>
                    <w:rPr>
                      <w:rFonts w:ascii="仿宋_GB2312" w:hAnsi="仿宋_GB2312" w:cs="仿宋_GB2312" w:eastAsia="仿宋_GB2312"/>
                      <w:sz w:val="21"/>
                    </w:rPr>
                    <w:t>,</w:t>
                  </w:r>
                  <w:r>
                    <w:rPr>
                      <w:rFonts w:ascii="仿宋_GB2312" w:hAnsi="仿宋_GB2312" w:cs="仿宋_GB2312" w:eastAsia="仿宋_GB2312"/>
                      <w:sz w:val="21"/>
                    </w:rPr>
                    <w:t>厚度不低于</w:t>
                  </w:r>
                  <w:r>
                    <w:rPr>
                      <w:rFonts w:ascii="仿宋_GB2312" w:hAnsi="仿宋_GB2312" w:cs="仿宋_GB2312" w:eastAsia="仿宋_GB2312"/>
                      <w:sz w:val="21"/>
                    </w:rPr>
                    <w:t>1.2mm</w:t>
                  </w:r>
                  <w:r>
                    <w:rPr>
                      <w:rFonts w:ascii="仿宋_GB2312" w:hAnsi="仿宋_GB2312" w:cs="仿宋_GB2312" w:eastAsia="仿宋_GB2312"/>
                      <w:sz w:val="21"/>
                    </w:rPr>
                    <w:t>的</w:t>
                  </w:r>
                  <w:r>
                    <w:rPr>
                      <w:rFonts w:ascii="仿宋_GB2312" w:hAnsi="仿宋_GB2312" w:cs="仿宋_GB2312" w:eastAsia="仿宋_GB2312"/>
                      <w:sz w:val="21"/>
                    </w:rPr>
                    <w:t>20mm*20mm</w:t>
                  </w:r>
                  <w:r>
                    <w:rPr>
                      <w:rFonts w:ascii="仿宋_GB2312" w:hAnsi="仿宋_GB2312" w:cs="仿宋_GB2312" w:eastAsia="仿宋_GB2312"/>
                      <w:sz w:val="21"/>
                    </w:rPr>
                    <w:t>优质</w:t>
                  </w:r>
                  <w:r>
                    <w:rPr>
                      <w:rFonts w:ascii="仿宋_GB2312" w:hAnsi="仿宋_GB2312" w:cs="仿宋_GB2312" w:eastAsia="仿宋_GB2312"/>
                      <w:sz w:val="21"/>
                    </w:rPr>
                    <w:t>高频方管；方管一端设计焊接</w:t>
                  </w:r>
                  <w:r>
                    <w:rPr>
                      <w:rFonts w:ascii="仿宋_GB2312" w:hAnsi="仿宋_GB2312" w:cs="仿宋_GB2312" w:eastAsia="仿宋_GB2312"/>
                      <w:sz w:val="21"/>
                    </w:rPr>
                    <w:t>U</w:t>
                  </w:r>
                  <w:r>
                    <w:rPr>
                      <w:rFonts w:ascii="仿宋_GB2312" w:hAnsi="仿宋_GB2312" w:cs="仿宋_GB2312" w:eastAsia="仿宋_GB2312"/>
                      <w:sz w:val="21"/>
                    </w:rPr>
                    <w:t>型扣件，安装时，加强筋卡入桌架，并用螺丝固定</w:t>
                  </w:r>
                  <w:r>
                    <w:rPr>
                      <w:rFonts w:ascii="仿宋_GB2312" w:hAnsi="仿宋_GB2312" w:cs="仿宋_GB2312" w:eastAsia="仿宋_GB2312"/>
                      <w:sz w:val="21"/>
                    </w:rPr>
                    <w:t>，表面采用</w:t>
                  </w:r>
                  <w:r>
                    <w:rPr>
                      <w:rFonts w:ascii="仿宋_GB2312" w:hAnsi="仿宋_GB2312" w:cs="仿宋_GB2312" w:eastAsia="仿宋_GB2312"/>
                      <w:sz w:val="21"/>
                    </w:rPr>
                    <w:t>静电塑粉喷涂处理。</w:t>
                  </w:r>
                </w:p>
                <w:p>
                  <w:pPr>
                    <w:pStyle w:val="null3"/>
                    <w:jc w:val="both"/>
                  </w:pPr>
                  <w:r>
                    <w:rPr>
                      <w:rFonts w:ascii="仿宋_GB2312" w:hAnsi="仿宋_GB2312" w:cs="仿宋_GB2312" w:eastAsia="仿宋_GB2312"/>
                      <w:sz w:val="21"/>
                    </w:rPr>
                    <w:t>供应商提供承诺保证采购方两年内可以以同等价格采购到同批次物品。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桌斗</w:t>
                  </w:r>
                </w:p>
                <w:p>
                  <w:pPr>
                    <w:pStyle w:val="null3"/>
                    <w:jc w:val="both"/>
                  </w:pPr>
                  <w:r>
                    <w:rPr>
                      <w:rFonts w:ascii="仿宋_GB2312" w:hAnsi="仿宋_GB2312" w:cs="仿宋_GB2312" w:eastAsia="仿宋_GB2312"/>
                      <w:sz w:val="21"/>
                    </w:rPr>
                    <w:t>层板</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★规格尺寸：</w:t>
                  </w:r>
                  <w:r>
                    <w:rPr>
                      <w:rFonts w:ascii="仿宋_GB2312" w:hAnsi="仿宋_GB2312" w:cs="仿宋_GB2312" w:eastAsia="仿宋_GB2312"/>
                      <w:sz w:val="21"/>
                    </w:rPr>
                    <w:t>480*225*20mm</w:t>
                  </w:r>
                  <w:r>
                    <w:rPr>
                      <w:rFonts w:ascii="仿宋_GB2312" w:hAnsi="仿宋_GB2312" w:cs="仿宋_GB2312" w:eastAsia="仿宋_GB2312"/>
                      <w:sz w:val="21"/>
                    </w:rPr>
                    <w:t>，颜色：黑色（最终以甲方确定为准）</w:t>
                  </w:r>
                </w:p>
                <w:p>
                  <w:pPr>
                    <w:pStyle w:val="null3"/>
                    <w:jc w:val="both"/>
                  </w:pPr>
                  <w:r>
                    <w:rPr>
                      <w:rFonts w:ascii="仿宋_GB2312" w:hAnsi="仿宋_GB2312" w:cs="仿宋_GB2312" w:eastAsia="仿宋_GB2312"/>
                      <w:sz w:val="21"/>
                    </w:rPr>
                    <w:t>材质采用：采用优质冷轧钢板，厚度</w:t>
                  </w:r>
                  <w:r>
                    <w:rPr>
                      <w:rFonts w:ascii="仿宋_GB2312" w:hAnsi="仿宋_GB2312" w:cs="仿宋_GB2312" w:eastAsia="仿宋_GB2312"/>
                      <w:sz w:val="21"/>
                    </w:rPr>
                    <w:t>≥</w:t>
                  </w:r>
                  <w:r>
                    <w:rPr>
                      <w:rFonts w:ascii="仿宋_GB2312" w:hAnsi="仿宋_GB2312" w:cs="仿宋_GB2312" w:eastAsia="仿宋_GB2312"/>
                      <w:sz w:val="21"/>
                    </w:rPr>
                    <w:t>0.8mm</w:t>
                  </w:r>
                  <w:r>
                    <w:rPr>
                      <w:rFonts w:ascii="仿宋_GB2312" w:hAnsi="仿宋_GB2312" w:cs="仿宋_GB2312" w:eastAsia="仿宋_GB2312"/>
                      <w:sz w:val="21"/>
                    </w:rPr>
                    <w:t xml:space="preserve">，冷轧钢板符合 </w:t>
                  </w:r>
                  <w:r>
                    <w:rPr>
                      <w:rFonts w:ascii="仿宋_GB2312" w:hAnsi="仿宋_GB2312" w:cs="仿宋_GB2312" w:eastAsia="仿宋_GB2312"/>
                      <w:sz w:val="21"/>
                    </w:rPr>
                    <w:t>GB/T 700-2006</w:t>
                  </w:r>
                  <w:r>
                    <w:rPr>
                      <w:rFonts w:ascii="仿宋_GB2312" w:hAnsi="仿宋_GB2312" w:cs="仿宋_GB2312" w:eastAsia="仿宋_GB2312"/>
                      <w:sz w:val="21"/>
                    </w:rPr>
                    <w:t>《碳素结构钢》、屈服强度≥</w:t>
                  </w:r>
                  <w:r>
                    <w:rPr>
                      <w:rFonts w:ascii="仿宋_GB2312" w:hAnsi="仿宋_GB2312" w:cs="仿宋_GB2312" w:eastAsia="仿宋_GB2312"/>
                      <w:sz w:val="21"/>
                    </w:rPr>
                    <w:t>235N/mm</w:t>
                  </w:r>
                  <w:r>
                    <w:rPr>
                      <w:rFonts w:ascii="仿宋_GB2312" w:hAnsi="仿宋_GB2312" w:cs="仿宋_GB2312" w:eastAsia="仿宋_GB2312"/>
                      <w:sz w:val="21"/>
                    </w:rPr>
                    <w:t>2</w:t>
                  </w:r>
                  <w:r>
                    <w:rPr>
                      <w:rFonts w:ascii="仿宋_GB2312" w:hAnsi="仿宋_GB2312" w:cs="仿宋_GB2312" w:eastAsia="仿宋_GB2312"/>
                      <w:sz w:val="21"/>
                    </w:rPr>
                    <w:t>、抗拉强度</w:t>
                  </w:r>
                  <w:r>
                    <w:rPr>
                      <w:rFonts w:ascii="仿宋_GB2312" w:hAnsi="仿宋_GB2312" w:cs="仿宋_GB2312" w:eastAsia="仿宋_GB2312"/>
                      <w:sz w:val="21"/>
                    </w:rPr>
                    <w:t>370</w:t>
                  </w:r>
                  <w:r>
                    <w:rPr>
                      <w:rFonts w:ascii="仿宋_GB2312" w:hAnsi="仿宋_GB2312" w:cs="仿宋_GB2312" w:eastAsia="仿宋_GB2312"/>
                      <w:sz w:val="21"/>
                    </w:rPr>
                    <w:t>～</w:t>
                  </w:r>
                  <w:r>
                    <w:rPr>
                      <w:rFonts w:ascii="仿宋_GB2312" w:hAnsi="仿宋_GB2312" w:cs="仿宋_GB2312" w:eastAsia="仿宋_GB2312"/>
                      <w:sz w:val="21"/>
                    </w:rPr>
                    <w:t>500N/mm</w:t>
                  </w:r>
                  <w:r>
                    <w:rPr>
                      <w:rFonts w:ascii="仿宋_GB2312" w:hAnsi="仿宋_GB2312" w:cs="仿宋_GB2312" w:eastAsia="仿宋_GB2312"/>
                      <w:sz w:val="21"/>
                    </w:rPr>
                    <w:t>2</w:t>
                  </w:r>
                  <w:r>
                    <w:rPr>
                      <w:rFonts w:ascii="仿宋_GB2312" w:hAnsi="仿宋_GB2312" w:cs="仿宋_GB2312" w:eastAsia="仿宋_GB2312"/>
                      <w:sz w:val="21"/>
                    </w:rPr>
                    <w:t>、断后伸长率</w:t>
                  </w:r>
                  <w:r>
                    <w:rPr>
                      <w:rFonts w:ascii="仿宋_GB2312" w:hAnsi="仿宋_GB2312" w:cs="仿宋_GB2312" w:eastAsia="仿宋_GB2312"/>
                      <w:sz w:val="21"/>
                    </w:rPr>
                    <w:t>≥</w:t>
                  </w:r>
                  <w:r>
                    <w:rPr>
                      <w:rFonts w:ascii="仿宋_GB2312" w:hAnsi="仿宋_GB2312" w:cs="仿宋_GB2312" w:eastAsia="仿宋_GB2312"/>
                      <w:sz w:val="21"/>
                    </w:rPr>
                    <w:t>26%</w:t>
                  </w:r>
                  <w:r>
                    <w:rPr>
                      <w:rFonts w:ascii="仿宋_GB2312" w:hAnsi="仿宋_GB2312" w:cs="仿宋_GB2312" w:eastAsia="仿宋_GB2312"/>
                      <w:sz w:val="21"/>
                    </w:rPr>
                    <w:t>。 层板表面开透气孔，安装时卡入原有桌斗钢管中，并用螺丝固定，表面采用静电塑粉喷涂处理。提供冷轧钢板、塑粉相关证明材料。</w:t>
                  </w:r>
                </w:p>
                <w:p>
                  <w:pPr>
                    <w:pStyle w:val="null3"/>
                    <w:jc w:val="both"/>
                  </w:pPr>
                  <w:r>
                    <w:rPr>
                      <w:rFonts w:ascii="仿宋_GB2312" w:hAnsi="仿宋_GB2312" w:cs="仿宋_GB2312" w:eastAsia="仿宋_GB2312"/>
                      <w:sz w:val="21"/>
                    </w:rPr>
                    <w:t>供应商提供承诺保证采购方两年内可以以同等价格采购到同批次物品，为了保证产品的质量与服务。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大楼</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背板</w:t>
                  </w:r>
                  <w:r>
                    <w:rPr>
                      <w:rFonts w:ascii="仿宋_GB2312" w:hAnsi="仿宋_GB2312" w:cs="仿宋_GB2312" w:eastAsia="仿宋_GB2312"/>
                      <w:sz w:val="21"/>
                    </w:rPr>
                    <w:t>、</w:t>
                  </w:r>
                  <w:r>
                    <w:rPr>
                      <w:rFonts w:ascii="仿宋_GB2312" w:hAnsi="仿宋_GB2312" w:cs="仿宋_GB2312" w:eastAsia="仿宋_GB2312"/>
                      <w:sz w:val="21"/>
                    </w:rPr>
                    <w:t>座</w:t>
                  </w:r>
                  <w:r>
                    <w:rPr>
                      <w:rFonts w:ascii="仿宋_GB2312" w:hAnsi="仿宋_GB2312" w:cs="仿宋_GB2312" w:eastAsia="仿宋_GB2312"/>
                      <w:sz w:val="21"/>
                    </w:rPr>
                    <w:t>板</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★靠背规格尺寸：</w:t>
                  </w:r>
                  <w:r>
                    <w:rPr>
                      <w:rFonts w:ascii="仿宋_GB2312" w:hAnsi="仿宋_GB2312" w:cs="仿宋_GB2312" w:eastAsia="仿宋_GB2312"/>
                      <w:sz w:val="21"/>
                    </w:rPr>
                    <w:t>470*410*12mm</w:t>
                  </w:r>
                  <w:r>
                    <w:rPr>
                      <w:rFonts w:ascii="仿宋_GB2312" w:hAnsi="仿宋_GB2312" w:cs="仿宋_GB2312" w:eastAsia="仿宋_GB2312"/>
                      <w:sz w:val="21"/>
                    </w:rPr>
                    <w:t>，座板尺寸：</w:t>
                  </w:r>
                  <w:r>
                    <w:rPr>
                      <w:rFonts w:ascii="仿宋_GB2312" w:hAnsi="仿宋_GB2312" w:cs="仿宋_GB2312" w:eastAsia="仿宋_GB2312"/>
                      <w:sz w:val="21"/>
                    </w:rPr>
                    <w:t>450*39*12mm</w:t>
                  </w:r>
                  <w:r>
                    <w:rPr>
                      <w:rFonts w:ascii="仿宋_GB2312" w:hAnsi="仿宋_GB2312" w:cs="仿宋_GB2312" w:eastAsia="仿宋_GB2312"/>
                      <w:sz w:val="21"/>
                    </w:rPr>
                    <w:t>颜色：米黄色（最终以甲方确定为准）</w:t>
                  </w:r>
                </w:p>
                <w:p>
                  <w:pPr>
                    <w:pStyle w:val="null3"/>
                    <w:jc w:val="both"/>
                  </w:pPr>
                  <w:r>
                    <w:rPr>
                      <w:rFonts w:ascii="仿宋_GB2312" w:hAnsi="仿宋_GB2312" w:cs="仿宋_GB2312" w:eastAsia="仿宋_GB2312"/>
                      <w:sz w:val="21"/>
                    </w:rPr>
                    <w:t>外型根据人体工程学设计，靠背板带弧度，四周倒圆角。材质采用：</w:t>
                  </w:r>
                  <w:r>
                    <w:rPr>
                      <w:rFonts w:ascii="仿宋_GB2312" w:hAnsi="仿宋_GB2312" w:cs="仿宋_GB2312" w:eastAsia="仿宋_GB2312"/>
                      <w:sz w:val="21"/>
                    </w:rPr>
                    <w:t>E1</w:t>
                  </w:r>
                  <w:r>
                    <w:rPr>
                      <w:rFonts w:ascii="仿宋_GB2312" w:hAnsi="仿宋_GB2312" w:cs="仿宋_GB2312" w:eastAsia="仿宋_GB2312"/>
                      <w:sz w:val="21"/>
                    </w:rPr>
                    <w:t>级实木多层板经模具热压成型并双面压防火板，多层板符合</w:t>
                  </w:r>
                  <w:r>
                    <w:rPr>
                      <w:rFonts w:ascii="仿宋_GB2312" w:hAnsi="仿宋_GB2312" w:cs="仿宋_GB2312" w:eastAsia="仿宋_GB2312"/>
                      <w:sz w:val="21"/>
                    </w:rPr>
                    <w:t xml:space="preserve">GB18580-2017 </w:t>
                  </w:r>
                  <w:r>
                    <w:rPr>
                      <w:rFonts w:ascii="仿宋_GB2312" w:hAnsi="仿宋_GB2312" w:cs="仿宋_GB2312" w:eastAsia="仿宋_GB2312"/>
                      <w:sz w:val="21"/>
                    </w:rPr>
                    <w:t>《室内装饰装修材料人造板及其制品中甲醛释放限量》、多层板符合</w:t>
                  </w:r>
                  <w:r>
                    <w:rPr>
                      <w:rFonts w:ascii="仿宋_GB2312" w:hAnsi="仿宋_GB2312" w:cs="仿宋_GB2312" w:eastAsia="仿宋_GB2312"/>
                      <w:sz w:val="21"/>
                    </w:rPr>
                    <w:t>GB/T34722-2017</w:t>
                  </w:r>
                  <w:r>
                    <w:rPr>
                      <w:rFonts w:ascii="仿宋_GB2312" w:hAnsi="仿宋_GB2312" w:cs="仿宋_GB2312" w:eastAsia="仿宋_GB2312"/>
                      <w:sz w:val="21"/>
                    </w:rPr>
                    <w:t>《浸渍胶膜纸饰面胶合板和细工木板》、</w:t>
                  </w:r>
                  <w:r>
                    <w:rPr>
                      <w:rFonts w:ascii="仿宋_GB2312" w:hAnsi="仿宋_GB2312" w:cs="仿宋_GB2312" w:eastAsia="仿宋_GB2312"/>
                      <w:sz w:val="21"/>
                    </w:rPr>
                    <w:t>GB/T 39600-2021</w:t>
                  </w:r>
                  <w:r>
                    <w:rPr>
                      <w:rFonts w:ascii="仿宋_GB2312" w:hAnsi="仿宋_GB2312" w:cs="仿宋_GB2312" w:eastAsia="仿宋_GB2312"/>
                      <w:sz w:val="21"/>
                    </w:rPr>
                    <w:t>《人造板及其制品甲醛释放量分级》。靠板与脚架连接处角码采用</w:t>
                  </w:r>
                  <w:r>
                    <w:rPr>
                      <w:rFonts w:ascii="仿宋_GB2312" w:hAnsi="仿宋_GB2312" w:cs="仿宋_GB2312" w:eastAsia="仿宋_GB2312"/>
                      <w:sz w:val="21"/>
                    </w:rPr>
                    <w:t>2mm</w:t>
                  </w:r>
                  <w:r>
                    <w:rPr>
                      <w:rFonts w:ascii="仿宋_GB2312" w:hAnsi="仿宋_GB2312" w:cs="仿宋_GB2312" w:eastAsia="仿宋_GB2312"/>
                      <w:sz w:val="21"/>
                    </w:rPr>
                    <w:t>厚冷轧钢板经磨具冲压成型角码采用穿透式连接，采用等级为</w:t>
                  </w:r>
                  <w:r>
                    <w:rPr>
                      <w:rFonts w:ascii="仿宋_GB2312" w:hAnsi="仿宋_GB2312" w:cs="仿宋_GB2312" w:eastAsia="仿宋_GB2312"/>
                      <w:sz w:val="21"/>
                    </w:rPr>
                    <w:t>6.8</w:t>
                  </w:r>
                  <w:r>
                    <w:rPr>
                      <w:rFonts w:ascii="仿宋_GB2312" w:hAnsi="仿宋_GB2312" w:cs="仿宋_GB2312" w:eastAsia="仿宋_GB2312"/>
                      <w:sz w:val="21"/>
                    </w:rPr>
                    <w:t>级</w:t>
                  </w:r>
                  <w:r>
                    <w:rPr>
                      <w:rFonts w:ascii="仿宋_GB2312" w:hAnsi="仿宋_GB2312" w:cs="仿宋_GB2312" w:eastAsia="仿宋_GB2312"/>
                      <w:sz w:val="21"/>
                    </w:rPr>
                    <w:t>M8</w:t>
                  </w:r>
                  <w:r>
                    <w:rPr>
                      <w:rFonts w:ascii="仿宋_GB2312" w:hAnsi="仿宋_GB2312" w:cs="仿宋_GB2312" w:eastAsia="仿宋_GB2312"/>
                      <w:sz w:val="21"/>
                    </w:rPr>
                    <w:t>圆柱头螺钉</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 xml:space="preserve">角码，紧固件符合 </w:t>
                  </w:r>
                  <w:r>
                    <w:rPr>
                      <w:rFonts w:ascii="仿宋_GB2312" w:hAnsi="仿宋_GB2312" w:cs="仿宋_GB2312" w:eastAsia="仿宋_GB2312"/>
                      <w:sz w:val="21"/>
                    </w:rPr>
                    <w:t>GB/T 3098.1-2010</w:t>
                  </w:r>
                  <w:r>
                    <w:rPr>
                      <w:rFonts w:ascii="仿宋_GB2312" w:hAnsi="仿宋_GB2312" w:cs="仿宋_GB2312" w:eastAsia="仿宋_GB2312"/>
                      <w:sz w:val="21"/>
                    </w:rPr>
                    <w:t>《紧固件机械性能螺栓、螺钉和螺柱》</w:t>
                  </w:r>
                  <w:r>
                    <w:rPr>
                      <w:rFonts w:ascii="仿宋_GB2312" w:hAnsi="仿宋_GB2312" w:cs="仿宋_GB2312" w:eastAsia="仿宋_GB2312"/>
                      <w:sz w:val="21"/>
                    </w:rPr>
                    <w:t>提供多层板、紧固件相关证明材料。</w:t>
                  </w:r>
                </w:p>
                <w:p>
                  <w:pPr>
                    <w:pStyle w:val="null3"/>
                    <w:jc w:val="both"/>
                  </w:pPr>
                  <w:r>
                    <w:rPr>
                      <w:rFonts w:ascii="仿宋_GB2312" w:hAnsi="仿宋_GB2312" w:cs="仿宋_GB2312" w:eastAsia="仿宋_GB2312"/>
                      <w:sz w:val="21"/>
                    </w:rPr>
                    <w:t>供应商提供承诺保证采购方两年内可以以同等价格采购到同批次物品。</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层</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背板</w:t>
                  </w:r>
                  <w:r>
                    <w:rPr>
                      <w:rFonts w:ascii="仿宋_GB2312" w:hAnsi="仿宋_GB2312" w:cs="仿宋_GB2312" w:eastAsia="仿宋_GB2312"/>
                      <w:sz w:val="21"/>
                    </w:rPr>
                    <w:t>、</w:t>
                  </w:r>
                  <w:r>
                    <w:rPr>
                      <w:rFonts w:ascii="仿宋_GB2312" w:hAnsi="仿宋_GB2312" w:cs="仿宋_GB2312" w:eastAsia="仿宋_GB2312"/>
                      <w:sz w:val="21"/>
                    </w:rPr>
                    <w:t>座</w:t>
                  </w:r>
                  <w:r>
                    <w:rPr>
                      <w:rFonts w:ascii="仿宋_GB2312" w:hAnsi="仿宋_GB2312" w:cs="仿宋_GB2312" w:eastAsia="仿宋_GB2312"/>
                      <w:sz w:val="21"/>
                    </w:rPr>
                    <w:t>板</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★靠背规格尺寸：</w:t>
                  </w:r>
                  <w:r>
                    <w:rPr>
                      <w:rFonts w:ascii="仿宋_GB2312" w:hAnsi="仿宋_GB2312" w:cs="仿宋_GB2312" w:eastAsia="仿宋_GB2312"/>
                      <w:sz w:val="21"/>
                    </w:rPr>
                    <w:t>440*330*12mm</w:t>
                  </w:r>
                  <w:r>
                    <w:rPr>
                      <w:rFonts w:ascii="仿宋_GB2312" w:hAnsi="仿宋_GB2312" w:cs="仿宋_GB2312" w:eastAsia="仿宋_GB2312"/>
                      <w:sz w:val="21"/>
                    </w:rPr>
                    <w:t>，座板尺寸：约为</w:t>
                  </w:r>
                  <w:r>
                    <w:rPr>
                      <w:rFonts w:ascii="仿宋_GB2312" w:hAnsi="仿宋_GB2312" w:cs="仿宋_GB2312" w:eastAsia="仿宋_GB2312"/>
                      <w:sz w:val="21"/>
                    </w:rPr>
                    <w:t>430*390*12mm</w:t>
                  </w:r>
                  <w:r>
                    <w:rPr>
                      <w:rFonts w:ascii="仿宋_GB2312" w:hAnsi="仿宋_GB2312" w:cs="仿宋_GB2312" w:eastAsia="仿宋_GB2312"/>
                      <w:sz w:val="21"/>
                    </w:rPr>
                    <w:t>颜色：蓝色和米黄色（最终以甲方确定为准）</w:t>
                  </w:r>
                </w:p>
                <w:p>
                  <w:pPr>
                    <w:pStyle w:val="null3"/>
                    <w:jc w:val="both"/>
                  </w:pPr>
                  <w:r>
                    <w:rPr>
                      <w:rFonts w:ascii="仿宋_GB2312" w:hAnsi="仿宋_GB2312" w:cs="仿宋_GB2312" w:eastAsia="仿宋_GB2312"/>
                      <w:sz w:val="21"/>
                    </w:rPr>
                    <w:t>外型根据人体工程学设计，靠背板带弧度，四周倒圆角。材质采用：</w:t>
                  </w:r>
                  <w:r>
                    <w:rPr>
                      <w:rFonts w:ascii="仿宋_GB2312" w:hAnsi="仿宋_GB2312" w:cs="仿宋_GB2312" w:eastAsia="仿宋_GB2312"/>
                      <w:sz w:val="21"/>
                    </w:rPr>
                    <w:t>E1</w:t>
                  </w:r>
                  <w:r>
                    <w:rPr>
                      <w:rFonts w:ascii="仿宋_GB2312" w:hAnsi="仿宋_GB2312" w:cs="仿宋_GB2312" w:eastAsia="仿宋_GB2312"/>
                      <w:sz w:val="21"/>
                    </w:rPr>
                    <w:t>级实木多层板经模具热压成型并双面压防火板，多层板符合</w:t>
                  </w:r>
                  <w:r>
                    <w:rPr>
                      <w:rFonts w:ascii="仿宋_GB2312" w:hAnsi="仿宋_GB2312" w:cs="仿宋_GB2312" w:eastAsia="仿宋_GB2312"/>
                      <w:sz w:val="21"/>
                    </w:rPr>
                    <w:t xml:space="preserve">GB18580-2017 </w:t>
                  </w:r>
                  <w:r>
                    <w:rPr>
                      <w:rFonts w:ascii="仿宋_GB2312" w:hAnsi="仿宋_GB2312" w:cs="仿宋_GB2312" w:eastAsia="仿宋_GB2312"/>
                      <w:sz w:val="21"/>
                    </w:rPr>
                    <w:t>《室内装饰装修材料人造板及其制品中甲醛释放限量》、多层板符合</w:t>
                  </w:r>
                  <w:r>
                    <w:rPr>
                      <w:rFonts w:ascii="仿宋_GB2312" w:hAnsi="仿宋_GB2312" w:cs="仿宋_GB2312" w:eastAsia="仿宋_GB2312"/>
                      <w:sz w:val="21"/>
                    </w:rPr>
                    <w:t>GB/T34722-2017</w:t>
                  </w:r>
                  <w:r>
                    <w:rPr>
                      <w:rFonts w:ascii="仿宋_GB2312" w:hAnsi="仿宋_GB2312" w:cs="仿宋_GB2312" w:eastAsia="仿宋_GB2312"/>
                      <w:sz w:val="21"/>
                    </w:rPr>
                    <w:t>《浸渍胶膜纸饰面胶合板和细工木板》、</w:t>
                  </w:r>
                  <w:r>
                    <w:rPr>
                      <w:rFonts w:ascii="仿宋_GB2312" w:hAnsi="仿宋_GB2312" w:cs="仿宋_GB2312" w:eastAsia="仿宋_GB2312"/>
                      <w:sz w:val="21"/>
                    </w:rPr>
                    <w:t xml:space="preserve">GB/T 39600-2021 </w:t>
                  </w:r>
                  <w:r>
                    <w:rPr>
                      <w:rFonts w:ascii="仿宋_GB2312" w:hAnsi="仿宋_GB2312" w:cs="仿宋_GB2312" w:eastAsia="仿宋_GB2312"/>
                      <w:sz w:val="21"/>
                    </w:rPr>
                    <w:t>《人造板及其制品甲醛释放量分级》甲醛释放量≤</w:t>
                  </w:r>
                  <w:r>
                    <w:rPr>
                      <w:rFonts w:ascii="仿宋_GB2312" w:hAnsi="仿宋_GB2312" w:cs="仿宋_GB2312" w:eastAsia="仿宋_GB2312"/>
                      <w:sz w:val="21"/>
                    </w:rPr>
                    <w:t>0.124mg/m</w:t>
                  </w:r>
                  <w:r>
                    <w:rPr>
                      <w:rFonts w:ascii="仿宋_GB2312" w:hAnsi="仿宋_GB2312" w:cs="仿宋_GB2312" w:eastAsia="仿宋_GB2312"/>
                      <w:sz w:val="21"/>
                    </w:rPr>
                    <w:t>³。靠板与脚架连接处角码采用</w:t>
                  </w:r>
                  <w:r>
                    <w:rPr>
                      <w:rFonts w:ascii="仿宋_GB2312" w:hAnsi="仿宋_GB2312" w:cs="仿宋_GB2312" w:eastAsia="仿宋_GB2312"/>
                      <w:sz w:val="21"/>
                    </w:rPr>
                    <w:t>2mm</w:t>
                  </w:r>
                  <w:r>
                    <w:rPr>
                      <w:rFonts w:ascii="仿宋_GB2312" w:hAnsi="仿宋_GB2312" w:cs="仿宋_GB2312" w:eastAsia="仿宋_GB2312"/>
                      <w:sz w:val="21"/>
                    </w:rPr>
                    <w:t>厚冷轧钢板经磨具冲压成型角码采用穿透式连接，采用等级为</w:t>
                  </w:r>
                  <w:r>
                    <w:rPr>
                      <w:rFonts w:ascii="仿宋_GB2312" w:hAnsi="仿宋_GB2312" w:cs="仿宋_GB2312" w:eastAsia="仿宋_GB2312"/>
                      <w:sz w:val="21"/>
                    </w:rPr>
                    <w:t>6.8</w:t>
                  </w:r>
                  <w:r>
                    <w:rPr>
                      <w:rFonts w:ascii="仿宋_GB2312" w:hAnsi="仿宋_GB2312" w:cs="仿宋_GB2312" w:eastAsia="仿宋_GB2312"/>
                      <w:sz w:val="21"/>
                    </w:rPr>
                    <w:t>级</w:t>
                  </w:r>
                  <w:r>
                    <w:rPr>
                      <w:rFonts w:ascii="仿宋_GB2312" w:hAnsi="仿宋_GB2312" w:cs="仿宋_GB2312" w:eastAsia="仿宋_GB2312"/>
                      <w:sz w:val="21"/>
                    </w:rPr>
                    <w:t>M8</w:t>
                  </w:r>
                  <w:r>
                    <w:rPr>
                      <w:rFonts w:ascii="仿宋_GB2312" w:hAnsi="仿宋_GB2312" w:cs="仿宋_GB2312" w:eastAsia="仿宋_GB2312"/>
                      <w:sz w:val="21"/>
                    </w:rPr>
                    <w:t>圆柱头螺钉</w:t>
                  </w:r>
                  <w:r>
                    <w:rPr>
                      <w:rFonts w:ascii="仿宋_GB2312" w:hAnsi="仿宋_GB2312" w:cs="仿宋_GB2312" w:eastAsia="仿宋_GB2312"/>
                      <w:sz w:val="21"/>
                    </w:rPr>
                    <w:t>2</w:t>
                  </w:r>
                  <w:r>
                    <w:rPr>
                      <w:rFonts w:ascii="仿宋_GB2312" w:hAnsi="仿宋_GB2312" w:cs="仿宋_GB2312" w:eastAsia="仿宋_GB2312"/>
                      <w:sz w:val="21"/>
                    </w:rPr>
                    <w:t>个</w:t>
                  </w:r>
                  <w:r>
                    <w:rPr>
                      <w:rFonts w:ascii="仿宋_GB2312" w:hAnsi="仿宋_GB2312" w:cs="仿宋_GB2312" w:eastAsia="仿宋_GB2312"/>
                      <w:sz w:val="21"/>
                    </w:rPr>
                    <w:t>/</w:t>
                  </w:r>
                  <w:r>
                    <w:rPr>
                      <w:rFonts w:ascii="仿宋_GB2312" w:hAnsi="仿宋_GB2312" w:cs="仿宋_GB2312" w:eastAsia="仿宋_GB2312"/>
                      <w:sz w:val="21"/>
                    </w:rPr>
                    <w:t xml:space="preserve">角码，紧固件符合 </w:t>
                  </w:r>
                  <w:r>
                    <w:rPr>
                      <w:rFonts w:ascii="仿宋_GB2312" w:hAnsi="仿宋_GB2312" w:cs="仿宋_GB2312" w:eastAsia="仿宋_GB2312"/>
                      <w:sz w:val="21"/>
                    </w:rPr>
                    <w:t>GB/T 3098.1-2010</w:t>
                  </w:r>
                  <w:r>
                    <w:rPr>
                      <w:rFonts w:ascii="仿宋_GB2312" w:hAnsi="仿宋_GB2312" w:cs="仿宋_GB2312" w:eastAsia="仿宋_GB2312"/>
                      <w:sz w:val="21"/>
                    </w:rPr>
                    <w:t>《紧固件机械性能螺栓、螺钉和螺柱》。</w:t>
                  </w:r>
                  <w:r>
                    <w:rPr>
                      <w:rFonts w:ascii="仿宋_GB2312" w:hAnsi="仿宋_GB2312" w:cs="仿宋_GB2312" w:eastAsia="仿宋_GB2312"/>
                      <w:sz w:val="21"/>
                    </w:rPr>
                    <w:t>提供多层板、紧固件相关证明材料。</w:t>
                  </w:r>
                </w:p>
                <w:p>
                  <w:pPr>
                    <w:pStyle w:val="null3"/>
                    <w:jc w:val="both"/>
                  </w:pPr>
                  <w:r>
                    <w:rPr>
                      <w:rFonts w:ascii="仿宋_GB2312" w:hAnsi="仿宋_GB2312" w:cs="仿宋_GB2312" w:eastAsia="仿宋_GB2312"/>
                      <w:sz w:val="21"/>
                    </w:rPr>
                    <w:t>供应商提供承诺保证采购方两年内可以以同等价格采购到同批次物品，为了保证产品的质量与服务。</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2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大楼</w:t>
                  </w:r>
                </w:p>
              </w:tc>
              <w:tc>
                <w:tcPr>
                  <w:tcW w:type="dxa" w:w="3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讲台</w:t>
                  </w:r>
                </w:p>
              </w:tc>
              <w:tc>
                <w:tcPr>
                  <w:tcW w:type="dxa" w:w="16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钢木结合设计，采用冷轧钢板桌体，桌体金属板厚度</w:t>
                  </w:r>
                  <w:r>
                    <w:rPr>
                      <w:rFonts w:ascii="仿宋_GB2312" w:hAnsi="仿宋_GB2312" w:cs="仿宋_GB2312" w:eastAsia="仿宋_GB2312"/>
                      <w:sz w:val="21"/>
                    </w:rPr>
                    <w:t>1.2mm</w:t>
                  </w:r>
                  <w:r>
                    <w:rPr>
                      <w:rFonts w:ascii="仿宋_GB2312" w:hAnsi="仿宋_GB2312" w:cs="仿宋_GB2312" w:eastAsia="仿宋_GB2312"/>
                      <w:sz w:val="21"/>
                    </w:rPr>
                    <w:t>，老师接触位置为木质桌面，桌面、抽屉采用</w:t>
                  </w:r>
                  <w:r>
                    <w:rPr>
                      <w:rFonts w:ascii="仿宋_GB2312" w:hAnsi="仿宋_GB2312" w:cs="仿宋_GB2312" w:eastAsia="仿宋_GB2312"/>
                      <w:sz w:val="21"/>
                    </w:rPr>
                    <w:t>20mm</w:t>
                  </w:r>
                  <w:r>
                    <w:rPr>
                      <w:rFonts w:ascii="仿宋_GB2312" w:hAnsi="仿宋_GB2312" w:cs="仿宋_GB2312" w:eastAsia="仿宋_GB2312"/>
                      <w:sz w:val="21"/>
                    </w:rPr>
                    <w:t>厚</w:t>
                  </w:r>
                  <w:r>
                    <w:rPr>
                      <w:rFonts w:ascii="仿宋_GB2312" w:hAnsi="仿宋_GB2312" w:cs="仿宋_GB2312" w:eastAsia="仿宋_GB2312"/>
                      <w:sz w:val="21"/>
                    </w:rPr>
                    <w:t>E0</w:t>
                  </w:r>
                  <w:r>
                    <w:rPr>
                      <w:rFonts w:ascii="仿宋_GB2312" w:hAnsi="仿宋_GB2312" w:cs="仿宋_GB2312" w:eastAsia="仿宋_GB2312"/>
                      <w:sz w:val="21"/>
                    </w:rPr>
                    <w:t>级中密度防火板，抽屉导轨采用三节重型导轨。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 xml:space="preserve">讲台尺寸设计为长×宽×高： </w:t>
                  </w:r>
                  <w:r>
                    <w:rPr>
                      <w:rFonts w:ascii="仿宋_GB2312" w:hAnsi="仿宋_GB2312" w:cs="仿宋_GB2312" w:eastAsia="仿宋_GB2312"/>
                      <w:sz w:val="21"/>
                    </w:rPr>
                    <w:t>1100</w:t>
                  </w:r>
                  <w:r>
                    <w:rPr>
                      <w:rFonts w:ascii="仿宋_GB2312" w:hAnsi="仿宋_GB2312" w:cs="仿宋_GB2312" w:eastAsia="仿宋_GB2312"/>
                      <w:sz w:val="21"/>
                    </w:rPr>
                    <w:t>×</w:t>
                  </w:r>
                  <w:r>
                    <w:rPr>
                      <w:rFonts w:ascii="仿宋_GB2312" w:hAnsi="仿宋_GB2312" w:cs="仿宋_GB2312" w:eastAsia="仿宋_GB2312"/>
                      <w:sz w:val="21"/>
                    </w:rPr>
                    <w:t>550</w:t>
                  </w:r>
                  <w:r>
                    <w:rPr>
                      <w:rFonts w:ascii="仿宋_GB2312" w:hAnsi="仿宋_GB2312" w:cs="仿宋_GB2312" w:eastAsia="仿宋_GB2312"/>
                      <w:sz w:val="21"/>
                    </w:rPr>
                    <w:t>×</w:t>
                  </w:r>
                  <w:r>
                    <w:rPr>
                      <w:rFonts w:ascii="仿宋_GB2312" w:hAnsi="仿宋_GB2312" w:cs="仿宋_GB2312" w:eastAsia="仿宋_GB2312"/>
                      <w:sz w:val="21"/>
                    </w:rPr>
                    <w:t xml:space="preserve">1030mm </w:t>
                  </w:r>
                  <w:r>
                    <w:rPr>
                      <w:rFonts w:ascii="仿宋_GB2312" w:hAnsi="仿宋_GB2312" w:cs="仿宋_GB2312" w:eastAsia="仿宋_GB2312"/>
                      <w:sz w:val="21"/>
                    </w:rPr>
                    <w:t>，环抱老师式设计，根据人体力学设计，讲台桌面高度合适老师放置教学用品。</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讲台桌面平整，全封闭设计，整体外观圆弧设计，无菱角处理，正面中部受到冲击力时不会倾倒，保护师生安全。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讲台正面支持学校进行</w:t>
                  </w:r>
                  <w:r>
                    <w:rPr>
                      <w:rFonts w:ascii="仿宋_GB2312" w:hAnsi="仿宋_GB2312" w:cs="仿宋_GB2312" w:eastAsia="仿宋_GB2312"/>
                      <w:sz w:val="21"/>
                    </w:rPr>
                    <w:t>LOGO</w:t>
                  </w:r>
                  <w:r>
                    <w:rPr>
                      <w:rFonts w:ascii="仿宋_GB2312" w:hAnsi="仿宋_GB2312" w:cs="仿宋_GB2312" w:eastAsia="仿宋_GB2312"/>
                      <w:sz w:val="21"/>
                    </w:rPr>
                    <w:t>定制。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供应商提供承诺保证采购方两年内可以以同等价格采购到同批次物品。</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560"/>
              <w:jc w:val="left"/>
            </w:pPr>
            <w:r>
              <w:rPr>
                <w:rFonts w:ascii="仿宋_GB2312" w:hAnsi="仿宋_GB2312" w:cs="仿宋_GB2312" w:eastAsia="仿宋_GB2312"/>
                <w:sz w:val="28"/>
                <w:b/>
              </w:rPr>
              <w:t>（</w:t>
            </w:r>
            <w:r>
              <w:rPr>
                <w:rFonts w:ascii="仿宋_GB2312" w:hAnsi="仿宋_GB2312" w:cs="仿宋_GB2312" w:eastAsia="仿宋_GB2312"/>
                <w:sz w:val="28"/>
                <w:b/>
              </w:rPr>
              <w:t>以下</w:t>
            </w:r>
            <w:r>
              <w:rPr>
                <w:rFonts w:ascii="仿宋_GB2312" w:hAnsi="仿宋_GB2312" w:cs="仿宋_GB2312" w:eastAsia="仿宋_GB2312"/>
                <w:sz w:val="28"/>
                <w:b/>
              </w:rPr>
              <w:t>图纸</w:t>
            </w:r>
            <w:r>
              <w:rPr>
                <w:rFonts w:ascii="仿宋_GB2312" w:hAnsi="仿宋_GB2312" w:cs="仿宋_GB2312" w:eastAsia="仿宋_GB2312"/>
                <w:sz w:val="28"/>
                <w:b/>
              </w:rPr>
              <w:t>及表格内容，</w:t>
            </w:r>
            <w:r>
              <w:rPr>
                <w:rFonts w:ascii="仿宋_GB2312" w:hAnsi="仿宋_GB2312" w:cs="仿宋_GB2312" w:eastAsia="仿宋_GB2312"/>
                <w:sz w:val="28"/>
                <w:b/>
              </w:rPr>
              <w:t>除特别注明外，其余单位为</w:t>
            </w:r>
            <w:r>
              <w:rPr>
                <w:rFonts w:ascii="仿宋_GB2312" w:hAnsi="仿宋_GB2312" w:cs="仿宋_GB2312" w:eastAsia="仿宋_GB2312"/>
                <w:sz w:val="28"/>
                <w:b/>
              </w:rPr>
              <w:t>mm。）</w:t>
            </w:r>
          </w:p>
          <w:p>
            <w:pPr>
              <w:pStyle w:val="null3"/>
              <w:ind w:firstLine="560"/>
              <w:jc w:val="left"/>
            </w:pPr>
            <w:r>
              <w:rPr>
                <w:rFonts w:ascii="仿宋_GB2312" w:hAnsi="仿宋_GB2312" w:cs="仿宋_GB2312" w:eastAsia="仿宋_GB2312"/>
              </w:rPr>
              <w:t xml:space="preserve"> </w:t>
            </w:r>
          </w:p>
          <w:tbl>
            <w:tblPr>
              <w:tblBorders>
                <w:top w:val="none" w:color="000000" w:sz="4"/>
                <w:left w:val="none" w:color="000000" w:sz="4"/>
                <w:bottom w:val="none" w:color="000000" w:sz="4"/>
                <w:right w:val="none" w:color="000000" w:sz="4"/>
                <w:insideH w:val="none"/>
                <w:insideV w:val="none"/>
              </w:tblBorders>
            </w:tblPr>
            <w:tblGrid>
              <w:gridCol w:w="217"/>
              <w:gridCol w:w="271"/>
              <w:gridCol w:w="346"/>
              <w:gridCol w:w="1719"/>
            </w:tblGrid>
            <w:tr>
              <w:tc>
                <w:tcPr>
                  <w:tcW w:type="dxa" w:w="2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2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位置</w:t>
                  </w:r>
                </w:p>
              </w:tc>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材料名称</w:t>
                  </w:r>
                </w:p>
              </w:tc>
              <w:tc>
                <w:tcPr>
                  <w:tcW w:type="dxa" w:w="17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维修图样</w:t>
                  </w:r>
                  <w:r>
                    <w:rPr>
                      <w:rFonts w:ascii="仿宋_GB2312" w:hAnsi="仿宋_GB2312" w:cs="仿宋_GB2312" w:eastAsia="仿宋_GB2312"/>
                      <w:sz w:val="21"/>
                    </w:rPr>
                    <w:t>/</w:t>
                  </w:r>
                  <w:r>
                    <w:rPr>
                      <w:rFonts w:ascii="仿宋_GB2312" w:hAnsi="仿宋_GB2312" w:cs="仿宋_GB2312" w:eastAsia="仿宋_GB2312"/>
                      <w:sz w:val="21"/>
                    </w:rPr>
                    <w:t>现场情况</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前挡板</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642505" cy="803131"/>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7"/>
                                <a:stretch>
                                  <a:fillRect/>
                                </a:stretch>
                              </pic:blipFill>
                              <pic:spPr>
                                <a:xfrm>
                                  <a:off x="0" y="0"/>
                                  <a:ext cx="642505" cy="803131"/>
                                </a:xfrm>
                                <a:prstGeom prst="rect">
                                  <a:avLst/>
                                </a:prstGeom>
                              </pic:spPr>
                            </pic:pic>
                          </a:graphicData>
                        </a:graphic>
                      </wp:inline>
                    </w:drawing>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桌面</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642505" cy="866374"/>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8"/>
                                <a:stretch>
                                  <a:fillRect/>
                                </a:stretch>
                              </pic:blipFill>
                              <pic:spPr>
                                <a:xfrm>
                                  <a:off x="0" y="0"/>
                                  <a:ext cx="642505" cy="866374"/>
                                </a:xfrm>
                                <a:prstGeom prst="rect">
                                  <a:avLst/>
                                </a:prstGeom>
                              </pic:spPr>
                            </pic:pic>
                          </a:graphicData>
                        </a:graphic>
                      </wp:inline>
                    </w:drawing>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背板</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642505" cy="803826"/>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9"/>
                                <a:stretch>
                                  <a:fillRect/>
                                </a:stretch>
                              </pic:blipFill>
                              <pic:spPr>
                                <a:xfrm>
                                  <a:off x="0" y="0"/>
                                  <a:ext cx="642505" cy="803826"/>
                                </a:xfrm>
                                <a:prstGeom prst="rect">
                                  <a:avLst/>
                                </a:prstGeom>
                              </pic:spPr>
                            </pic:pic>
                          </a:graphicData>
                        </a:graphic>
                      </wp:inline>
                    </w:drawing>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座</w:t>
                  </w:r>
                  <w:r>
                    <w:rPr>
                      <w:rFonts w:ascii="仿宋_GB2312" w:hAnsi="仿宋_GB2312" w:cs="仿宋_GB2312" w:eastAsia="仿宋_GB2312"/>
                      <w:sz w:val="21"/>
                    </w:rPr>
                    <w:t>板</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642505" cy="403709"/>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10"/>
                                <a:stretch>
                                  <a:fillRect/>
                                </a:stretch>
                              </pic:blipFill>
                              <pic:spPr>
                                <a:xfrm>
                                  <a:off x="0" y="0"/>
                                  <a:ext cx="642505" cy="403709"/>
                                </a:xfrm>
                                <a:prstGeom prst="rect">
                                  <a:avLst/>
                                </a:prstGeom>
                              </pic:spPr>
                            </pic:pic>
                          </a:graphicData>
                        </a:graphic>
                      </wp:inline>
                    </w:drawing>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桌架加强筋</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6</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1-3</w:t>
                  </w:r>
                  <w:r>
                    <w:rPr>
                      <w:rFonts w:ascii="仿宋_GB2312" w:hAnsi="仿宋_GB2312" w:cs="仿宋_GB2312" w:eastAsia="仿宋_GB2312"/>
                      <w:sz w:val="21"/>
                    </w:rPr>
                    <w:t>层</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桌斗</w:t>
                  </w:r>
                </w:p>
                <w:p>
                  <w:pPr>
                    <w:pStyle w:val="null3"/>
                    <w:jc w:val="both"/>
                  </w:pPr>
                  <w:r>
                    <w:rPr>
                      <w:rFonts w:ascii="仿宋_GB2312" w:hAnsi="仿宋_GB2312" w:cs="仿宋_GB2312" w:eastAsia="仿宋_GB2312"/>
                      <w:sz w:val="21"/>
                    </w:rPr>
                    <w:t>层板</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642505" cy="527818"/>
                        <wp:docPr id="5" name="Drawing 5" descr="img"/>
                        <a:graphic xmlns:a="http://schemas.openxmlformats.org/drawingml/2006/main">
                          <a:graphicData uri="http://schemas.openxmlformats.org/drawingml/2006/picture">
                            <pic:pic xmlns:pic="http://schemas.openxmlformats.org/drawingml/2006/picture">
                              <pic:nvPicPr>
                                <pic:cNvPr id="0" name="Picture 5" descr="img"/>
                                <pic:cNvPicPr>
                                  <a:picLocks noChangeAspect="true"/>
                                </pic:cNvPicPr>
                              </pic:nvPicPr>
                              <pic:blipFill>
                                <a:blip r:embed="rId11"/>
                                <a:stretch>
                                  <a:fillRect/>
                                </a:stretch>
                              </pic:blipFill>
                              <pic:spPr>
                                <a:xfrm>
                                  <a:off x="0" y="0"/>
                                  <a:ext cx="642505" cy="527818"/>
                                </a:xfrm>
                                <a:prstGeom prst="rect">
                                  <a:avLst/>
                                </a:prstGeom>
                              </pic:spPr>
                            </pic:pic>
                          </a:graphicData>
                        </a:graphic>
                      </wp:inline>
                    </w:drawing>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7</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大楼</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背板</w:t>
                  </w:r>
                  <w:r>
                    <w:rPr>
                      <w:rFonts w:ascii="仿宋_GB2312" w:hAnsi="仿宋_GB2312" w:cs="仿宋_GB2312" w:eastAsia="仿宋_GB2312"/>
                      <w:sz w:val="21"/>
                    </w:rPr>
                    <w:t>、</w:t>
                  </w:r>
                  <w:r>
                    <w:rPr>
                      <w:rFonts w:ascii="仿宋_GB2312" w:hAnsi="仿宋_GB2312" w:cs="仿宋_GB2312" w:eastAsia="仿宋_GB2312"/>
                      <w:sz w:val="21"/>
                    </w:rPr>
                    <w:t>座</w:t>
                  </w:r>
                  <w:r>
                    <w:rPr>
                      <w:rFonts w:ascii="仿宋_GB2312" w:hAnsi="仿宋_GB2312" w:cs="仿宋_GB2312" w:eastAsia="仿宋_GB2312"/>
                      <w:sz w:val="21"/>
                    </w:rPr>
                    <w:t>板</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642505" cy="472899"/>
                        <wp:docPr id="6" name="Drawing 6" descr="img"/>
                        <a:graphic xmlns:a="http://schemas.openxmlformats.org/drawingml/2006/main">
                          <a:graphicData uri="http://schemas.openxmlformats.org/drawingml/2006/picture">
                            <pic:pic xmlns:pic="http://schemas.openxmlformats.org/drawingml/2006/picture">
                              <pic:nvPicPr>
                                <pic:cNvPr id="0" name="Picture 6" descr="img"/>
                                <pic:cNvPicPr>
                                  <a:picLocks noChangeAspect="true"/>
                                </pic:cNvPicPr>
                              </pic:nvPicPr>
                              <pic:blipFill>
                                <a:blip r:embed="rId12"/>
                                <a:stretch>
                                  <a:fillRect/>
                                </a:stretch>
                              </pic:blipFill>
                              <pic:spPr>
                                <a:xfrm>
                                  <a:off x="0" y="0"/>
                                  <a:ext cx="642505" cy="472899"/>
                                </a:xfrm>
                                <a:prstGeom prst="rect">
                                  <a:avLst/>
                                </a:prstGeom>
                              </pic:spPr>
                            </pic:pic>
                          </a:graphicData>
                        </a:graphic>
                      </wp:inline>
                    </w:drawing>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8</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南阶</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层</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背板</w:t>
                  </w:r>
                  <w:r>
                    <w:rPr>
                      <w:rFonts w:ascii="仿宋_GB2312" w:hAnsi="仿宋_GB2312" w:cs="仿宋_GB2312" w:eastAsia="仿宋_GB2312"/>
                      <w:sz w:val="21"/>
                    </w:rPr>
                    <w:t>、</w:t>
                  </w:r>
                  <w:r>
                    <w:rPr>
                      <w:rFonts w:ascii="仿宋_GB2312" w:hAnsi="仿宋_GB2312" w:cs="仿宋_GB2312" w:eastAsia="仿宋_GB2312"/>
                      <w:sz w:val="21"/>
                    </w:rPr>
                    <w:t>座</w:t>
                  </w:r>
                  <w:r>
                    <w:rPr>
                      <w:rFonts w:ascii="仿宋_GB2312" w:hAnsi="仿宋_GB2312" w:cs="仿宋_GB2312" w:eastAsia="仿宋_GB2312"/>
                      <w:sz w:val="21"/>
                    </w:rPr>
                    <w:t>板</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642505" cy="746049"/>
                        <wp:docPr id="7" name="Drawing 7" descr="img"/>
                        <a:graphic xmlns:a="http://schemas.openxmlformats.org/drawingml/2006/main">
                          <a:graphicData uri="http://schemas.openxmlformats.org/drawingml/2006/picture">
                            <pic:pic xmlns:pic="http://schemas.openxmlformats.org/drawingml/2006/picture">
                              <pic:nvPicPr>
                                <pic:cNvPr id="0" name="Picture 7" descr="img"/>
                                <pic:cNvPicPr>
                                  <a:picLocks noChangeAspect="true"/>
                                </pic:cNvPicPr>
                              </pic:nvPicPr>
                              <pic:blipFill>
                                <a:blip r:embed="rId13"/>
                                <a:stretch>
                                  <a:fillRect/>
                                </a:stretch>
                              </pic:blipFill>
                              <pic:spPr>
                                <a:xfrm>
                                  <a:off x="0" y="0"/>
                                  <a:ext cx="642505" cy="746049"/>
                                </a:xfrm>
                                <a:prstGeom prst="rect">
                                  <a:avLst/>
                                </a:prstGeom>
                              </pic:spPr>
                            </pic:pic>
                          </a:graphicData>
                        </a:graphic>
                      </wp:inline>
                    </w:drawing>
                  </w:r>
                  <w:r>
                    <w:drawing>
                      <wp:inline distT="0" distR="0" distB="0" distL="0">
                        <wp:extent cx="642505" cy="720542"/>
                        <wp:docPr id="8" name="Drawing 8" descr="img"/>
                        <a:graphic xmlns:a="http://schemas.openxmlformats.org/drawingml/2006/main">
                          <a:graphicData uri="http://schemas.openxmlformats.org/drawingml/2006/picture">
                            <pic:pic xmlns:pic="http://schemas.openxmlformats.org/drawingml/2006/picture">
                              <pic:nvPicPr>
                                <pic:cNvPr id="0" name="Picture 8" descr="img"/>
                                <pic:cNvPicPr>
                                  <a:picLocks noChangeAspect="true"/>
                                </pic:cNvPicPr>
                              </pic:nvPicPr>
                              <pic:blipFill>
                                <a:blip r:embed="rId14"/>
                                <a:stretch>
                                  <a:fillRect/>
                                </a:stretch>
                              </pic:blipFill>
                              <pic:spPr>
                                <a:xfrm>
                                  <a:off x="0" y="0"/>
                                  <a:ext cx="642505" cy="720542"/>
                                </a:xfrm>
                                <a:prstGeom prst="rect">
                                  <a:avLst/>
                                </a:prstGeom>
                              </pic:spPr>
                            </pic:pic>
                          </a:graphicData>
                        </a:graphic>
                      </wp:inline>
                    </w:drawing>
                  </w:r>
                </w:p>
              </w:tc>
            </w:tr>
            <w:tr>
              <w:tc>
                <w:tcPr>
                  <w:tcW w:type="dxa" w:w="2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9</w:t>
                  </w:r>
                </w:p>
              </w:tc>
              <w:tc>
                <w:tcPr>
                  <w:tcW w:type="dxa" w:w="2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大楼</w:t>
                  </w:r>
                </w:p>
              </w:tc>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讲台</w:t>
                  </w:r>
                </w:p>
              </w:tc>
              <w:tc>
                <w:tcPr>
                  <w:tcW w:type="dxa" w:w="17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drawing>
                      <wp:inline distT="0" distR="0" distB="0" distL="0">
                        <wp:extent cx="642505" cy="442614"/>
                        <wp:docPr id="9" name="Drawing 9" descr="img"/>
                        <a:graphic xmlns:a="http://schemas.openxmlformats.org/drawingml/2006/main">
                          <a:graphicData uri="http://schemas.openxmlformats.org/drawingml/2006/picture">
                            <pic:pic xmlns:pic="http://schemas.openxmlformats.org/drawingml/2006/picture">
                              <pic:nvPicPr>
                                <pic:cNvPr id="0" name="Picture 9" descr="img"/>
                                <pic:cNvPicPr>
                                  <a:picLocks noChangeAspect="true"/>
                                </pic:cNvPicPr>
                              </pic:nvPicPr>
                              <pic:blipFill>
                                <a:blip r:embed="rId15"/>
                                <a:stretch>
                                  <a:fillRect/>
                                </a:stretch>
                              </pic:blipFill>
                              <pic:spPr>
                                <a:xfrm>
                                  <a:off x="0" y="0"/>
                                  <a:ext cx="642505" cy="442614"/>
                                </a:xfrm>
                                <a:prstGeom prst="rect">
                                  <a:avLst/>
                                </a:prstGeom>
                              </pic:spPr>
                            </pic:pic>
                          </a:graphicData>
                        </a:graphic>
                      </wp:inline>
                    </w:drawing>
                  </w:r>
                  <w:r>
                    <w:drawing>
                      <wp:inline distT="0" distR="0" distB="0" distL="0">
                        <wp:extent cx="642505" cy="427386"/>
                        <wp:docPr id="10" name="Drawing 10" descr="img"/>
                        <a:graphic xmlns:a="http://schemas.openxmlformats.org/drawingml/2006/main">
                          <a:graphicData uri="http://schemas.openxmlformats.org/drawingml/2006/picture">
                            <pic:pic xmlns:pic="http://schemas.openxmlformats.org/drawingml/2006/picture">
                              <pic:nvPicPr>
                                <pic:cNvPr id="0" name="Picture 10" descr="img"/>
                                <pic:cNvPicPr>
                                  <a:picLocks noChangeAspect="true"/>
                                </pic:cNvPicPr>
                              </pic:nvPicPr>
                              <pic:blipFill>
                                <a:blip r:embed="rId16"/>
                                <a:stretch>
                                  <a:fillRect/>
                                </a:stretch>
                              </pic:blipFill>
                              <pic:spPr>
                                <a:xfrm>
                                  <a:off x="0" y="0"/>
                                  <a:ext cx="642505" cy="427386"/>
                                </a:xfrm>
                                <a:prstGeom prst="rect">
                                  <a:avLst/>
                                </a:prstGeom>
                              </pic:spPr>
                            </pic:pic>
                          </a:graphicData>
                        </a:graphic>
                      </wp:inline>
                    </w:drawing>
                  </w:r>
                </w:p>
                <w:p>
                  <w:pPr>
                    <w:pStyle w:val="null3"/>
                    <w:jc w:val="both"/>
                  </w:pPr>
                  <w:r>
                    <w:rPr>
                      <w:rFonts w:ascii="仿宋_GB2312" w:hAnsi="仿宋_GB2312" w:cs="仿宋_GB2312" w:eastAsia="仿宋_GB2312"/>
                      <w:sz w:val="21"/>
                    </w:rPr>
                    <w:t>参考图样</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560"/>
              <w:jc w:val="left"/>
            </w:pPr>
            <w:r>
              <w:rPr>
                <w:rFonts w:ascii="仿宋_GB2312" w:hAnsi="仿宋_GB2312" w:cs="仿宋_GB2312" w:eastAsia="仿宋_GB2312"/>
              </w:rPr>
              <w:t>南阶1-3层座椅维修示意（标注内容详见采购清单）</w:t>
            </w:r>
          </w:p>
          <w:tbl>
            <w:tblPr>
              <w:tblBorders>
                <w:top w:val="single"/>
                <w:left w:val="single"/>
                <w:bottom w:val="single"/>
                <w:right w:val="single"/>
                <w:insideH w:val="single"/>
                <w:insideV w:val="single"/>
              </w:tblBorders>
            </w:tblPr>
            <w:tblGrid>
              <w:gridCol w:w="2553"/>
            </w:tblGrid>
            <w:tr>
              <w:tc>
                <w:tcPr>
                  <w:tcW w:type="dxa" w:w="2553"/>
                </w:tcPr>
                <w:p>
                  <w:pPr>
                    <w:pStyle w:val="null3"/>
                  </w:pPr>
                  <w:r>
                    <w:drawing>
                      <wp:inline distT="0" distR="0" distB="0" distL="0">
                        <wp:extent cx="1483995" cy="1100403"/>
                        <wp:docPr id="11" name="Drawing 11" descr="img"/>
                        <a:graphic xmlns:a="http://schemas.openxmlformats.org/drawingml/2006/main">
                          <a:graphicData uri="http://schemas.openxmlformats.org/drawingml/2006/picture">
                            <pic:pic xmlns:pic="http://schemas.openxmlformats.org/drawingml/2006/picture">
                              <pic:nvPicPr>
                                <pic:cNvPr id="0" name="Picture 11" descr="img"/>
                                <pic:cNvPicPr>
                                  <a:picLocks noChangeAspect="true"/>
                                </pic:cNvPicPr>
                              </pic:nvPicPr>
                              <pic:blipFill>
                                <a:blip r:embed="rId17"/>
                                <a:stretch>
                                  <a:fillRect/>
                                </a:stretch>
                              </pic:blipFill>
                              <pic:spPr>
                                <a:xfrm>
                                  <a:off x="0" y="0"/>
                                  <a:ext cx="1483995" cy="1100403"/>
                                </a:xfrm>
                                <a:prstGeom prst="rect">
                                  <a:avLst/>
                                </a:prstGeom>
                              </pic:spPr>
                            </pic:pic>
                          </a:graphicData>
                        </a:graphic>
                      </wp:inline>
                    </w:drawing>
                  </w:r>
                </w:p>
              </w:tc>
            </w:tr>
            <w:tr>
              <w:tc>
                <w:tcPr>
                  <w:tcW w:type="dxa" w:w="2553"/>
                </w:tcPr>
                <w:p>
                  <w:pPr>
                    <w:pStyle w:val="null3"/>
                  </w:pPr>
                  <w:r>
                    <w:drawing>
                      <wp:inline distT="0" distR="0" distB="0" distL="0">
                        <wp:extent cx="1483995" cy="958156"/>
                        <wp:docPr id="12" name="Drawing 12" descr="img"/>
                        <a:graphic xmlns:a="http://schemas.openxmlformats.org/drawingml/2006/main">
                          <a:graphicData uri="http://schemas.openxmlformats.org/drawingml/2006/picture">
                            <pic:pic xmlns:pic="http://schemas.openxmlformats.org/drawingml/2006/picture">
                              <pic:nvPicPr>
                                <pic:cNvPr id="0" name="Picture 12" descr="img"/>
                                <pic:cNvPicPr>
                                  <a:picLocks noChangeAspect="true"/>
                                </pic:cNvPicPr>
                              </pic:nvPicPr>
                              <pic:blipFill>
                                <a:blip r:embed="rId18"/>
                                <a:stretch>
                                  <a:fillRect/>
                                </a:stretch>
                              </pic:blipFill>
                              <pic:spPr>
                                <a:xfrm>
                                  <a:off x="0" y="0"/>
                                  <a:ext cx="1483995" cy="958156"/>
                                </a:xfrm>
                                <a:prstGeom prst="rect">
                                  <a:avLst/>
                                </a:prstGeom>
                              </pic:spPr>
                            </pic:pic>
                          </a:graphicData>
                        </a:graphic>
                      </wp:inline>
                    </w:drawing>
                  </w:r>
                </w:p>
              </w:tc>
            </w:tr>
            <w:tr>
              <w:tc>
                <w:tcPr>
                  <w:tcW w:type="dxa" w:w="2553"/>
                </w:tcPr>
                <w:p>
                  <w:pPr>
                    <w:pStyle w:val="null3"/>
                  </w:pPr>
                  <w:r>
                    <w:drawing>
                      <wp:inline distT="0" distR="0" distB="0" distL="0">
                        <wp:extent cx="1483995" cy="967097"/>
                        <wp:docPr id="13" name="Drawing 13" descr="img"/>
                        <a:graphic xmlns:a="http://schemas.openxmlformats.org/drawingml/2006/main">
                          <a:graphicData uri="http://schemas.openxmlformats.org/drawingml/2006/picture">
                            <pic:pic xmlns:pic="http://schemas.openxmlformats.org/drawingml/2006/picture">
                              <pic:nvPicPr>
                                <pic:cNvPr id="0" name="Picture 13" descr="img"/>
                                <pic:cNvPicPr>
                                  <a:picLocks noChangeAspect="true"/>
                                </pic:cNvPicPr>
                              </pic:nvPicPr>
                              <pic:blipFill>
                                <a:blip r:embed="rId19"/>
                                <a:stretch>
                                  <a:fillRect/>
                                </a:stretch>
                              </pic:blipFill>
                              <pic:spPr>
                                <a:xfrm>
                                  <a:off x="0" y="0"/>
                                  <a:ext cx="1483995" cy="967097"/>
                                </a:xfrm>
                                <a:prstGeom prst="rect">
                                  <a:avLst/>
                                </a:prstGeom>
                              </pic:spPr>
                            </pic:pic>
                          </a:graphicData>
                        </a:graphic>
                      </wp:inline>
                    </w:drawing>
                  </w:r>
                </w:p>
              </w:tc>
            </w:tr>
          </w:tbl>
          <w:p>
            <w:pPr>
              <w:pStyle w:val="null3"/>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满足采购方要求和合同约定</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满足采购方要求和合同约定</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1、培训要求：维修服务结束后，项目质保期以内，供货商需对校内物业服务维修人员组织不低于十人次的专项培训，频率不得低于1次/年。 2、各供应商应根据“陕西省财政厅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服务期：45日历天，根据项目实际需求及使用单位要求确定；质保期：本项目验收合格通过之日起贰年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西安建筑科技大学雁塔校区北院</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 ，服务验收合格后经审计部门或其委托有工程造价咨询资质的机构审定结算后，缴纳施工水电费后，支付至审定结算价的100%；但在国家规定的保修期限内，保修责任仍由承包人继续承担</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施工结束后提供具有CMA/CNAS资格的第三方检测机构出具的空气质量检测报告(提供承诺函)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投标主体</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提供2024年6月以来任意一个月的依法缴纳税收的相关凭据（时间以税款所属日期为准），凭据应有税务机关或代收机关的公章或业务专用章。依法免税或无须缴纳税收的供应商，应提供相应证明文件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提供2024年6月以来任意一个月的社会保障资金缴存单据或社保机构开具的社会保险参保缴费情况证明。依法不需要缴纳社会保障资金的供应商应提供相关文件证明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本项目是否接受联合体磋商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中小企业申明函</w:t>
            </w:r>
          </w:p>
        </w:tc>
        <w:tc>
          <w:tcPr>
            <w:tcW w:type="dxa" w:w="3322"/>
          </w:tcPr>
          <w:p>
            <w:pPr>
              <w:pStyle w:val="null3"/>
            </w:pPr>
            <w:r>
              <w:rPr>
                <w:rFonts w:ascii="仿宋_GB2312" w:hAnsi="仿宋_GB2312" w:cs="仿宋_GB2312" w:eastAsia="仿宋_GB2312"/>
              </w:rPr>
              <w:t>提供中小企业声明函（本项目为专门面向中小微企业采购）。</w:t>
            </w:r>
          </w:p>
        </w:tc>
        <w:tc>
          <w:tcPr>
            <w:tcW w:type="dxa" w:w="1661"/>
          </w:tcPr>
          <w:p>
            <w:pPr>
              <w:pStyle w:val="null3"/>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报价是否超过采购预算或最高限价</w:t>
            </w:r>
          </w:p>
        </w:tc>
        <w:tc>
          <w:tcPr>
            <w:tcW w:type="dxa" w:w="1661"/>
          </w:tcPr>
          <w:p>
            <w:pPr>
              <w:pStyle w:val="null3"/>
            </w:pPr>
            <w:r>
              <w:rPr>
                <w:rFonts w:ascii="仿宋_GB2312" w:hAnsi="仿宋_GB2312" w:cs="仿宋_GB2312" w:eastAsia="仿宋_GB2312"/>
              </w:rPr>
              <w:t>分项报价表.docx 供应商磋商一览表.docx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商务应答表 供应商磋商一览表.docx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是否满足磋商文件要求</w:t>
            </w:r>
          </w:p>
        </w:tc>
        <w:tc>
          <w:tcPr>
            <w:tcW w:type="dxa" w:w="1661"/>
          </w:tcPr>
          <w:p>
            <w:pPr>
              <w:pStyle w:val="null3"/>
            </w:pPr>
            <w:r>
              <w:rPr>
                <w:rFonts w:ascii="仿宋_GB2312" w:hAnsi="仿宋_GB2312" w:cs="仿宋_GB2312" w:eastAsia="仿宋_GB2312"/>
              </w:rPr>
              <w:t>商务应答表 供应商磋商一览表.docx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文件的签署、盖章</w:t>
            </w:r>
          </w:p>
        </w:tc>
        <w:tc>
          <w:tcPr>
            <w:tcW w:type="dxa" w:w="3322"/>
          </w:tcPr>
          <w:p>
            <w:pPr>
              <w:pStyle w:val="null3"/>
            </w:pPr>
            <w:r>
              <w:rPr>
                <w:rFonts w:ascii="仿宋_GB2312" w:hAnsi="仿宋_GB2312" w:cs="仿宋_GB2312" w:eastAsia="仿宋_GB2312"/>
              </w:rPr>
              <w:t>文件的签署、盖章满足磋商文件要求</w:t>
            </w:r>
          </w:p>
        </w:tc>
        <w:tc>
          <w:tcPr>
            <w:tcW w:type="dxa" w:w="1661"/>
          </w:tcPr>
          <w:p>
            <w:pPr>
              <w:pStyle w:val="null3"/>
            </w:pPr>
            <w:r>
              <w:rPr>
                <w:rFonts w:ascii="仿宋_GB2312" w:hAnsi="仿宋_GB2312" w:cs="仿宋_GB2312" w:eastAsia="仿宋_GB2312"/>
              </w:rPr>
              <w:t>业绩一览表.docx 磋商保证金.docx 节能环保.docx 人员配备.docx 商务应答表 供应商磋商一览表.docx 报价表 项目实施方案.docx 分项报价表.docx 供应商应提交的相关资格证明材料.docx 标的清单 主材.docx 提供具有CMA或CNAS资格的第三方检测机构出具的空气质量检测报告的承诺函.docx 监狱企业的证明文件 服务内容及服务邀请应答表 中小企业声明函 供货实施方案.docx 响应文件封面 技术培训.docx 项目负责人.docx 现场环保措施及维护措施及垃圾清运措施.docx 残疾人福利性单位声明函 项目实施进度计划.docx 供应商认为有必要说明的其他问题.docx 产品技术参数表.docx 响应函 陕西省政府采购供应商拒绝政府采购领域商业贿赂承诺书.docx 保修承诺.docx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磋商有效期是否满足磋商文件要求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是否按规定缴纳磋商保证金</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是否有采购人不能接受的附加条件</w:t>
            </w:r>
          </w:p>
        </w:tc>
        <w:tc>
          <w:tcPr>
            <w:tcW w:type="dxa" w:w="1661"/>
          </w:tcPr>
          <w:p>
            <w:pPr>
              <w:pStyle w:val="null3"/>
            </w:pPr>
            <w:r>
              <w:rPr>
                <w:rFonts w:ascii="仿宋_GB2312" w:hAnsi="仿宋_GB2312" w:cs="仿宋_GB2312" w:eastAsia="仿宋_GB2312"/>
              </w:rPr>
              <w:t>服务内容及服务邀请应答表 商务应答表 供应商认为有必要说明的其他问题.docx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是否有存在法律、法规和招标文件规定的其他无效情形</w:t>
            </w:r>
          </w:p>
        </w:tc>
        <w:tc>
          <w:tcPr>
            <w:tcW w:type="dxa" w:w="1661"/>
          </w:tcPr>
          <w:p>
            <w:pPr>
              <w:pStyle w:val="null3"/>
            </w:pPr>
            <w:r>
              <w:rPr>
                <w:rFonts w:ascii="仿宋_GB2312" w:hAnsi="仿宋_GB2312" w:cs="仿宋_GB2312" w:eastAsia="仿宋_GB2312"/>
              </w:rPr>
              <w:t>商务应答表 陕西省政府采购供应商拒绝政府采购领域商业贿赂承诺书.docx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施工结束后提供具有CMA/CNAS资格的第三方检测机构出具的空气质量检测报告</w:t>
            </w:r>
          </w:p>
        </w:tc>
        <w:tc>
          <w:tcPr>
            <w:tcW w:type="dxa" w:w="1661"/>
          </w:tcPr>
          <w:p>
            <w:pPr>
              <w:pStyle w:val="null3"/>
            </w:pPr>
            <w:r>
              <w:rPr>
                <w:rFonts w:ascii="仿宋_GB2312" w:hAnsi="仿宋_GB2312" w:cs="仿宋_GB2312" w:eastAsia="仿宋_GB2312"/>
              </w:rPr>
              <w:t>提供具有CMA或CNAS资格的第三方检测机构出具的空气质量检测报告的承诺函.docx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1、针对本项目有详细的实施方案，从①刮痕、②开裂、③掉漆、④五金损坏、⑤表面无损、⑥结构松动等，完全响应提供上述维修方案得12分；某一项不完整或与实际需求不符或不满足要求或与本项目需求不切合或直接套用其他项目内容的扣1分，每缺少一项扣2分，扣完为止。未提供不得分。 2、针对不同的材质包括但不限于①实木②板材③金属④塑料的修复方案，提供相关证明材料（如：修复前后对比图，相关工艺阐述），完全响应提供上述维修方案得8分；某一项不完整或与实际需求不符或不满足要求或与本项目需求不切合或直接套用其他项目内容的扣1分，每缺少一项扣2分，扣完为止。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项目实施进度计划表或网络图和各阶段进度的保证措施及违约责任承诺： 针对本项目有详细的项目实施进度计划，须提供①项目实施进度计划表、②各阶段进度的保证措施、③违约责任承诺等，完全响应提供上述维修方案得6分；某一项不完整或与实际需求不符或不满足要求或与本项目需求不切合或直接套用其他项目内容的扣1分，每缺少一项扣2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项目实施进度计划.docx</w:t>
            </w:r>
          </w:p>
        </w:tc>
      </w:tr>
      <w:tr>
        <w:tc>
          <w:tcPr>
            <w:tcW w:type="dxa" w:w="831"/>
            <w:vMerge/>
          </w:tcPr>
          <w:p/>
        </w:tc>
        <w:tc>
          <w:tcPr>
            <w:tcW w:type="dxa" w:w="1661"/>
          </w:tcPr>
          <w:p>
            <w:pPr>
              <w:pStyle w:val="null3"/>
            </w:pPr>
            <w:r>
              <w:rPr>
                <w:rFonts w:ascii="仿宋_GB2312" w:hAnsi="仿宋_GB2312" w:cs="仿宋_GB2312" w:eastAsia="仿宋_GB2312"/>
              </w:rPr>
              <w:t>现场环保措施、维护措施及垃圾清运措施</w:t>
            </w:r>
          </w:p>
        </w:tc>
        <w:tc>
          <w:tcPr>
            <w:tcW w:type="dxa" w:w="2492"/>
          </w:tcPr>
          <w:p>
            <w:pPr>
              <w:pStyle w:val="null3"/>
            </w:pPr>
            <w:r>
              <w:rPr>
                <w:rFonts w:ascii="仿宋_GB2312" w:hAnsi="仿宋_GB2312" w:cs="仿宋_GB2312" w:eastAsia="仿宋_GB2312"/>
              </w:rPr>
              <w:t>现场环保措施、维护措施及垃圾清运措施： ①现场环保措施、维护措施及垃圾清运措施具体、完整、可行计3分； ②现场环保措施、维护措施及垃圾清运措施较具体、较完整、可行一般计2分； ③现场环保措施、维护措施及垃圾清运措施基本满足采购需求计1分； ④未提供不得分。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现场环保措施及维护措施及垃圾清运措施.docx</w:t>
            </w:r>
          </w:p>
        </w:tc>
      </w:tr>
      <w:tr>
        <w:tc>
          <w:tcPr>
            <w:tcW w:type="dxa" w:w="831"/>
            <w:vMerge/>
          </w:tcPr>
          <w:p/>
        </w:tc>
        <w:tc>
          <w:tcPr>
            <w:tcW w:type="dxa" w:w="1661"/>
          </w:tcPr>
          <w:p>
            <w:pPr>
              <w:pStyle w:val="null3"/>
            </w:pPr>
            <w:r>
              <w:rPr>
                <w:rFonts w:ascii="仿宋_GB2312" w:hAnsi="仿宋_GB2312" w:cs="仿宋_GB2312" w:eastAsia="仿宋_GB2312"/>
              </w:rPr>
              <w:t>主材</w:t>
            </w:r>
          </w:p>
        </w:tc>
        <w:tc>
          <w:tcPr>
            <w:tcW w:type="dxa" w:w="2492"/>
          </w:tcPr>
          <w:p>
            <w:pPr>
              <w:pStyle w:val="null3"/>
            </w:pPr>
            <w:r>
              <w:rPr>
                <w:rFonts w:ascii="仿宋_GB2312" w:hAnsi="仿宋_GB2312" w:cs="仿宋_GB2312" w:eastAsia="仿宋_GB2312"/>
              </w:rPr>
              <w:t>提供所投①挡板②背板③桌板④桌斗底板⑤加强筋的技术参数证明资料。证明材料包括但不限于（产品彩页、检测报告、说明书等，其中桌斗底板和加强筋还需提供静电塑粉喷涂的证明材料。） 完全满足得15分，每缺少一项或不符要求扣3分，扣完为止。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p>
            <w:pPr>
              <w:pStyle w:val="null3"/>
            </w:pPr>
            <w:r>
              <w:rPr>
                <w:rFonts w:ascii="仿宋_GB2312" w:hAnsi="仿宋_GB2312" w:cs="仿宋_GB2312" w:eastAsia="仿宋_GB2312"/>
              </w:rPr>
              <w:t>主材.docx</w:t>
            </w:r>
          </w:p>
        </w:tc>
      </w:tr>
      <w:tr>
        <w:tc>
          <w:tcPr>
            <w:tcW w:type="dxa" w:w="831"/>
            <w:vMerge/>
          </w:tcPr>
          <w:p/>
        </w:tc>
        <w:tc>
          <w:tcPr>
            <w:tcW w:type="dxa" w:w="1661"/>
          </w:tcPr>
          <w:p>
            <w:pPr>
              <w:pStyle w:val="null3"/>
            </w:pPr>
            <w:r>
              <w:rPr>
                <w:rFonts w:ascii="仿宋_GB2312" w:hAnsi="仿宋_GB2312" w:cs="仿宋_GB2312" w:eastAsia="仿宋_GB2312"/>
              </w:rPr>
              <w:t>供货实施方案</w:t>
            </w:r>
          </w:p>
        </w:tc>
        <w:tc>
          <w:tcPr>
            <w:tcW w:type="dxa" w:w="2492"/>
          </w:tcPr>
          <w:p>
            <w:pPr>
              <w:pStyle w:val="null3"/>
            </w:pPr>
            <w:r>
              <w:rPr>
                <w:rFonts w:ascii="仿宋_GB2312" w:hAnsi="仿宋_GB2312" w:cs="仿宋_GB2312" w:eastAsia="仿宋_GB2312"/>
              </w:rPr>
              <w:t>供货实施方案：针对本项目有详细的人员组织安排：责任分工明确，从①供货、②安装、③调配、④制作、⑤派送有保障，保证项目按期完工达到验收标准，完全响应提供上述内容的得5分；某一项不完整或与实际需求不符或不满足要求或与本项目需求不切合或直接套用其他项目内容的扣0.5分，每缺少一项扣1分，扣完为止。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供货实施方案.docx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拟派项目负责人专业性、经验、资历（包括但不限于业绩合同、第三方证明材料）等情况综合评审得2分；提供不全得1分；未提供不得分。 注：需提供项目负责人在本单位的就职证明材料（社保或劳动合同等）以上证明材料以加盖供应商公章的证明材料复印件为计分依据。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项目负责人.docx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项目组人员配置、岗位设置（包括但不限于木工、钣金工、油漆工等）、职责分工与采购需求的契合明确合理等因素，横向比较综合评分（1-4）分，未提供不得分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人员配备.docx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供应商所投产品中每有一项为节能产品或每有一项为环境标志产品的得0.5分，最多得1分。（须提供相应产品的国家确定的认证机构出具的、处于有效期内的节能产品、环境标志产品认证证书）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节能环保.docx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针对本项目①施工服务配合承诺②承诺质保期内的保修内容③承诺质保期内维修时效性服务承诺，完全响应计3分，某一项不完整或与实际需求不符或不满足要求或与本项目需求不切合或直接套用其他项目内容的扣0.5分，每缺少一项扣1分，扣完为止；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保修承诺.docx</w:t>
            </w:r>
          </w:p>
        </w:tc>
      </w:tr>
      <w:tr>
        <w:tc>
          <w:tcPr>
            <w:tcW w:type="dxa" w:w="831"/>
            <w:vMerge/>
          </w:tcPr>
          <w:p/>
        </w:tc>
        <w:tc>
          <w:tcPr>
            <w:tcW w:type="dxa" w:w="1661"/>
          </w:tcPr>
          <w:p>
            <w:pPr>
              <w:pStyle w:val="null3"/>
            </w:pPr>
            <w:r>
              <w:rPr>
                <w:rFonts w:ascii="仿宋_GB2312" w:hAnsi="仿宋_GB2312" w:cs="仿宋_GB2312" w:eastAsia="仿宋_GB2312"/>
              </w:rPr>
              <w:t>技术培训</w:t>
            </w:r>
          </w:p>
        </w:tc>
        <w:tc>
          <w:tcPr>
            <w:tcW w:type="dxa" w:w="2492"/>
          </w:tcPr>
          <w:p>
            <w:pPr>
              <w:pStyle w:val="null3"/>
            </w:pPr>
            <w:r>
              <w:rPr>
                <w:rFonts w:ascii="仿宋_GB2312" w:hAnsi="仿宋_GB2312" w:cs="仿宋_GB2312" w:eastAsia="仿宋_GB2312"/>
              </w:rPr>
              <w:t>提供切实可行的培训计划，能够根据采购人要求制定培训方案，使采购人维修人员通过培训能够进行简单的维修操作，并有完整的培训方案，列出详细的：①培训内容（应包括操作维护方法、安装调试等各个方面）②培训方式等说明(包括培训人数、培训时间、培训内容、效果评价等)。完全满足得4分，某一项不完整或与实际需求不符或不满足要求或与本项目需求不切合或直接套用其他项目内容的扣1分，每缺少一项扣2分，扣完为止；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技术培训.docx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在满足基本商务条款的情况下，服务期每提前5天计0.5分，最多计1分。质保期每延长1年计0.5分，最多得1分。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供应商磋商一览表.docx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提供供应商2022年1月1日至今同类项目合同(以合同签订日期为准)，每提供1个得1分，最高得5分。 备注：磋商文件中提供包括但不限于合同复印件加盖公章。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 即满足招标文件要求且投标价格最低的投标报价为评标基准价，其价格分为满分。其他供应商的价格分统一按照下列公式计算：价格分= (评标基准价／投标报价)×报价分值 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详见附件：供应商磋商一览表.docx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详见附件：项目实施进度计划.docx</w:t>
      </w:r>
    </w:p>
    <w:p>
      <w:pPr>
        <w:pStyle w:val="null3"/>
        <w:ind w:firstLine="960"/>
      </w:pPr>
      <w:r>
        <w:rPr>
          <w:rFonts w:ascii="仿宋_GB2312" w:hAnsi="仿宋_GB2312" w:cs="仿宋_GB2312" w:eastAsia="仿宋_GB2312"/>
        </w:rPr>
        <w:t>详见附件：现场环保措施及维护措施及垃圾清运措施.docx</w:t>
      </w:r>
    </w:p>
    <w:p>
      <w:pPr>
        <w:pStyle w:val="null3"/>
        <w:ind w:firstLine="960"/>
      </w:pPr>
      <w:r>
        <w:rPr>
          <w:rFonts w:ascii="仿宋_GB2312" w:hAnsi="仿宋_GB2312" w:cs="仿宋_GB2312" w:eastAsia="仿宋_GB2312"/>
        </w:rPr>
        <w:t>详见附件：主材.docx</w:t>
      </w:r>
    </w:p>
    <w:p>
      <w:pPr>
        <w:pStyle w:val="null3"/>
        <w:ind w:firstLine="960"/>
      </w:pPr>
      <w:r>
        <w:rPr>
          <w:rFonts w:ascii="仿宋_GB2312" w:hAnsi="仿宋_GB2312" w:cs="仿宋_GB2312" w:eastAsia="仿宋_GB2312"/>
        </w:rPr>
        <w:t>详见附件：供货实施方案.docx</w:t>
      </w:r>
    </w:p>
    <w:p>
      <w:pPr>
        <w:pStyle w:val="null3"/>
        <w:ind w:firstLine="960"/>
      </w:pPr>
      <w:r>
        <w:rPr>
          <w:rFonts w:ascii="仿宋_GB2312" w:hAnsi="仿宋_GB2312" w:cs="仿宋_GB2312" w:eastAsia="仿宋_GB2312"/>
        </w:rPr>
        <w:t>详见附件：项目负责人.docx</w:t>
      </w:r>
    </w:p>
    <w:p>
      <w:pPr>
        <w:pStyle w:val="null3"/>
        <w:ind w:firstLine="960"/>
      </w:pPr>
      <w:r>
        <w:rPr>
          <w:rFonts w:ascii="仿宋_GB2312" w:hAnsi="仿宋_GB2312" w:cs="仿宋_GB2312" w:eastAsia="仿宋_GB2312"/>
        </w:rPr>
        <w:t>详见附件：人员配备.docx</w:t>
      </w:r>
    </w:p>
    <w:p>
      <w:pPr>
        <w:pStyle w:val="null3"/>
        <w:ind w:firstLine="960"/>
      </w:pPr>
      <w:r>
        <w:rPr>
          <w:rFonts w:ascii="仿宋_GB2312" w:hAnsi="仿宋_GB2312" w:cs="仿宋_GB2312" w:eastAsia="仿宋_GB2312"/>
        </w:rPr>
        <w:t>详见附件：保修承诺.docx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详见附件：节能环保.docx</w:t>
      </w:r>
    </w:p>
    <w:p>
      <w:pPr>
        <w:pStyle w:val="null3"/>
        <w:ind w:firstLine="960"/>
      </w:pPr>
      <w:r>
        <w:rPr>
          <w:rFonts w:ascii="仿宋_GB2312" w:hAnsi="仿宋_GB2312" w:cs="仿宋_GB2312" w:eastAsia="仿宋_GB2312"/>
        </w:rPr>
        <w:t>详见附件：技术培训.docx</w:t>
      </w:r>
    </w:p>
    <w:p>
      <w:pPr>
        <w:pStyle w:val="null3"/>
        <w:ind w:firstLine="960"/>
      </w:pPr>
      <w:r>
        <w:rPr>
          <w:rFonts w:ascii="仿宋_GB2312" w:hAnsi="仿宋_GB2312" w:cs="仿宋_GB2312" w:eastAsia="仿宋_GB2312"/>
        </w:rPr>
        <w:t>详见附件：提供具有CMA或CNAS资格的第三方检测机构出具的空气质量检测报告的承诺函.docx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10" Target="media/image4.png" Type="http://schemas.openxmlformats.org/officeDocument/2006/relationships/image"/><Relationship Id="rId11" Target="media/image5.png" Type="http://schemas.openxmlformats.org/officeDocument/2006/relationships/image"/><Relationship Id="rId12" Target="media/image6.png" Type="http://schemas.openxmlformats.org/officeDocument/2006/relationships/image"/><Relationship Id="rId13" Target="media/image7.png" Type="http://schemas.openxmlformats.org/officeDocument/2006/relationships/image"/><Relationship Id="rId14" Target="media/image8.png" Type="http://schemas.openxmlformats.org/officeDocument/2006/relationships/image"/><Relationship Id="rId15" Target="media/image9.png" Type="http://schemas.openxmlformats.org/officeDocument/2006/relationships/image"/><Relationship Id="rId16" Target="media/image10.png" Type="http://schemas.openxmlformats.org/officeDocument/2006/relationships/image"/><Relationship Id="rId17" Target="media/image11.png" Type="http://schemas.openxmlformats.org/officeDocument/2006/relationships/image"/><Relationship Id="rId18" Target="media/image12.png" Type="http://schemas.openxmlformats.org/officeDocument/2006/relationships/image"/><Relationship Id="rId19" Target="media/image13.png" Type="http://schemas.openxmlformats.org/officeDocument/2006/relationships/image"/><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 Id="rId7" Target="media/image1.png" Type="http://schemas.openxmlformats.org/officeDocument/2006/relationships/image"/><Relationship Id="rId8" Target="media/image2.png" Type="http://schemas.openxmlformats.org/officeDocument/2006/relationships/image"/><Relationship Id="rId9" Target="media/image3.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