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版本号：SXXZ-CS-20250600220250708001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国外专利（技术）文献资料翻译项目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SXXZ-CS-202506002</w:t>
      </w:r>
      <w:r>
        <w:br/>
      </w:r>
      <w:r>
        <w:br/>
      </w:r>
      <w:r>
        <w:br/>
      </w:r>
    </w:p>
    <w:p>
      <w:pPr>
        <w:pStyle w:val="null3"/>
        <w:jc w:val="center"/>
        <w:outlineLvl w:val="2"/>
      </w:pPr>
      <w:r>
        <w:rPr>
          <w:rFonts w:ascii="仿宋_GB2312" w:hAnsi="仿宋_GB2312" w:cs="仿宋_GB2312" w:eastAsia="仿宋_GB2312"/>
          <w:sz w:val="28"/>
          <w:b/>
        </w:rPr>
        <w:t>陕西省知识产权保护中心</w:t>
      </w:r>
    </w:p>
    <w:p>
      <w:pPr>
        <w:pStyle w:val="null3"/>
        <w:jc w:val="center"/>
        <w:outlineLvl w:val="2"/>
      </w:pPr>
      <w:r>
        <w:rPr>
          <w:rFonts w:ascii="仿宋_GB2312" w:hAnsi="仿宋_GB2312" w:cs="仿宋_GB2312" w:eastAsia="仿宋_GB2312"/>
          <w:sz w:val="28"/>
          <w:b/>
        </w:rPr>
        <w:t>陕西晓筑项目管理有限公司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陕西晓筑项目管理有限公司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陕西省知识产权保护中心</w:t>
      </w:r>
      <w:r>
        <w:rPr>
          <w:rFonts w:ascii="仿宋_GB2312" w:hAnsi="仿宋_GB2312" w:cs="仿宋_GB2312" w:eastAsia="仿宋_GB2312"/>
        </w:rPr>
        <w:t>委托，拟对</w:t>
      </w:r>
      <w:r>
        <w:rPr>
          <w:rFonts w:ascii="仿宋_GB2312" w:hAnsi="仿宋_GB2312" w:cs="仿宋_GB2312" w:eastAsia="仿宋_GB2312"/>
        </w:rPr>
        <w:t>国外专利（技术）文献资料翻译项目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SXXZ-CS-202506002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国外专利（技术）文献资料翻译项目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拟对有价值的贸易制度中知识产权运用规则和典型案例、国外学术期刊资料、外文专利文献、商务等资料进行翻译(包括中英互译，中日互译，中俄互译，中法互译，中德互译，中韩互译等其他语种的翻译)。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采购包1（国外专利(技术)文献资料翻译项目）：属于专门面向中小企业采购。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1、本采购包专门面向中小企业采购：参与的供应商（联合体）服务全部由符合政策要求的中小企业承接。</w:t>
      </w:r>
    </w:p>
    <w:p>
      <w:pPr>
        <w:pStyle w:val="null3"/>
      </w:pPr>
      <w:r>
        <w:rPr>
          <w:rFonts w:ascii="仿宋_GB2312" w:hAnsi="仿宋_GB2312" w:cs="仿宋_GB2312" w:eastAsia="仿宋_GB2312"/>
        </w:rPr>
        <w:t>2、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p>
      <w:pPr>
        <w:pStyle w:val="null3"/>
      </w:pPr>
      <w:r>
        <w:rPr>
          <w:rFonts w:ascii="仿宋_GB2312" w:hAnsi="仿宋_GB2312" w:cs="仿宋_GB2312" w:eastAsia="仿宋_GB2312"/>
        </w:rPr>
        <w:t>3、信誉：投标人不得列入“中国执行信息公开网”网站被列为失 信被执行人、“信用中国”网站重大税收违法失信主体及“中国政府采购网”（http://www.ccgp.gov.cn/）政府采购严重违法失信行为记录名单。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西安市未央区沣东自贸新天地2A座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029-85719685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陕西晓筑项目管理有限公司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陕西省西安市市本级陕西省西安市曲江新区翠华路275号电信科学技术第四研究所院内30栋1层101室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029-89549424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国家发展改革委员会办公厅颁发的《关于招标代理服务收费有关问题的通知》（发改办价格[2003]857号）的标准收取，本项目最低收费8000.00元，不足捌仟按捌仟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陕西省知识产权保护中心</w:t>
      </w:r>
      <w:r>
        <w:rPr>
          <w:rFonts w:ascii="仿宋_GB2312" w:hAnsi="仿宋_GB2312" w:cs="仿宋_GB2312" w:eastAsia="仿宋_GB2312"/>
        </w:rPr>
        <w:t>和</w:t>
      </w:r>
      <w:r>
        <w:rPr>
          <w:rFonts w:ascii="仿宋_GB2312" w:hAnsi="仿宋_GB2312" w:cs="仿宋_GB2312" w:eastAsia="仿宋_GB2312"/>
        </w:rPr>
        <w:t>陕西晓筑项目管理有限公司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陕西晓筑项目管理有限公司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陕西晓筑项目管理有限公司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陕西晓筑项目管理有限公司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联系人：刘帅</w:t>
      </w:r>
    </w:p>
    <w:p>
      <w:pPr>
        <w:pStyle w:val="null3"/>
      </w:pPr>
      <w:r>
        <w:rPr>
          <w:rFonts w:ascii="仿宋_GB2312" w:hAnsi="仿宋_GB2312" w:cs="仿宋_GB2312" w:eastAsia="仿宋_GB2312"/>
        </w:rPr>
        <w:t>联系电话：029-89549424</w:t>
      </w:r>
    </w:p>
    <w:p>
      <w:pPr>
        <w:pStyle w:val="null3"/>
      </w:pPr>
      <w:r>
        <w:rPr>
          <w:rFonts w:ascii="仿宋_GB2312" w:hAnsi="仿宋_GB2312" w:cs="仿宋_GB2312" w:eastAsia="仿宋_GB2312"/>
        </w:rPr>
        <w:t>地址：陕西省西安市曲江新区275号电信科学技术第四研究所内30栋1层101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拟对有价值的贸易制度中知识产权运用规则和典型案例、国外学术期刊资料、外文专利文献、商务等资料进行翻译(包括中英互译，中日互译，中俄互译，中法互译，中德互译，中韩互译等其他语种的翻译)。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国外专利（技术）文献资料翻译项目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标的名称：国外专利（技术）文献资料翻译项目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（一）项目内容</w:t>
            </w:r>
          </w:p>
          <w:p>
            <w:pPr>
              <w:pStyle w:val="null3"/>
            </w:pPr>
            <w:r>
              <w:rPr>
                <w:rFonts w:ascii="仿宋_GB2312" w:hAnsi="仿宋_GB2312" w:cs="仿宋_GB2312" w:eastAsia="仿宋_GB2312"/>
              </w:rPr>
              <w:t>拟对有价值的贸易制度中知识产权运用规则</w:t>
            </w:r>
            <w:r>
              <w:rPr>
                <w:rFonts w:ascii="仿宋_GB2312" w:hAnsi="仿宋_GB2312" w:cs="仿宋_GB2312" w:eastAsia="仿宋_GB2312"/>
              </w:rPr>
              <w:t>和</w:t>
            </w:r>
            <w:r>
              <w:rPr>
                <w:rFonts w:ascii="仿宋_GB2312" w:hAnsi="仿宋_GB2312" w:cs="仿宋_GB2312" w:eastAsia="仿宋_GB2312"/>
              </w:rPr>
              <w:t>典型案例、国外学术期刊资料、外文专利文献、商务等资料进行翻译</w:t>
            </w:r>
            <w:r>
              <w:rPr>
                <w:rFonts w:ascii="仿宋_GB2312" w:hAnsi="仿宋_GB2312" w:cs="仿宋_GB2312" w:eastAsia="仿宋_GB2312"/>
              </w:rPr>
              <w:t>(</w:t>
            </w:r>
            <w:r>
              <w:rPr>
                <w:rFonts w:ascii="仿宋_GB2312" w:hAnsi="仿宋_GB2312" w:cs="仿宋_GB2312" w:eastAsia="仿宋_GB2312"/>
              </w:rPr>
              <w:t>包括中英互译，中日互译，中俄互译，中法互译，中德互译，中韩互译等其他语种的翻译</w:t>
            </w:r>
            <w:r>
              <w:rPr>
                <w:rFonts w:ascii="仿宋_GB2312" w:hAnsi="仿宋_GB2312" w:cs="仿宋_GB2312" w:eastAsia="仿宋_GB2312"/>
              </w:rPr>
              <w:t>)</w:t>
            </w:r>
            <w:r>
              <w:rPr>
                <w:rFonts w:ascii="仿宋_GB2312" w:hAnsi="仿宋_GB2312" w:cs="仿宋_GB2312" w:eastAsia="仿宋_GB2312"/>
              </w:rPr>
              <w:t>。</w:t>
            </w:r>
          </w:p>
          <w:p>
            <w:pPr>
              <w:pStyle w:val="null3"/>
            </w:pPr>
            <w:r>
              <w:rPr>
                <w:rFonts w:ascii="仿宋_GB2312" w:hAnsi="仿宋_GB2312" w:cs="仿宋_GB2312" w:eastAsia="仿宋_GB2312"/>
              </w:rPr>
              <w:t>预期目标（成果）</w:t>
            </w:r>
          </w:p>
          <w:p>
            <w:pPr>
              <w:pStyle w:val="null3"/>
            </w:pPr>
            <w:r>
              <w:rPr>
                <w:rFonts w:ascii="仿宋_GB2312" w:hAnsi="仿宋_GB2312" w:cs="仿宋_GB2312" w:eastAsia="仿宋_GB2312"/>
              </w:rPr>
              <w:t>高质量、高效率完成</w:t>
            </w:r>
            <w:r>
              <w:rPr>
                <w:rFonts w:ascii="仿宋_GB2312" w:hAnsi="仿宋_GB2312" w:cs="仿宋_GB2312" w:eastAsia="仿宋_GB2312"/>
              </w:rPr>
              <w:t>知识产权运用规则</w:t>
            </w:r>
            <w:r>
              <w:rPr>
                <w:rFonts w:ascii="仿宋_GB2312" w:hAnsi="仿宋_GB2312" w:cs="仿宋_GB2312" w:eastAsia="仿宋_GB2312"/>
              </w:rPr>
              <w:t>和</w:t>
            </w:r>
            <w:r>
              <w:rPr>
                <w:rFonts w:ascii="仿宋_GB2312" w:hAnsi="仿宋_GB2312" w:cs="仿宋_GB2312" w:eastAsia="仿宋_GB2312"/>
              </w:rPr>
              <w:t>典型案例</w:t>
            </w:r>
            <w:r>
              <w:rPr>
                <w:rFonts w:ascii="仿宋_GB2312" w:hAnsi="仿宋_GB2312" w:cs="仿宋_GB2312" w:eastAsia="仿宋_GB2312"/>
              </w:rPr>
              <w:t>、</w:t>
            </w:r>
            <w:r>
              <w:rPr>
                <w:rFonts w:ascii="仿宋_GB2312" w:hAnsi="仿宋_GB2312" w:cs="仿宋_GB2312" w:eastAsia="仿宋_GB2312"/>
              </w:rPr>
              <w:t>外文专利文献、商务等资料</w:t>
            </w:r>
            <w:r>
              <w:rPr>
                <w:rFonts w:ascii="仿宋_GB2312" w:hAnsi="仿宋_GB2312" w:cs="仿宋_GB2312" w:eastAsia="仿宋_GB2312"/>
              </w:rPr>
              <w:t>的原文收集及中外文翻译文本。</w:t>
            </w:r>
          </w:p>
          <w:p>
            <w:pPr>
              <w:pStyle w:val="null3"/>
            </w:pPr>
            <w:r>
              <w:rPr>
                <w:rFonts w:ascii="仿宋_GB2312" w:hAnsi="仿宋_GB2312" w:cs="仿宋_GB2312" w:eastAsia="仿宋_GB2312"/>
              </w:rPr>
              <w:t>项目要求</w:t>
            </w:r>
          </w:p>
          <w:p>
            <w:pPr>
              <w:pStyle w:val="null3"/>
            </w:pPr>
            <w:r>
              <w:rPr>
                <w:rFonts w:ascii="仿宋_GB2312" w:hAnsi="仿宋_GB2312" w:cs="仿宋_GB2312" w:eastAsia="仿宋_GB2312"/>
              </w:rPr>
              <w:t>1.</w:t>
            </w:r>
            <w:r>
              <w:rPr>
                <w:rFonts w:ascii="仿宋_GB2312" w:hAnsi="仿宋_GB2312" w:cs="仿宋_GB2312" w:eastAsia="仿宋_GB2312"/>
              </w:rPr>
              <w:t>质量要求</w:t>
            </w:r>
          </w:p>
          <w:p>
            <w:pPr>
              <w:pStyle w:val="null3"/>
            </w:pPr>
            <w:r>
              <w:rPr>
                <w:rFonts w:ascii="仿宋_GB2312" w:hAnsi="仿宋_GB2312" w:cs="仿宋_GB2312" w:eastAsia="仿宋_GB2312"/>
              </w:rPr>
              <w:t>严格按照国家法律法规</w:t>
            </w:r>
            <w:r>
              <w:rPr>
                <w:rFonts w:ascii="仿宋_GB2312" w:hAnsi="仿宋_GB2312" w:cs="仿宋_GB2312" w:eastAsia="仿宋_GB2312"/>
              </w:rPr>
              <w:t>及《翻译服务第</w:t>
            </w:r>
            <w:r>
              <w:rPr>
                <w:rFonts w:ascii="仿宋_GB2312" w:hAnsi="仿宋_GB2312" w:cs="仿宋_GB2312" w:eastAsia="仿宋_GB2312"/>
              </w:rPr>
              <w:t>1</w:t>
            </w:r>
            <w:r>
              <w:rPr>
                <w:rFonts w:ascii="仿宋_GB2312" w:hAnsi="仿宋_GB2312" w:cs="仿宋_GB2312" w:eastAsia="仿宋_GB2312"/>
              </w:rPr>
              <w:t>部分</w:t>
            </w:r>
            <w:r>
              <w:rPr>
                <w:rFonts w:ascii="仿宋_GB2312" w:hAnsi="仿宋_GB2312" w:cs="仿宋_GB2312" w:eastAsia="仿宋_GB2312"/>
              </w:rPr>
              <w:t>:</w:t>
            </w:r>
            <w:r>
              <w:rPr>
                <w:rFonts w:ascii="仿宋_GB2312" w:hAnsi="仿宋_GB2312" w:cs="仿宋_GB2312" w:eastAsia="仿宋_GB2312"/>
              </w:rPr>
              <w:t>笔译服务要求》（</w:t>
            </w:r>
            <w:r>
              <w:rPr>
                <w:rFonts w:ascii="仿宋_GB2312" w:hAnsi="仿宋_GB2312" w:cs="仿宋_GB2312" w:eastAsia="仿宋_GB2312"/>
              </w:rPr>
              <w:t>GBGB/T 19363.1-2022/ISO 17100:2015</w:t>
            </w:r>
            <w:r>
              <w:rPr>
                <w:rFonts w:ascii="仿宋_GB2312" w:hAnsi="仿宋_GB2312" w:cs="仿宋_GB2312" w:eastAsia="仿宋_GB2312"/>
              </w:rPr>
              <w:t>）</w:t>
            </w:r>
            <w:r>
              <w:rPr>
                <w:rFonts w:ascii="仿宋_GB2312" w:hAnsi="仿宋_GB2312" w:cs="仿宋_GB2312" w:eastAsia="仿宋_GB2312"/>
              </w:rPr>
              <w:t>或技术标准规定的要求，专业、全面、深入开展知识产权运用规则</w:t>
            </w:r>
            <w:r>
              <w:rPr>
                <w:rFonts w:ascii="仿宋_GB2312" w:hAnsi="仿宋_GB2312" w:cs="仿宋_GB2312" w:eastAsia="仿宋_GB2312"/>
              </w:rPr>
              <w:t>和</w:t>
            </w:r>
            <w:r>
              <w:rPr>
                <w:rFonts w:ascii="仿宋_GB2312" w:hAnsi="仿宋_GB2312" w:cs="仿宋_GB2312" w:eastAsia="仿宋_GB2312"/>
              </w:rPr>
              <w:t>典型案例</w:t>
            </w:r>
            <w:r>
              <w:rPr>
                <w:rFonts w:ascii="仿宋_GB2312" w:hAnsi="仿宋_GB2312" w:cs="仿宋_GB2312" w:eastAsia="仿宋_GB2312"/>
              </w:rPr>
              <w:t>、</w:t>
            </w:r>
            <w:r>
              <w:rPr>
                <w:rFonts w:ascii="仿宋_GB2312" w:hAnsi="仿宋_GB2312" w:cs="仿宋_GB2312" w:eastAsia="仿宋_GB2312"/>
              </w:rPr>
              <w:t>外文专利文献等</w:t>
            </w:r>
            <w:r>
              <w:rPr>
                <w:rFonts w:ascii="仿宋_GB2312" w:hAnsi="仿宋_GB2312" w:cs="仿宋_GB2312" w:eastAsia="仿宋_GB2312"/>
              </w:rPr>
              <w:t>翻译工作。</w:t>
            </w:r>
          </w:p>
          <w:p>
            <w:pPr>
              <w:pStyle w:val="null3"/>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安全</w:t>
            </w:r>
            <w:r>
              <w:rPr>
                <w:rFonts w:ascii="仿宋_GB2312" w:hAnsi="仿宋_GB2312" w:cs="仿宋_GB2312" w:eastAsia="仿宋_GB2312"/>
              </w:rPr>
              <w:t>要求</w:t>
            </w:r>
          </w:p>
          <w:p>
            <w:pPr>
              <w:pStyle w:val="null3"/>
            </w:pPr>
            <w:r>
              <w:rPr>
                <w:rFonts w:ascii="仿宋_GB2312" w:hAnsi="仿宋_GB2312" w:cs="仿宋_GB2312" w:eastAsia="仿宋_GB2312"/>
              </w:rPr>
              <w:t>项目所涉相关信息需严格保密。</w:t>
            </w:r>
          </w:p>
          <w:p>
            <w:pPr>
              <w:pStyle w:val="null3"/>
            </w:pPr>
            <w:r>
              <w:rPr>
                <w:rFonts w:ascii="仿宋_GB2312" w:hAnsi="仿宋_GB2312" w:cs="仿宋_GB2312" w:eastAsia="仿宋_GB2312"/>
              </w:rPr>
              <w:t>3.</w:t>
            </w:r>
            <w:r>
              <w:rPr>
                <w:rFonts w:ascii="仿宋_GB2312" w:hAnsi="仿宋_GB2312" w:cs="仿宋_GB2312" w:eastAsia="仿宋_GB2312"/>
              </w:rPr>
              <w:t>时限要求</w:t>
            </w:r>
          </w:p>
          <w:p>
            <w:pPr>
              <w:pStyle w:val="null3"/>
              <w:jc w:val="both"/>
            </w:pPr>
            <w:r>
              <w:rPr>
                <w:rFonts w:ascii="仿宋_GB2312" w:hAnsi="仿宋_GB2312" w:cs="仿宋_GB2312" w:eastAsia="仿宋_GB2312"/>
                <w:sz w:val="21"/>
              </w:rPr>
              <w:t>于</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月</w:t>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日前交付翻译成果。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有完善的项目管理团队，整个项目的实施组织机构、人员安排有具体方案，配置齐全、分工合理、责任明确，项目实施人员具备工作经验等。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有完备的设施设备，满足本项目要求。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于2025年12月31日前交付翻译成果。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交付的服务内容与响应文件、竞争性磋商文件等所指明的，或者与本合同所指明的服务内容相一致。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产品及服务，质量不能满足采购要求，乙方必须无条件更换，否则，甲方会同鉴证方有权终止合同，并对乙方的违约行为进行追究，同时按《政府采购法》和陕西省政府采购供应商管理办法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单价限额，供应商根据采购人提供的采购单价填报下浮率，最终结算单价=（1-所报下浮率）×单价限额，最终结算金额=最终结算单价×实际翻译工作量。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合法注册的法人或其他组织的营业执照等证明文件，自然人的身份证明.（2）、具有良好的商业信誉和健全的财务会计制度的证明材料（须提供 2023 年度或 2024年度经第三方审计的财务报告，至少包括三表一注，即资产负债表、利润表、现金流量表及其附注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)。（3）社会保障资金缴纳证明：提供截止至磋商时间前六个月内任一个月份的社会保障资金缴存单据或社保机构开具的社会保险参保缴费情况证明，依法不需要缴纳社会保障资金的单位应提供相关证明材料。 （4）税收缴纳证明：提供截止至磋商时间前六个月内任一个月份的纳税证明或完税证明，纳税证明或完税证明上应有代收机构或税务机关的公章或业务专用章。依法免税的供应商应提供相关文件证明。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投标人不得列入“中国执行信息公开网”网站被列为失 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监狱企业的证明文件 供应商关系承诺书.docx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响应文件有效期是否满足磋商文件要求。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对本项目理解从现状及发展目标分析出发，理解的准确、分析到位，深刻，切实可行得完全满足采购人需求得 [7-10]分； 对本项目理解深度一般，分析基本到位，满足采购人需求得 [3-7）分； 对项目分析理解一般，基本满足采购人需求得[0-3）分；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服务方案完整性可操作性包括： 服务方案先进、方案周密、思路清晰合理、可操作性、科学性强，任务明确，得[7-10]分； 总体服务方案完整、具有可操作性、科学性，任务较为明确、得[3-7）分； 总体服务方案一般、具有一定的操作性、科学性较弱，任务不明确、得[0-3）分； 服务方案较差，有重大缺陷的不得分。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供应商针对本项目的工作计划有合理的阶段划分，各阶段有明确的工作目标和可行的时间进度安排，可以确保工作优质、高效、如期完成，根据供应商提供的方案进行综合评分。内容详细、合理、满足采购需求根据响应程度得分，优良：[7-10]分，较好：[3-7）分，一般：[0-3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供应商在响应文件中提供针对本项目的质量保障方案，能够提出全面可行的安全保障措施。 保障方案能够完全满足采购需求中的要求，得[7-10]分； 保障方案能够基本满足采购需求中的要求，得[3-7）分； 保障方案一般，得[1-3）分；未提供不得分。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供应商具备拥有（英语、日语、俄语、德语、韩国语）五个语种CATTI 二级及以上译员得5分，缺少一个语种扣1分； 项目负责人具有CATTI （英语、日语、俄语、德语、韩国语任意语种）一级证书得5分，二级证书得3分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拟派人员一览表.docx</w:t>
            </w:r>
          </w:p>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为本项目制定完整可行的安全保密措施，具备完善的内部保密制度、保密措施。 制度完善，措施合理可行，把控严格得 [4-5]分； 制度完整，措施可行得 [2-4）分； 保密制度和措施简单得[0-2）分；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根据各供应商的响应文件中提出创新、创优等合理化建议等相关内容按差别计分，优计[4-5]分，良计[2-4），一般计[1-2）分。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供应商能够完成本项目工作的服务承诺，包括不限于无条件修改调整方案承诺、工作效率承诺等，服务承诺内容详尽、描述清晰；评标委员会自主赋分1-10分。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近三年（2022年1月至今，以合同签订时间为准）的类似性服务采购业绩及大项目服务采购业绩，每提供一个计3分，满分15分。（须在竞争性磋商响应文件格式中提供合同的复印件加盖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报价方式：单价基础上的优惠率（下浮率）。 评审基准优惠率：满足磋商采购文件要求的且最后报价中优惠率最高报价为评审基准优惠率。各供应商的价格分统一按照下列公式计算：磋商报价得分= (1-评价基准优惠率）/(1-响应优惠率）×价格权值。因本项目为专门面向中小企业采购项目，不再享受价格评审优惠。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详见附件：拟派人员一览表.docx</w:t>
      </w:r>
    </w:p>
    <w:p>
      <w:pPr>
        <w:pStyle w:val="null3"/>
        <w:ind w:firstLine="960"/>
      </w:pPr>
      <w:r>
        <w:rPr>
          <w:rFonts w:ascii="仿宋_GB2312" w:hAnsi="仿宋_GB2312" w:cs="仿宋_GB2312" w:eastAsia="仿宋_GB2312"/>
        </w:rPr>
        <w:t>详见附件：项目负责人简历表.docx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详见附件：翻译委托合同.docx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