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F0E21">
      <w:pPr>
        <w:spacing w:line="360" w:lineRule="auto"/>
        <w:jc w:val="center"/>
        <w:rPr>
          <w:rFonts w:hint="eastAsia" w:eastAsia="黑体"/>
          <w:b/>
          <w:bCs/>
          <w:sz w:val="36"/>
        </w:rPr>
      </w:pPr>
      <w:r>
        <w:rPr>
          <w:rFonts w:hint="eastAsia" w:eastAsia="黑体"/>
          <w:b/>
          <w:bCs/>
          <w:sz w:val="36"/>
          <w:lang w:val="en-US" w:eastAsia="zh-CN"/>
        </w:rPr>
        <w:t>翻译</w:t>
      </w:r>
      <w:r>
        <w:rPr>
          <w:rFonts w:hint="eastAsia" w:eastAsia="黑体"/>
          <w:b/>
          <w:bCs/>
          <w:sz w:val="36"/>
        </w:rPr>
        <w:t>委托合同</w:t>
      </w:r>
    </w:p>
    <w:p w14:paraId="241BABB6">
      <w:pPr>
        <w:spacing w:line="400" w:lineRule="exact"/>
        <w:ind w:left="240" w:hanging="240" w:hangingChars="100"/>
        <w:rPr>
          <w:rFonts w:hint="default" w:eastAsia="宋体"/>
          <w:sz w:val="24"/>
          <w:lang w:val="en-US" w:eastAsia="zh-CN"/>
        </w:rPr>
      </w:pPr>
      <w:r>
        <w:rPr>
          <w:rFonts w:hint="eastAsia"/>
          <w:sz w:val="24"/>
        </w:rPr>
        <w:t>甲方：</w:t>
      </w:r>
      <w:r>
        <w:rPr>
          <w:rFonts w:hint="eastAsia"/>
          <w:sz w:val="24"/>
          <w:u w:val="single"/>
        </w:rPr>
        <w:t xml:space="preserve">                           </w:t>
      </w:r>
      <w:r>
        <w:rPr>
          <w:rFonts w:hint="eastAsia"/>
          <w:sz w:val="24"/>
        </w:rPr>
        <w:t xml:space="preserve">      乙方：</w:t>
      </w:r>
      <w:r>
        <w:rPr>
          <w:rFonts w:hint="eastAsia"/>
          <w:b/>
          <w:bCs/>
          <w:sz w:val="24"/>
          <w:u w:val="single"/>
          <w:lang w:val="en-US" w:eastAsia="zh-CN"/>
        </w:rPr>
        <w:t xml:space="preserve">                        </w:t>
      </w:r>
    </w:p>
    <w:p w14:paraId="3D8DF7E9">
      <w:pPr>
        <w:spacing w:line="400" w:lineRule="exact"/>
        <w:rPr>
          <w:rFonts w:hint="default" w:eastAsia="宋体"/>
          <w:sz w:val="24"/>
          <w:lang w:val="en-US" w:eastAsia="zh-CN"/>
        </w:rPr>
      </w:pPr>
      <w:r>
        <w:rPr>
          <w:rFonts w:hint="eastAsia"/>
          <w:sz w:val="24"/>
        </w:rPr>
        <w:t>地址：</w:t>
      </w:r>
      <w:r>
        <w:rPr>
          <w:rFonts w:hint="eastAsia"/>
          <w:sz w:val="24"/>
          <w:u w:val="single"/>
        </w:rPr>
        <w:t xml:space="preserve">                           </w:t>
      </w:r>
      <w:r>
        <w:rPr>
          <w:rFonts w:hint="eastAsia"/>
          <w:sz w:val="24"/>
        </w:rPr>
        <w:t xml:space="preserve">      地址：</w:t>
      </w:r>
      <w:r>
        <w:rPr>
          <w:rFonts w:hint="eastAsia"/>
          <w:sz w:val="24"/>
          <w:u w:val="single"/>
          <w:lang w:val="en-US" w:eastAsia="zh-CN"/>
        </w:rPr>
        <w:t xml:space="preserve">                          </w:t>
      </w:r>
    </w:p>
    <w:p w14:paraId="7BD04AFF">
      <w:pPr>
        <w:tabs>
          <w:tab w:val="left" w:pos="3780"/>
        </w:tabs>
        <w:spacing w:line="400" w:lineRule="exact"/>
        <w:rPr>
          <w:rFonts w:hint="default" w:eastAsia="宋体"/>
          <w:sz w:val="24"/>
          <w:lang w:val="en-US" w:eastAsia="zh-CN"/>
        </w:rPr>
      </w:pPr>
      <w:r>
        <w:rPr>
          <w:rFonts w:hint="eastAsia"/>
          <w:sz w:val="24"/>
        </w:rPr>
        <w:t xml:space="preserve">       </w:t>
      </w:r>
      <w:r>
        <w:rPr>
          <w:sz w:val="24"/>
        </w:rPr>
        <w:t xml:space="preserve">           </w:t>
      </w:r>
      <w:r>
        <w:rPr>
          <w:rFonts w:hint="eastAsia"/>
          <w:sz w:val="24"/>
        </w:rPr>
        <w:t xml:space="preserve">                     </w:t>
      </w:r>
      <w:r>
        <w:rPr>
          <w:rFonts w:hint="eastAsia"/>
          <w:sz w:val="24"/>
          <w:lang w:val="en-US" w:eastAsia="zh-CN"/>
        </w:rPr>
        <w:t>邮编</w:t>
      </w:r>
      <w:r>
        <w:rPr>
          <w:rFonts w:hint="eastAsia"/>
          <w:sz w:val="24"/>
        </w:rPr>
        <w:t>：</w:t>
      </w:r>
      <w:r>
        <w:rPr>
          <w:rFonts w:hint="eastAsia"/>
          <w:sz w:val="24"/>
          <w:u w:val="single"/>
          <w:lang w:val="en-US" w:eastAsia="zh-CN"/>
        </w:rPr>
        <w:t xml:space="preserve">                                           </w:t>
      </w:r>
    </w:p>
    <w:p w14:paraId="45BE1EC4">
      <w:pPr>
        <w:tabs>
          <w:tab w:val="left" w:pos="3780"/>
        </w:tabs>
        <w:spacing w:line="400" w:lineRule="exact"/>
        <w:rPr>
          <w:rFonts w:hint="default" w:eastAsia="宋体"/>
          <w:sz w:val="24"/>
          <w:lang w:val="en-US" w:eastAsia="zh-CN"/>
        </w:rPr>
      </w:pPr>
      <w:bookmarkStart w:id="0" w:name="OLE_LINK1"/>
      <w:r>
        <w:rPr>
          <w:rFonts w:hint="eastAsia"/>
          <w:sz w:val="24"/>
          <w:lang w:val="en-US" w:eastAsia="zh-CN"/>
        </w:rPr>
        <w:t>联系人及电话</w:t>
      </w:r>
      <w:r>
        <w:rPr>
          <w:rFonts w:hint="eastAsia"/>
          <w:sz w:val="24"/>
        </w:rPr>
        <w:t>：</w:t>
      </w:r>
      <w:bookmarkEnd w:id="0"/>
      <w:r>
        <w:rPr>
          <w:rFonts w:hint="eastAsia"/>
          <w:sz w:val="24"/>
          <w:u w:val="single"/>
        </w:rPr>
        <w:t xml:space="preserve">                   </w:t>
      </w:r>
      <w:r>
        <w:rPr>
          <w:rFonts w:hint="eastAsia"/>
          <w:sz w:val="24"/>
        </w:rPr>
        <w:t xml:space="preserve">      </w:t>
      </w:r>
      <w:r>
        <w:rPr>
          <w:rFonts w:hint="eastAsia"/>
          <w:sz w:val="24"/>
          <w:lang w:val="en-US" w:eastAsia="zh-CN"/>
        </w:rPr>
        <w:t>联系人及电话</w:t>
      </w:r>
      <w:r>
        <w:rPr>
          <w:rFonts w:hint="eastAsia"/>
          <w:sz w:val="24"/>
        </w:rPr>
        <w:t>：</w:t>
      </w:r>
      <w:r>
        <w:rPr>
          <w:rFonts w:hint="eastAsia"/>
          <w:sz w:val="24"/>
          <w:u w:val="single"/>
        </w:rPr>
        <w:t xml:space="preserve">               </w:t>
      </w:r>
      <w:r>
        <w:rPr>
          <w:rFonts w:hint="eastAsia"/>
          <w:sz w:val="24"/>
          <w:u w:val="single"/>
          <w:lang w:val="en-US" w:eastAsia="zh-CN"/>
        </w:rPr>
        <w:t xml:space="preserve">          </w:t>
      </w:r>
    </w:p>
    <w:p w14:paraId="531ACE2C">
      <w:pPr>
        <w:pStyle w:val="3"/>
        <w:spacing w:line="400" w:lineRule="exact"/>
        <w:ind w:firstLine="0"/>
        <w:rPr>
          <w:rFonts w:hint="default" w:ascii="Times New Roman" w:hAnsi="Times New Roman" w:eastAsia="宋体" w:cs="Times New Roman"/>
          <w:sz w:val="24"/>
          <w:szCs w:val="24"/>
          <w:u w:val="single"/>
          <w:lang w:val="en-US" w:eastAsia="zh-CN"/>
        </w:rPr>
      </w:pPr>
      <w:r>
        <w:rPr>
          <w:rFonts w:hint="eastAsia"/>
          <w:sz w:val="24"/>
          <w:szCs w:val="24"/>
          <w:lang w:val="it-IT"/>
        </w:rPr>
        <w:t xml:space="preserve">E-mail: </w:t>
      </w:r>
      <w:r>
        <w:rPr>
          <w:rFonts w:hint="eastAsia"/>
          <w:sz w:val="24"/>
          <w:szCs w:val="24"/>
          <w:u w:val="single"/>
          <w:lang w:val="it-IT"/>
        </w:rPr>
        <w:t xml:space="preserve">                       </w:t>
      </w:r>
      <w:r>
        <w:rPr>
          <w:rFonts w:hint="eastAsia"/>
          <w:sz w:val="24"/>
          <w:szCs w:val="24"/>
          <w:u w:val="single"/>
          <w:lang w:val="en-US" w:eastAsia="zh-CN"/>
        </w:rPr>
        <w:t xml:space="preserve">   </w:t>
      </w:r>
      <w:r>
        <w:rPr>
          <w:rFonts w:hint="eastAsia"/>
          <w:sz w:val="24"/>
          <w:szCs w:val="24"/>
          <w:lang w:val="it-IT"/>
        </w:rPr>
        <w:t xml:space="preserve">      E-mail：</w:t>
      </w:r>
      <w:r>
        <w:rPr>
          <w:rFonts w:hint="eastAsia" w:ascii="Times New Roman" w:hAnsi="Times New Roman" w:eastAsia="宋体" w:cs="Times New Roman"/>
          <w:sz w:val="24"/>
          <w:szCs w:val="24"/>
          <w:u w:val="single"/>
          <w:lang w:val="en-US" w:eastAsia="zh-CN"/>
        </w:rPr>
        <w:t xml:space="preserve">            </w:t>
      </w:r>
      <w:r>
        <w:rPr>
          <w:rFonts w:hint="eastAsia" w:ascii="Times New Roman" w:hAnsi="Times New Roman" w:eastAsia="宋体" w:cs="Times New Roman"/>
          <w:sz w:val="24"/>
          <w:szCs w:val="24"/>
          <w:u w:val="single"/>
          <w:lang w:val="it-IT"/>
        </w:rPr>
        <w:t xml:space="preserve"> </w:t>
      </w:r>
      <w:r>
        <w:rPr>
          <w:rFonts w:hint="eastAsia" w:ascii="Times New Roman" w:hAnsi="Times New Roman" w:eastAsia="宋体" w:cs="Times New Roman"/>
          <w:sz w:val="24"/>
          <w:szCs w:val="24"/>
          <w:u w:val="single"/>
          <w:lang w:val="en-US" w:eastAsia="zh-CN"/>
        </w:rPr>
        <w:t xml:space="preserve">                  </w:t>
      </w:r>
    </w:p>
    <w:p w14:paraId="1829D56A">
      <w:pPr>
        <w:pStyle w:val="3"/>
        <w:spacing w:line="400" w:lineRule="exact"/>
        <w:ind w:firstLine="480" w:firstLineChars="200"/>
        <w:rPr>
          <w:rFonts w:hint="eastAsia"/>
          <w:sz w:val="24"/>
        </w:rPr>
      </w:pPr>
      <w:r>
        <w:rPr>
          <w:rFonts w:hint="eastAsia"/>
          <w:sz w:val="24"/>
        </w:rPr>
        <w:t>根据</w:t>
      </w:r>
      <w:r>
        <w:rPr>
          <w:rFonts w:hint="eastAsia"/>
          <w:sz w:val="24"/>
          <w:lang w:val="en-US" w:eastAsia="zh-CN"/>
        </w:rPr>
        <w:t>《民法典》、《政府采购法》</w:t>
      </w:r>
      <w:r>
        <w:rPr>
          <w:rFonts w:hint="eastAsia"/>
          <w:sz w:val="24"/>
        </w:rPr>
        <w:t>及相关法律规定乙方接受甲方委托，为甲方提供资料翻译服务。甲、乙双方本着平等互利、友好合作的原则签订本协议，并共同遵守履行。</w:t>
      </w:r>
    </w:p>
    <w:p w14:paraId="77703CC2">
      <w:pPr>
        <w:spacing w:line="400" w:lineRule="exact"/>
        <w:rPr>
          <w:rFonts w:hint="eastAsia"/>
          <w:b/>
          <w:bCs/>
          <w:sz w:val="24"/>
        </w:rPr>
      </w:pPr>
      <w:r>
        <w:rPr>
          <w:rFonts w:hint="eastAsia"/>
          <w:b/>
          <w:bCs/>
          <w:sz w:val="24"/>
        </w:rPr>
        <w:t>一、服务内容：</w:t>
      </w:r>
    </w:p>
    <w:p w14:paraId="33018A9F">
      <w:pPr>
        <w:numPr>
          <w:ilvl w:val="1"/>
          <w:numId w:val="1"/>
        </w:numPr>
        <w:tabs>
          <w:tab w:val="left" w:pos="540"/>
          <w:tab w:val="clear" w:pos="780"/>
        </w:tabs>
        <w:spacing w:line="400" w:lineRule="exact"/>
        <w:ind w:left="180" w:hanging="180"/>
        <w:rPr>
          <w:rFonts w:hint="eastAsia"/>
          <w:sz w:val="24"/>
          <w:u w:val="single"/>
        </w:rPr>
      </w:pPr>
      <w:r>
        <w:rPr>
          <w:rFonts w:hint="eastAsia"/>
          <w:sz w:val="24"/>
        </w:rPr>
        <w:t>翻译内容：</w:t>
      </w:r>
    </w:p>
    <w:p w14:paraId="5957A6DA">
      <w:pPr>
        <w:numPr>
          <w:ilvl w:val="0"/>
          <w:numId w:val="0"/>
        </w:numPr>
        <w:tabs>
          <w:tab w:val="left" w:pos="540"/>
        </w:tabs>
        <w:spacing w:line="400" w:lineRule="exact"/>
        <w:ind w:left="479" w:leftChars="228" w:firstLine="0" w:firstLineChars="0"/>
        <w:rPr>
          <w:rFonts w:hint="eastAsia"/>
          <w:sz w:val="24"/>
          <w:highlight w:val="yellow"/>
          <w:u w:val="single"/>
        </w:rPr>
      </w:pPr>
      <w:r>
        <w:rPr>
          <w:rFonts w:hint="eastAsia"/>
          <w:b w:val="0"/>
          <w:bCs w:val="0"/>
          <w:sz w:val="24"/>
          <w:highlight w:val="yellow"/>
          <w:u w:val="single"/>
        </w:rPr>
        <w:t>翻译内容一:</w:t>
      </w:r>
      <w:r>
        <w:rPr>
          <w:rFonts w:hint="eastAsia"/>
          <w:b w:val="0"/>
          <w:bCs w:val="0"/>
          <w:sz w:val="24"/>
          <w:highlight w:val="yellow"/>
          <w:u w:val="single"/>
          <w:lang w:val="en-US" w:eastAsia="zh-CN"/>
        </w:rPr>
        <w:t xml:space="preserve"> </w:t>
      </w:r>
      <w:r>
        <w:rPr>
          <w:rFonts w:hint="eastAsia"/>
          <w:sz w:val="24"/>
          <w:highlight w:val="yellow"/>
          <w:u w:val="single"/>
        </w:rPr>
        <w:t>对有价值的贸易制度中知识产权运用规则及典型案例、国外学术期刊资料、外文专利文献、商务等资料进行翻译。</w:t>
      </w:r>
      <w:r>
        <w:rPr>
          <w:rFonts w:hint="eastAsia"/>
          <w:b w:val="0"/>
          <w:bCs w:val="0"/>
          <w:sz w:val="24"/>
          <w:highlight w:val="yellow"/>
          <w:u w:val="single"/>
        </w:rPr>
        <w:t>翻译内容二:</w:t>
      </w:r>
      <w:r>
        <w:rPr>
          <w:rFonts w:hint="eastAsia"/>
          <w:b/>
          <w:bCs/>
          <w:sz w:val="24"/>
          <w:highlight w:val="yellow"/>
          <w:u w:val="single"/>
          <w:lang w:val="en-US" w:eastAsia="zh-CN"/>
        </w:rPr>
        <w:t xml:space="preserve"> </w:t>
      </w:r>
      <w:r>
        <w:rPr>
          <w:rFonts w:hint="eastAsia"/>
          <w:sz w:val="24"/>
          <w:highlight w:val="yellow"/>
          <w:u w:val="single"/>
        </w:rPr>
        <w:t>甲方不定期发来文字资料，由乙方负责将该资料翻译成甲方所要求</w:t>
      </w:r>
      <w:r>
        <w:rPr>
          <w:rFonts w:hint="eastAsia"/>
          <w:sz w:val="24"/>
          <w:highlight w:val="yellow"/>
          <w:u w:val="single"/>
          <w:lang w:val="en-US" w:eastAsia="zh-CN"/>
        </w:rPr>
        <w:t>的</w:t>
      </w:r>
      <w:r>
        <w:rPr>
          <w:rFonts w:hint="eastAsia"/>
          <w:sz w:val="24"/>
          <w:highlight w:val="yellow"/>
          <w:u w:val="single"/>
        </w:rPr>
        <w:t>语言及相应的级别翻译标准。</w:t>
      </w:r>
    </w:p>
    <w:p w14:paraId="11760916">
      <w:pPr>
        <w:numPr>
          <w:ilvl w:val="0"/>
          <w:numId w:val="0"/>
        </w:numPr>
        <w:tabs>
          <w:tab w:val="left" w:pos="540"/>
        </w:tabs>
        <w:spacing w:line="400" w:lineRule="exact"/>
        <w:ind w:left="479" w:leftChars="228" w:firstLine="0" w:firstLineChars="0"/>
        <w:rPr>
          <w:rFonts w:hint="eastAsia"/>
          <w:sz w:val="24"/>
          <w:highlight w:val="yellow"/>
          <w:u w:val="single"/>
        </w:rPr>
      </w:pPr>
      <w:r>
        <w:rPr>
          <w:rFonts w:hint="eastAsia"/>
          <w:sz w:val="24"/>
          <w:highlight w:val="yellow"/>
          <w:u w:val="single"/>
        </w:rPr>
        <w:t xml:space="preserve"> </w:t>
      </w:r>
      <w:r>
        <w:rPr>
          <w:rFonts w:hint="eastAsia"/>
          <w:sz w:val="24"/>
          <w:highlight w:val="yellow"/>
          <w:u w:val="single"/>
          <w:lang w:val="en-US" w:eastAsia="zh-CN"/>
        </w:rPr>
        <w:t xml:space="preserve">   </w:t>
      </w:r>
      <w:r>
        <w:rPr>
          <w:rFonts w:hint="eastAsia"/>
          <w:sz w:val="24"/>
          <w:highlight w:val="yellow"/>
          <w:u w:val="single"/>
        </w:rPr>
        <w:t>针对每一次翻译资料，乙方需向甲方初步告知本次稿件所需的翻译期限，经双方协商一致后，乙方须在约定的期限内确保翻译质量并按时完成工作</w:t>
      </w:r>
      <w:r>
        <w:rPr>
          <w:rFonts w:hint="eastAsia"/>
          <w:sz w:val="24"/>
          <w:highlight w:val="yellow"/>
          <w:u w:val="single"/>
          <w:lang w:eastAsia="zh-CN"/>
        </w:rPr>
        <w:t>。</w:t>
      </w:r>
      <w:r>
        <w:rPr>
          <w:rFonts w:hint="eastAsia"/>
          <w:sz w:val="24"/>
          <w:highlight w:val="yellow"/>
          <w:u w:val="single"/>
        </w:rPr>
        <w:t xml:space="preserve">                                                          </w:t>
      </w:r>
    </w:p>
    <w:p w14:paraId="0B8B2766">
      <w:pPr>
        <w:tabs>
          <w:tab w:val="left" w:pos="540"/>
        </w:tabs>
        <w:spacing w:line="400" w:lineRule="exact"/>
        <w:ind w:left="360" w:hanging="360"/>
        <w:rPr>
          <w:rFonts w:hint="eastAsia"/>
          <w:sz w:val="24"/>
          <w:u w:val="single"/>
        </w:rPr>
      </w:pPr>
      <w:r>
        <w:rPr>
          <w:rFonts w:hint="eastAsia" w:ascii="宋体" w:hAnsi="宋体"/>
          <w:sz w:val="24"/>
          <w:highlight w:val="yellow"/>
          <w:lang w:val="en-US" w:eastAsia="zh-CN"/>
        </w:rPr>
        <w:t>2</w:t>
      </w:r>
      <w:r>
        <w:rPr>
          <w:rFonts w:hint="eastAsia" w:ascii="宋体" w:hAnsi="宋体"/>
          <w:sz w:val="24"/>
          <w:highlight w:val="yellow"/>
        </w:rPr>
        <w:t>、 交稿方式：</w:t>
      </w:r>
      <w:r>
        <w:rPr>
          <w:rFonts w:hint="eastAsia" w:ascii="宋体" w:hAnsi="宋体"/>
          <w:sz w:val="24"/>
          <w:highlight w:val="yellow"/>
          <w:u w:val="single"/>
        </w:rPr>
        <w:t xml:space="preserve">  电子版         </w:t>
      </w:r>
      <w:r>
        <w:rPr>
          <w:rFonts w:hint="eastAsia" w:ascii="宋体" w:hAnsi="宋体"/>
          <w:sz w:val="24"/>
          <w:highlight w:val="yellow"/>
        </w:rPr>
        <w:t xml:space="preserve"> </w:t>
      </w:r>
      <w:r>
        <w:rPr>
          <w:rFonts w:hint="eastAsia" w:ascii="宋体" w:hAnsi="宋体"/>
          <w:sz w:val="24"/>
        </w:rPr>
        <w:t xml:space="preserve">   </w:t>
      </w:r>
    </w:p>
    <w:p w14:paraId="70D5687A">
      <w:pPr>
        <w:spacing w:line="400" w:lineRule="exact"/>
        <w:rPr>
          <w:rFonts w:hint="eastAsia"/>
          <w:b/>
          <w:sz w:val="24"/>
        </w:rPr>
      </w:pPr>
      <w:r>
        <w:rPr>
          <w:rFonts w:hint="eastAsia"/>
          <w:b/>
          <w:sz w:val="24"/>
        </w:rPr>
        <w:t>二、甲方责任：甲方应按以下规定向乙方支付服务费。</w:t>
      </w:r>
    </w:p>
    <w:p w14:paraId="3CBF26B0">
      <w:pPr>
        <w:spacing w:line="400" w:lineRule="exact"/>
        <w:rPr>
          <w:rFonts w:hint="eastAsia"/>
          <w:b w:val="0"/>
          <w:bCs/>
          <w:sz w:val="24"/>
          <w:highlight w:val="yellow"/>
          <w:lang w:val="en-US" w:eastAsia="zh-CN"/>
        </w:rPr>
      </w:pPr>
      <w:r>
        <w:rPr>
          <w:rFonts w:hint="eastAsia"/>
          <w:b w:val="0"/>
          <w:bCs/>
          <w:sz w:val="24"/>
          <w:highlight w:val="yellow"/>
          <w:lang w:val="en-US" w:eastAsia="zh-CN"/>
        </w:rPr>
        <w:t>1、服务费单价表。</w:t>
      </w:r>
    </w:p>
    <w:tbl>
      <w:tblPr>
        <w:tblStyle w:val="5"/>
        <w:tblW w:w="74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62"/>
        <w:gridCol w:w="827"/>
        <w:gridCol w:w="2251"/>
        <w:gridCol w:w="995"/>
        <w:gridCol w:w="1405"/>
      </w:tblGrid>
      <w:tr w14:paraId="310B4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jc w:val="center"/>
        </w:trPr>
        <w:tc>
          <w:tcPr>
            <w:tcW w:w="1962" w:type="dxa"/>
            <w:tcBorders>
              <w:top w:val="nil"/>
              <w:left w:val="nil"/>
              <w:bottom w:val="nil"/>
              <w:right w:val="nil"/>
            </w:tcBorders>
            <w:noWrap/>
            <w:vAlign w:val="bottom"/>
          </w:tcPr>
          <w:p w14:paraId="44D4DAE3">
            <w:pPr>
              <w:rPr>
                <w:rFonts w:hint="eastAsia" w:ascii="Arial" w:hAnsi="Arial" w:cs="Arial"/>
                <w:i w:val="0"/>
                <w:iCs w:val="0"/>
                <w:color w:val="000000"/>
                <w:sz w:val="22"/>
                <w:szCs w:val="22"/>
                <w:u w:val="none"/>
              </w:rPr>
            </w:pPr>
          </w:p>
        </w:tc>
        <w:tc>
          <w:tcPr>
            <w:tcW w:w="3078" w:type="dxa"/>
            <w:gridSpan w:val="2"/>
            <w:tcBorders>
              <w:top w:val="nil"/>
              <w:left w:val="nil"/>
              <w:bottom w:val="nil"/>
              <w:right w:val="nil"/>
            </w:tcBorders>
            <w:noWrap w:val="0"/>
            <w:vAlign w:val="center"/>
          </w:tcPr>
          <w:p w14:paraId="232A303F">
            <w:pPr>
              <w:keepNext w:val="0"/>
              <w:keepLines w:val="0"/>
              <w:widowControl/>
              <w:suppressLineNumbers w:val="0"/>
              <w:jc w:val="left"/>
              <w:textAlignment w:val="center"/>
              <w:rPr>
                <w:rFonts w:ascii="宋体" w:hAnsi="宋体" w:eastAsia="宋体" w:cs="宋体"/>
                <w:i w:val="0"/>
                <w:iCs w:val="0"/>
                <w:color w:val="000000"/>
                <w:sz w:val="14"/>
                <w:szCs w:val="14"/>
                <w:u w:val="none"/>
              </w:rPr>
            </w:pPr>
            <w:r>
              <w:rPr>
                <w:rStyle w:val="8"/>
                <w:lang w:val="en-US" w:eastAsia="zh-CN" w:bidi="ar"/>
              </w:rPr>
              <w:t>(1)专业级翻译单价(含税)</w:t>
            </w:r>
          </w:p>
        </w:tc>
        <w:tc>
          <w:tcPr>
            <w:tcW w:w="995" w:type="dxa"/>
            <w:tcBorders>
              <w:top w:val="nil"/>
              <w:left w:val="nil"/>
              <w:bottom w:val="nil"/>
              <w:right w:val="nil"/>
            </w:tcBorders>
            <w:noWrap w:val="0"/>
            <w:vAlign w:val="center"/>
          </w:tcPr>
          <w:p w14:paraId="702E386E">
            <w:pPr>
              <w:keepNext w:val="0"/>
              <w:keepLines w:val="0"/>
              <w:widowControl/>
              <w:suppressLineNumbers w:val="0"/>
              <w:jc w:val="left"/>
              <w:textAlignment w:val="center"/>
              <w:rPr>
                <w:rStyle w:val="8"/>
                <w:lang w:val="en-US" w:eastAsia="zh-CN" w:bidi="ar"/>
              </w:rPr>
            </w:pPr>
          </w:p>
        </w:tc>
        <w:tc>
          <w:tcPr>
            <w:tcW w:w="1405" w:type="dxa"/>
            <w:tcBorders>
              <w:top w:val="nil"/>
              <w:left w:val="nil"/>
              <w:bottom w:val="nil"/>
              <w:right w:val="nil"/>
            </w:tcBorders>
            <w:noWrap w:val="0"/>
            <w:vAlign w:val="center"/>
          </w:tcPr>
          <w:p w14:paraId="10C1ED6E">
            <w:pPr>
              <w:keepNext w:val="0"/>
              <w:keepLines w:val="0"/>
              <w:widowControl/>
              <w:suppressLineNumbers w:val="0"/>
              <w:jc w:val="left"/>
              <w:textAlignment w:val="center"/>
              <w:rPr>
                <w:rStyle w:val="8"/>
                <w:lang w:val="en-US" w:eastAsia="zh-CN" w:bidi="ar"/>
              </w:rPr>
            </w:pPr>
          </w:p>
        </w:tc>
      </w:tr>
      <w:tr w14:paraId="77E88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584E2B84">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语种</w:t>
            </w:r>
          </w:p>
        </w:tc>
        <w:tc>
          <w:tcPr>
            <w:tcW w:w="2251" w:type="dxa"/>
            <w:tcBorders>
              <w:top w:val="single" w:color="000000" w:sz="4" w:space="0"/>
              <w:left w:val="single" w:color="000000" w:sz="4" w:space="0"/>
              <w:bottom w:val="single" w:color="000000" w:sz="4" w:space="0"/>
              <w:right w:val="single" w:color="000000" w:sz="4" w:space="0"/>
            </w:tcBorders>
            <w:noWrap w:val="0"/>
            <w:vAlign w:val="center"/>
          </w:tcPr>
          <w:p w14:paraId="519B36D4">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单价(元/千字符中文)</w:t>
            </w:r>
          </w:p>
        </w:tc>
        <w:tc>
          <w:tcPr>
            <w:tcW w:w="995" w:type="dxa"/>
            <w:tcBorders>
              <w:top w:val="single" w:color="000000" w:sz="4" w:space="0"/>
              <w:left w:val="single" w:color="000000" w:sz="4" w:space="0"/>
              <w:bottom w:val="single" w:color="000000" w:sz="4" w:space="0"/>
              <w:right w:val="single" w:color="000000" w:sz="4" w:space="0"/>
            </w:tcBorders>
            <w:noWrap w:val="0"/>
            <w:vAlign w:val="center"/>
          </w:tcPr>
          <w:p w14:paraId="1619EE11">
            <w:pPr>
              <w:keepNext w:val="0"/>
              <w:keepLines w:val="0"/>
              <w:widowControl/>
              <w:suppressLineNumbers w:val="0"/>
              <w:jc w:val="center"/>
              <w:textAlignment w:val="center"/>
              <w:rPr>
                <w:rStyle w:val="8"/>
                <w:rFonts w:hint="default"/>
                <w:lang w:val="en-US" w:eastAsia="zh-CN" w:bidi="ar"/>
              </w:rPr>
            </w:pPr>
            <w:r>
              <w:rPr>
                <w:rStyle w:val="8"/>
                <w:rFonts w:hint="eastAsia"/>
                <w:lang w:val="en-US" w:eastAsia="zh-CN" w:bidi="ar"/>
              </w:rPr>
              <w:t>下浮比率</w:t>
            </w:r>
          </w:p>
        </w:tc>
        <w:tc>
          <w:tcPr>
            <w:tcW w:w="1405" w:type="dxa"/>
            <w:tcBorders>
              <w:top w:val="single" w:color="000000" w:sz="4" w:space="0"/>
              <w:left w:val="single" w:color="000000" w:sz="4" w:space="0"/>
              <w:bottom w:val="single" w:color="000000" w:sz="4" w:space="0"/>
              <w:right w:val="single" w:color="000000" w:sz="4" w:space="0"/>
            </w:tcBorders>
            <w:noWrap w:val="0"/>
            <w:vAlign w:val="center"/>
          </w:tcPr>
          <w:p w14:paraId="1CA6DC8F">
            <w:pPr>
              <w:keepNext w:val="0"/>
              <w:keepLines w:val="0"/>
              <w:widowControl/>
              <w:suppressLineNumbers w:val="0"/>
              <w:jc w:val="center"/>
              <w:textAlignment w:val="center"/>
              <w:rPr>
                <w:rStyle w:val="8"/>
                <w:rFonts w:hint="default"/>
                <w:lang w:val="en-US" w:eastAsia="zh-CN" w:bidi="ar"/>
              </w:rPr>
            </w:pPr>
            <w:r>
              <w:rPr>
                <w:rStyle w:val="8"/>
                <w:rFonts w:hint="eastAsia"/>
                <w:lang w:val="en-US" w:eastAsia="zh-CN" w:bidi="ar"/>
              </w:rPr>
              <w:t>实际价格</w:t>
            </w:r>
          </w:p>
        </w:tc>
      </w:tr>
      <w:tr w14:paraId="5FA17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641C222F">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英中互译</w:t>
            </w:r>
          </w:p>
        </w:tc>
        <w:tc>
          <w:tcPr>
            <w:tcW w:w="2251" w:type="dxa"/>
            <w:tcBorders>
              <w:top w:val="single" w:color="000000" w:sz="4" w:space="0"/>
              <w:left w:val="single" w:color="000000" w:sz="4" w:space="0"/>
              <w:bottom w:val="single" w:color="000000" w:sz="4" w:space="0"/>
              <w:right w:val="single" w:color="000000" w:sz="4" w:space="0"/>
            </w:tcBorders>
            <w:noWrap w:val="0"/>
            <w:vAlign w:val="top"/>
          </w:tcPr>
          <w:p w14:paraId="64904CED">
            <w:pPr>
              <w:keepNext w:val="0"/>
              <w:keepLines w:val="0"/>
              <w:widowControl/>
              <w:suppressLineNumbers w:val="0"/>
              <w:jc w:val="center"/>
              <w:textAlignment w:val="top"/>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240 </w:t>
            </w:r>
          </w:p>
        </w:tc>
        <w:tc>
          <w:tcPr>
            <w:tcW w:w="995" w:type="dxa"/>
            <w:tcBorders>
              <w:top w:val="single" w:color="000000" w:sz="4" w:space="0"/>
              <w:left w:val="single" w:color="000000" w:sz="4" w:space="0"/>
              <w:bottom w:val="single" w:color="000000" w:sz="4" w:space="0"/>
              <w:right w:val="single" w:color="000000" w:sz="4" w:space="0"/>
            </w:tcBorders>
            <w:noWrap w:val="0"/>
            <w:vAlign w:val="top"/>
          </w:tcPr>
          <w:p w14:paraId="02EBB1F0">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top"/>
          </w:tcPr>
          <w:p w14:paraId="20FD7972">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r>
      <w:tr w14:paraId="5398C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121CF0AF">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日中互译</w:t>
            </w:r>
          </w:p>
        </w:tc>
        <w:tc>
          <w:tcPr>
            <w:tcW w:w="2251" w:type="dxa"/>
            <w:tcBorders>
              <w:top w:val="single" w:color="000000" w:sz="4" w:space="0"/>
              <w:left w:val="single" w:color="000000" w:sz="4" w:space="0"/>
              <w:bottom w:val="single" w:color="000000" w:sz="4" w:space="0"/>
              <w:right w:val="single" w:color="000000" w:sz="4" w:space="0"/>
            </w:tcBorders>
            <w:noWrap w:val="0"/>
            <w:vAlign w:val="top"/>
          </w:tcPr>
          <w:p w14:paraId="44B65702">
            <w:pPr>
              <w:keepNext w:val="0"/>
              <w:keepLines w:val="0"/>
              <w:widowControl/>
              <w:suppressLineNumbers w:val="0"/>
              <w:jc w:val="center"/>
              <w:textAlignment w:val="top"/>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285 </w:t>
            </w:r>
          </w:p>
        </w:tc>
        <w:tc>
          <w:tcPr>
            <w:tcW w:w="995" w:type="dxa"/>
            <w:tcBorders>
              <w:top w:val="single" w:color="000000" w:sz="4" w:space="0"/>
              <w:left w:val="single" w:color="000000" w:sz="4" w:space="0"/>
              <w:bottom w:val="single" w:color="000000" w:sz="4" w:space="0"/>
              <w:right w:val="single" w:color="000000" w:sz="4" w:space="0"/>
            </w:tcBorders>
            <w:noWrap w:val="0"/>
            <w:vAlign w:val="top"/>
          </w:tcPr>
          <w:p w14:paraId="052A3804">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top"/>
          </w:tcPr>
          <w:p w14:paraId="095F8A6A">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r>
      <w:tr w14:paraId="4B47E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48308124">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韩中互译</w:t>
            </w:r>
          </w:p>
        </w:tc>
        <w:tc>
          <w:tcPr>
            <w:tcW w:w="2251" w:type="dxa"/>
            <w:tcBorders>
              <w:top w:val="single" w:color="000000" w:sz="4" w:space="0"/>
              <w:left w:val="single" w:color="000000" w:sz="4" w:space="0"/>
              <w:bottom w:val="single" w:color="000000" w:sz="4" w:space="0"/>
              <w:right w:val="single" w:color="000000" w:sz="4" w:space="0"/>
            </w:tcBorders>
            <w:noWrap w:val="0"/>
            <w:vAlign w:val="top"/>
          </w:tcPr>
          <w:p w14:paraId="5A386571">
            <w:pPr>
              <w:keepNext w:val="0"/>
              <w:keepLines w:val="0"/>
              <w:widowControl/>
              <w:suppressLineNumbers w:val="0"/>
              <w:jc w:val="center"/>
              <w:textAlignment w:val="top"/>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285 </w:t>
            </w:r>
          </w:p>
        </w:tc>
        <w:tc>
          <w:tcPr>
            <w:tcW w:w="995" w:type="dxa"/>
            <w:tcBorders>
              <w:top w:val="single" w:color="000000" w:sz="4" w:space="0"/>
              <w:left w:val="single" w:color="000000" w:sz="4" w:space="0"/>
              <w:bottom w:val="single" w:color="000000" w:sz="4" w:space="0"/>
              <w:right w:val="single" w:color="000000" w:sz="4" w:space="0"/>
            </w:tcBorders>
            <w:noWrap w:val="0"/>
            <w:vAlign w:val="top"/>
          </w:tcPr>
          <w:p w14:paraId="5885CB55">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top"/>
          </w:tcPr>
          <w:p w14:paraId="4187F5D3">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r>
      <w:tr w14:paraId="42B77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2C10E9EE">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俄中互译</w:t>
            </w:r>
          </w:p>
        </w:tc>
        <w:tc>
          <w:tcPr>
            <w:tcW w:w="2251" w:type="dxa"/>
            <w:tcBorders>
              <w:top w:val="single" w:color="000000" w:sz="4" w:space="0"/>
              <w:left w:val="single" w:color="000000" w:sz="4" w:space="0"/>
              <w:bottom w:val="single" w:color="000000" w:sz="4" w:space="0"/>
              <w:right w:val="single" w:color="000000" w:sz="4" w:space="0"/>
            </w:tcBorders>
            <w:noWrap w:val="0"/>
            <w:vAlign w:val="center"/>
          </w:tcPr>
          <w:p w14:paraId="000A4947">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300 </w:t>
            </w:r>
          </w:p>
        </w:tc>
        <w:tc>
          <w:tcPr>
            <w:tcW w:w="995" w:type="dxa"/>
            <w:tcBorders>
              <w:top w:val="single" w:color="000000" w:sz="4" w:space="0"/>
              <w:left w:val="single" w:color="000000" w:sz="4" w:space="0"/>
              <w:bottom w:val="single" w:color="000000" w:sz="4" w:space="0"/>
              <w:right w:val="single" w:color="000000" w:sz="4" w:space="0"/>
            </w:tcBorders>
            <w:noWrap w:val="0"/>
            <w:vAlign w:val="center"/>
          </w:tcPr>
          <w:p w14:paraId="6511BE13">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center"/>
          </w:tcPr>
          <w:p w14:paraId="0DD5E9E5">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4D37A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68E824A2">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法中互译</w:t>
            </w:r>
          </w:p>
        </w:tc>
        <w:tc>
          <w:tcPr>
            <w:tcW w:w="2251" w:type="dxa"/>
            <w:tcBorders>
              <w:top w:val="single" w:color="000000" w:sz="4" w:space="0"/>
              <w:left w:val="single" w:color="000000" w:sz="4" w:space="0"/>
              <w:bottom w:val="single" w:color="000000" w:sz="4" w:space="0"/>
              <w:right w:val="single" w:color="000000" w:sz="4" w:space="0"/>
            </w:tcBorders>
            <w:noWrap w:val="0"/>
            <w:vAlign w:val="top"/>
          </w:tcPr>
          <w:p w14:paraId="4BD69C86">
            <w:pPr>
              <w:keepNext w:val="0"/>
              <w:keepLines w:val="0"/>
              <w:widowControl/>
              <w:suppressLineNumbers w:val="0"/>
              <w:jc w:val="center"/>
              <w:textAlignment w:val="top"/>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320 </w:t>
            </w:r>
          </w:p>
        </w:tc>
        <w:tc>
          <w:tcPr>
            <w:tcW w:w="995" w:type="dxa"/>
            <w:tcBorders>
              <w:top w:val="single" w:color="000000" w:sz="4" w:space="0"/>
              <w:left w:val="single" w:color="000000" w:sz="4" w:space="0"/>
              <w:bottom w:val="single" w:color="000000" w:sz="4" w:space="0"/>
              <w:right w:val="single" w:color="000000" w:sz="4" w:space="0"/>
            </w:tcBorders>
            <w:noWrap w:val="0"/>
            <w:vAlign w:val="top"/>
          </w:tcPr>
          <w:p w14:paraId="27DE0A10">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top"/>
          </w:tcPr>
          <w:p w14:paraId="05CDF1CD">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r>
      <w:tr w14:paraId="6F3C4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72C491C8">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德中互译</w:t>
            </w:r>
          </w:p>
        </w:tc>
        <w:tc>
          <w:tcPr>
            <w:tcW w:w="2251" w:type="dxa"/>
            <w:tcBorders>
              <w:top w:val="single" w:color="000000" w:sz="4" w:space="0"/>
              <w:left w:val="single" w:color="000000" w:sz="4" w:space="0"/>
              <w:bottom w:val="single" w:color="000000" w:sz="4" w:space="0"/>
              <w:right w:val="single" w:color="000000" w:sz="4" w:space="0"/>
            </w:tcBorders>
            <w:noWrap w:val="0"/>
            <w:vAlign w:val="top"/>
          </w:tcPr>
          <w:p w14:paraId="003F0878">
            <w:pPr>
              <w:keepNext w:val="0"/>
              <w:keepLines w:val="0"/>
              <w:widowControl/>
              <w:suppressLineNumbers w:val="0"/>
              <w:jc w:val="center"/>
              <w:textAlignment w:val="top"/>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320 </w:t>
            </w:r>
          </w:p>
        </w:tc>
        <w:tc>
          <w:tcPr>
            <w:tcW w:w="995" w:type="dxa"/>
            <w:tcBorders>
              <w:top w:val="single" w:color="000000" w:sz="4" w:space="0"/>
              <w:left w:val="single" w:color="000000" w:sz="4" w:space="0"/>
              <w:bottom w:val="single" w:color="000000" w:sz="4" w:space="0"/>
              <w:right w:val="single" w:color="000000" w:sz="4" w:space="0"/>
            </w:tcBorders>
            <w:noWrap w:val="0"/>
            <w:vAlign w:val="top"/>
          </w:tcPr>
          <w:p w14:paraId="23E9DD05">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top"/>
          </w:tcPr>
          <w:p w14:paraId="5C822A56">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r>
      <w:tr w14:paraId="2FA9F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75BA7CD9">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西班牙文与中文互译</w:t>
            </w:r>
          </w:p>
        </w:tc>
        <w:tc>
          <w:tcPr>
            <w:tcW w:w="2251" w:type="dxa"/>
            <w:tcBorders>
              <w:top w:val="single" w:color="000000" w:sz="4" w:space="0"/>
              <w:left w:val="single" w:color="000000" w:sz="4" w:space="0"/>
              <w:bottom w:val="single" w:color="000000" w:sz="4" w:space="0"/>
              <w:right w:val="single" w:color="000000" w:sz="4" w:space="0"/>
            </w:tcBorders>
            <w:noWrap w:val="0"/>
            <w:vAlign w:val="top"/>
          </w:tcPr>
          <w:p w14:paraId="4FB4CA01">
            <w:pPr>
              <w:keepNext w:val="0"/>
              <w:keepLines w:val="0"/>
              <w:widowControl/>
              <w:suppressLineNumbers w:val="0"/>
              <w:jc w:val="center"/>
              <w:textAlignment w:val="top"/>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380 </w:t>
            </w:r>
          </w:p>
        </w:tc>
        <w:tc>
          <w:tcPr>
            <w:tcW w:w="995" w:type="dxa"/>
            <w:tcBorders>
              <w:top w:val="single" w:color="000000" w:sz="4" w:space="0"/>
              <w:left w:val="single" w:color="000000" w:sz="4" w:space="0"/>
              <w:bottom w:val="single" w:color="000000" w:sz="4" w:space="0"/>
              <w:right w:val="single" w:color="000000" w:sz="4" w:space="0"/>
            </w:tcBorders>
            <w:noWrap w:val="0"/>
            <w:vAlign w:val="top"/>
          </w:tcPr>
          <w:p w14:paraId="5F51EE98">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top"/>
          </w:tcPr>
          <w:p w14:paraId="4CB9A71F">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r>
      <w:tr w14:paraId="6F40C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23BDD8B4">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葡萄牙文与中文互译</w:t>
            </w:r>
          </w:p>
        </w:tc>
        <w:tc>
          <w:tcPr>
            <w:tcW w:w="2251" w:type="dxa"/>
            <w:tcBorders>
              <w:top w:val="single" w:color="000000" w:sz="4" w:space="0"/>
              <w:left w:val="single" w:color="000000" w:sz="4" w:space="0"/>
              <w:bottom w:val="single" w:color="000000" w:sz="4" w:space="0"/>
              <w:right w:val="single" w:color="000000" w:sz="4" w:space="0"/>
            </w:tcBorders>
            <w:noWrap w:val="0"/>
            <w:vAlign w:val="top"/>
          </w:tcPr>
          <w:p w14:paraId="0CAA8F85">
            <w:pPr>
              <w:keepNext w:val="0"/>
              <w:keepLines w:val="0"/>
              <w:widowControl/>
              <w:suppressLineNumbers w:val="0"/>
              <w:jc w:val="center"/>
              <w:textAlignment w:val="top"/>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400 </w:t>
            </w:r>
          </w:p>
        </w:tc>
        <w:tc>
          <w:tcPr>
            <w:tcW w:w="995" w:type="dxa"/>
            <w:tcBorders>
              <w:top w:val="single" w:color="000000" w:sz="4" w:space="0"/>
              <w:left w:val="single" w:color="000000" w:sz="4" w:space="0"/>
              <w:bottom w:val="single" w:color="000000" w:sz="4" w:space="0"/>
              <w:right w:val="single" w:color="000000" w:sz="4" w:space="0"/>
            </w:tcBorders>
            <w:noWrap w:val="0"/>
            <w:vAlign w:val="top"/>
          </w:tcPr>
          <w:p w14:paraId="57761AD7">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top"/>
          </w:tcPr>
          <w:p w14:paraId="1BCC7785">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r>
      <w:tr w14:paraId="13CA4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57C32102">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阿拉伯文与中文互译</w:t>
            </w:r>
          </w:p>
        </w:tc>
        <w:tc>
          <w:tcPr>
            <w:tcW w:w="2251" w:type="dxa"/>
            <w:tcBorders>
              <w:top w:val="single" w:color="000000" w:sz="4" w:space="0"/>
              <w:left w:val="single" w:color="000000" w:sz="4" w:space="0"/>
              <w:bottom w:val="single" w:color="000000" w:sz="4" w:space="0"/>
              <w:right w:val="single" w:color="000000" w:sz="4" w:space="0"/>
            </w:tcBorders>
            <w:noWrap w:val="0"/>
            <w:vAlign w:val="top"/>
          </w:tcPr>
          <w:p w14:paraId="514DAB50">
            <w:pPr>
              <w:keepNext w:val="0"/>
              <w:keepLines w:val="0"/>
              <w:widowControl/>
              <w:suppressLineNumbers w:val="0"/>
              <w:jc w:val="center"/>
              <w:textAlignment w:val="top"/>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450 </w:t>
            </w:r>
          </w:p>
        </w:tc>
        <w:tc>
          <w:tcPr>
            <w:tcW w:w="995" w:type="dxa"/>
            <w:tcBorders>
              <w:top w:val="single" w:color="000000" w:sz="4" w:space="0"/>
              <w:left w:val="single" w:color="000000" w:sz="4" w:space="0"/>
              <w:bottom w:val="single" w:color="000000" w:sz="4" w:space="0"/>
              <w:right w:val="single" w:color="000000" w:sz="4" w:space="0"/>
            </w:tcBorders>
            <w:noWrap w:val="0"/>
            <w:vAlign w:val="top"/>
          </w:tcPr>
          <w:p w14:paraId="1F8E8112">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top"/>
          </w:tcPr>
          <w:p w14:paraId="5C9FF3DA">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r>
      <w:tr w14:paraId="6CC1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587A3B42">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泰中互译</w:t>
            </w:r>
          </w:p>
        </w:tc>
        <w:tc>
          <w:tcPr>
            <w:tcW w:w="2251" w:type="dxa"/>
            <w:tcBorders>
              <w:top w:val="single" w:color="000000" w:sz="4" w:space="0"/>
              <w:left w:val="single" w:color="000000" w:sz="4" w:space="0"/>
              <w:bottom w:val="single" w:color="000000" w:sz="4" w:space="0"/>
              <w:right w:val="single" w:color="000000" w:sz="4" w:space="0"/>
            </w:tcBorders>
            <w:noWrap w:val="0"/>
            <w:vAlign w:val="top"/>
          </w:tcPr>
          <w:p w14:paraId="46A9A90F">
            <w:pPr>
              <w:keepNext w:val="0"/>
              <w:keepLines w:val="0"/>
              <w:widowControl/>
              <w:suppressLineNumbers w:val="0"/>
              <w:jc w:val="center"/>
              <w:textAlignment w:val="top"/>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500 </w:t>
            </w:r>
          </w:p>
        </w:tc>
        <w:tc>
          <w:tcPr>
            <w:tcW w:w="995" w:type="dxa"/>
            <w:tcBorders>
              <w:top w:val="single" w:color="000000" w:sz="4" w:space="0"/>
              <w:left w:val="single" w:color="000000" w:sz="4" w:space="0"/>
              <w:bottom w:val="single" w:color="000000" w:sz="4" w:space="0"/>
              <w:right w:val="single" w:color="000000" w:sz="4" w:space="0"/>
            </w:tcBorders>
            <w:noWrap w:val="0"/>
            <w:vAlign w:val="top"/>
          </w:tcPr>
          <w:p w14:paraId="49A44275">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top"/>
          </w:tcPr>
          <w:p w14:paraId="2D53E107">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r>
      <w:tr w14:paraId="4D096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35CE0D70">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8"/>
                <w:lang w:val="en-US" w:eastAsia="zh-CN" w:bidi="ar"/>
              </w:rPr>
              <w:t>越中互译</w:t>
            </w:r>
          </w:p>
        </w:tc>
        <w:tc>
          <w:tcPr>
            <w:tcW w:w="2251" w:type="dxa"/>
            <w:tcBorders>
              <w:top w:val="single" w:color="000000" w:sz="4" w:space="0"/>
              <w:left w:val="single" w:color="000000" w:sz="4" w:space="0"/>
              <w:bottom w:val="single" w:color="000000" w:sz="4" w:space="0"/>
              <w:right w:val="single" w:color="000000" w:sz="4" w:space="0"/>
            </w:tcBorders>
            <w:noWrap w:val="0"/>
            <w:vAlign w:val="top"/>
          </w:tcPr>
          <w:p w14:paraId="0B5D7AAD">
            <w:pPr>
              <w:keepNext w:val="0"/>
              <w:keepLines w:val="0"/>
              <w:widowControl/>
              <w:suppressLineNumbers w:val="0"/>
              <w:jc w:val="center"/>
              <w:textAlignment w:val="top"/>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500 </w:t>
            </w:r>
          </w:p>
        </w:tc>
        <w:tc>
          <w:tcPr>
            <w:tcW w:w="995" w:type="dxa"/>
            <w:tcBorders>
              <w:top w:val="single" w:color="000000" w:sz="4" w:space="0"/>
              <w:left w:val="single" w:color="000000" w:sz="4" w:space="0"/>
              <w:bottom w:val="single" w:color="000000" w:sz="4" w:space="0"/>
              <w:right w:val="single" w:color="000000" w:sz="4" w:space="0"/>
            </w:tcBorders>
            <w:noWrap w:val="0"/>
            <w:vAlign w:val="top"/>
          </w:tcPr>
          <w:p w14:paraId="18B1D279">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top"/>
          </w:tcPr>
          <w:p w14:paraId="488AA162">
            <w:pPr>
              <w:keepNext w:val="0"/>
              <w:keepLines w:val="0"/>
              <w:widowControl/>
              <w:suppressLineNumbers w:val="0"/>
              <w:jc w:val="center"/>
              <w:textAlignment w:val="top"/>
              <w:rPr>
                <w:rFonts w:ascii="宋体" w:hAnsi="宋体" w:eastAsia="宋体" w:cs="宋体"/>
                <w:i w:val="0"/>
                <w:iCs w:val="0"/>
                <w:color w:val="000000"/>
                <w:kern w:val="0"/>
                <w:sz w:val="14"/>
                <w:szCs w:val="14"/>
                <w:u w:val="none"/>
                <w:lang w:val="en-US" w:eastAsia="zh-CN" w:bidi="ar"/>
              </w:rPr>
            </w:pPr>
          </w:p>
        </w:tc>
      </w:tr>
      <w:tr w14:paraId="1A3E9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jc w:val="center"/>
        </w:trPr>
        <w:tc>
          <w:tcPr>
            <w:tcW w:w="2789" w:type="dxa"/>
            <w:gridSpan w:val="2"/>
            <w:tcBorders>
              <w:top w:val="single" w:color="000000" w:sz="4" w:space="0"/>
              <w:left w:val="single" w:color="000000" w:sz="4" w:space="0"/>
              <w:bottom w:val="single" w:color="000000" w:sz="4" w:space="0"/>
              <w:right w:val="single" w:color="000000" w:sz="4" w:space="0"/>
            </w:tcBorders>
            <w:noWrap w:val="0"/>
            <w:vAlign w:val="center"/>
          </w:tcPr>
          <w:p w14:paraId="73886BE2">
            <w:pPr>
              <w:keepNext w:val="0"/>
              <w:keepLines w:val="0"/>
              <w:widowControl/>
              <w:suppressLineNumbers w:val="0"/>
              <w:jc w:val="center"/>
              <w:textAlignment w:val="center"/>
              <w:rPr>
                <w:rFonts w:hint="default" w:ascii="Arial" w:hAnsi="Arial" w:cs="Arial"/>
                <w:i w:val="0"/>
                <w:iCs w:val="0"/>
                <w:color w:val="000000"/>
                <w:sz w:val="14"/>
                <w:szCs w:val="14"/>
                <w:u w:val="none"/>
              </w:rPr>
            </w:pPr>
            <w:r>
              <w:rPr>
                <w:rFonts w:hint="default" w:ascii="Arial" w:hAnsi="Arial" w:eastAsia="宋体" w:cs="Arial"/>
                <w:i w:val="0"/>
                <w:iCs w:val="0"/>
                <w:color w:val="000000"/>
                <w:kern w:val="0"/>
                <w:sz w:val="14"/>
                <w:szCs w:val="14"/>
                <w:u w:val="none"/>
                <w:lang w:val="en-US" w:eastAsia="zh-CN" w:bidi="ar"/>
              </w:rPr>
              <w:t>缅中互译</w:t>
            </w:r>
          </w:p>
        </w:tc>
        <w:tc>
          <w:tcPr>
            <w:tcW w:w="2251" w:type="dxa"/>
            <w:tcBorders>
              <w:top w:val="single" w:color="000000" w:sz="4" w:space="0"/>
              <w:left w:val="single" w:color="000000" w:sz="4" w:space="0"/>
              <w:bottom w:val="single" w:color="000000" w:sz="4" w:space="0"/>
              <w:right w:val="single" w:color="000000" w:sz="4" w:space="0"/>
            </w:tcBorders>
            <w:noWrap w:val="0"/>
            <w:vAlign w:val="top"/>
          </w:tcPr>
          <w:p w14:paraId="508E49E9">
            <w:pPr>
              <w:keepNext w:val="0"/>
              <w:keepLines w:val="0"/>
              <w:widowControl/>
              <w:suppressLineNumbers w:val="0"/>
              <w:jc w:val="center"/>
              <w:textAlignment w:val="top"/>
              <w:rPr>
                <w:rFonts w:hint="default" w:ascii="Arial" w:hAnsi="Arial" w:cs="Arial"/>
                <w:i w:val="0"/>
                <w:iCs w:val="0"/>
                <w:color w:val="000000"/>
                <w:sz w:val="14"/>
                <w:szCs w:val="14"/>
                <w:u w:val="none"/>
              </w:rPr>
            </w:pPr>
            <w:r>
              <w:rPr>
                <w:rFonts w:hint="default" w:ascii="Arial" w:hAnsi="Arial" w:eastAsia="宋体" w:cs="Arial"/>
                <w:i w:val="0"/>
                <w:iCs w:val="0"/>
                <w:color w:val="000000"/>
                <w:kern w:val="0"/>
                <w:sz w:val="14"/>
                <w:szCs w:val="14"/>
                <w:u w:val="none"/>
                <w:lang w:val="en-US" w:eastAsia="zh-CN" w:bidi="ar"/>
              </w:rPr>
              <w:t xml:space="preserve">500 </w:t>
            </w:r>
          </w:p>
        </w:tc>
        <w:tc>
          <w:tcPr>
            <w:tcW w:w="995" w:type="dxa"/>
            <w:tcBorders>
              <w:top w:val="single" w:color="000000" w:sz="4" w:space="0"/>
              <w:left w:val="single" w:color="000000" w:sz="4" w:space="0"/>
              <w:bottom w:val="single" w:color="000000" w:sz="4" w:space="0"/>
              <w:right w:val="single" w:color="000000" w:sz="4" w:space="0"/>
            </w:tcBorders>
            <w:noWrap w:val="0"/>
            <w:vAlign w:val="top"/>
          </w:tcPr>
          <w:p w14:paraId="49CDBA2C">
            <w:pPr>
              <w:keepNext w:val="0"/>
              <w:keepLines w:val="0"/>
              <w:widowControl/>
              <w:suppressLineNumbers w:val="0"/>
              <w:jc w:val="center"/>
              <w:textAlignment w:val="top"/>
              <w:rPr>
                <w:rFonts w:hint="default" w:ascii="Arial" w:hAnsi="Arial" w:eastAsia="宋体" w:cs="Arial"/>
                <w:i w:val="0"/>
                <w:iCs w:val="0"/>
                <w:color w:val="000000"/>
                <w:kern w:val="0"/>
                <w:sz w:val="14"/>
                <w:szCs w:val="14"/>
                <w:u w:val="none"/>
                <w:lang w:val="en-US" w:eastAsia="zh-CN" w:bidi="ar"/>
              </w:rPr>
            </w:pPr>
          </w:p>
        </w:tc>
        <w:tc>
          <w:tcPr>
            <w:tcW w:w="1405" w:type="dxa"/>
            <w:tcBorders>
              <w:top w:val="single" w:color="000000" w:sz="4" w:space="0"/>
              <w:left w:val="single" w:color="000000" w:sz="4" w:space="0"/>
              <w:bottom w:val="single" w:color="000000" w:sz="4" w:space="0"/>
              <w:right w:val="single" w:color="000000" w:sz="4" w:space="0"/>
            </w:tcBorders>
            <w:noWrap w:val="0"/>
            <w:vAlign w:val="top"/>
          </w:tcPr>
          <w:p w14:paraId="748BB1D4">
            <w:pPr>
              <w:keepNext w:val="0"/>
              <w:keepLines w:val="0"/>
              <w:widowControl/>
              <w:suppressLineNumbers w:val="0"/>
              <w:jc w:val="center"/>
              <w:textAlignment w:val="top"/>
              <w:rPr>
                <w:rFonts w:hint="default" w:ascii="Arial" w:hAnsi="Arial" w:eastAsia="宋体" w:cs="Arial"/>
                <w:i w:val="0"/>
                <w:iCs w:val="0"/>
                <w:color w:val="000000"/>
                <w:kern w:val="0"/>
                <w:sz w:val="14"/>
                <w:szCs w:val="14"/>
                <w:u w:val="none"/>
                <w:lang w:val="en-US" w:eastAsia="zh-CN" w:bidi="ar"/>
              </w:rPr>
            </w:pPr>
          </w:p>
        </w:tc>
      </w:tr>
    </w:tbl>
    <w:p w14:paraId="52DCF0B8">
      <w:pPr>
        <w:pStyle w:val="9"/>
        <w:shd w:val="clear" w:color="auto" w:fill="auto"/>
        <w:rPr>
          <w:rFonts w:hint="eastAsia"/>
          <w:highlight w:val="none"/>
          <w:lang w:val="en-US" w:eastAsia="zh-CN"/>
        </w:rPr>
      </w:pPr>
    </w:p>
    <w:tbl>
      <w:tblPr>
        <w:tblStyle w:val="5"/>
        <w:tblW w:w="71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36"/>
        <w:gridCol w:w="1343"/>
        <w:gridCol w:w="1389"/>
        <w:gridCol w:w="1178"/>
        <w:gridCol w:w="1104"/>
        <w:gridCol w:w="1007"/>
      </w:tblGrid>
      <w:tr w14:paraId="0C45F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3868" w:type="dxa"/>
            <w:gridSpan w:val="3"/>
            <w:tcBorders>
              <w:top w:val="nil"/>
              <w:left w:val="nil"/>
              <w:bottom w:val="nil"/>
              <w:right w:val="nil"/>
            </w:tcBorders>
            <w:noWrap w:val="0"/>
            <w:vAlign w:val="top"/>
          </w:tcPr>
          <w:p w14:paraId="1244350F">
            <w:pPr>
              <w:keepNext w:val="0"/>
              <w:keepLines w:val="0"/>
              <w:widowControl/>
              <w:suppressLineNumbers w:val="0"/>
              <w:jc w:val="center"/>
              <w:textAlignment w:val="top"/>
              <w:rPr>
                <w:rFonts w:ascii="宋体" w:hAnsi="宋体" w:eastAsia="宋体" w:cs="宋体"/>
                <w:i w:val="0"/>
                <w:iCs w:val="0"/>
                <w:color w:val="000000"/>
                <w:sz w:val="16"/>
                <w:szCs w:val="16"/>
                <w:u w:val="none"/>
              </w:rPr>
            </w:pPr>
            <w:r>
              <w:rPr>
                <w:rStyle w:val="10"/>
                <w:lang w:val="en-US" w:eastAsia="zh-CN" w:bidi="ar"/>
              </w:rPr>
              <w:t>(2)印刷级及网络平台资料翻译单价(含税)</w:t>
            </w:r>
          </w:p>
        </w:tc>
        <w:tc>
          <w:tcPr>
            <w:tcW w:w="1178" w:type="dxa"/>
            <w:tcBorders>
              <w:top w:val="nil"/>
              <w:left w:val="nil"/>
              <w:bottom w:val="nil"/>
              <w:right w:val="nil"/>
            </w:tcBorders>
            <w:noWrap w:val="0"/>
            <w:vAlign w:val="top"/>
          </w:tcPr>
          <w:p w14:paraId="2E3FD1F8">
            <w:pPr>
              <w:keepNext w:val="0"/>
              <w:keepLines w:val="0"/>
              <w:widowControl/>
              <w:suppressLineNumbers w:val="0"/>
              <w:jc w:val="center"/>
              <w:textAlignment w:val="top"/>
              <w:rPr>
                <w:rStyle w:val="10"/>
                <w:lang w:val="en-US" w:eastAsia="zh-CN" w:bidi="ar"/>
              </w:rPr>
            </w:pPr>
          </w:p>
        </w:tc>
        <w:tc>
          <w:tcPr>
            <w:tcW w:w="1104" w:type="dxa"/>
            <w:tcBorders>
              <w:top w:val="nil"/>
              <w:left w:val="nil"/>
              <w:bottom w:val="nil"/>
              <w:right w:val="nil"/>
            </w:tcBorders>
            <w:noWrap w:val="0"/>
            <w:vAlign w:val="top"/>
          </w:tcPr>
          <w:p w14:paraId="0519565E">
            <w:pPr>
              <w:keepNext w:val="0"/>
              <w:keepLines w:val="0"/>
              <w:widowControl/>
              <w:suppressLineNumbers w:val="0"/>
              <w:jc w:val="center"/>
              <w:textAlignment w:val="top"/>
              <w:rPr>
                <w:rStyle w:val="10"/>
                <w:lang w:val="en-US" w:eastAsia="zh-CN" w:bidi="ar"/>
              </w:rPr>
            </w:pPr>
          </w:p>
        </w:tc>
        <w:tc>
          <w:tcPr>
            <w:tcW w:w="1007" w:type="dxa"/>
            <w:tcBorders>
              <w:top w:val="nil"/>
              <w:left w:val="nil"/>
              <w:bottom w:val="nil"/>
              <w:right w:val="nil"/>
            </w:tcBorders>
            <w:noWrap w:val="0"/>
            <w:vAlign w:val="top"/>
          </w:tcPr>
          <w:p w14:paraId="405ABF59">
            <w:pPr>
              <w:keepNext w:val="0"/>
              <w:keepLines w:val="0"/>
              <w:widowControl/>
              <w:suppressLineNumbers w:val="0"/>
              <w:jc w:val="center"/>
              <w:textAlignment w:val="top"/>
              <w:rPr>
                <w:rStyle w:val="10"/>
                <w:lang w:val="en-US" w:eastAsia="zh-CN" w:bidi="ar"/>
              </w:rPr>
            </w:pPr>
          </w:p>
        </w:tc>
      </w:tr>
      <w:tr w14:paraId="75B61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136" w:type="dxa"/>
            <w:vMerge w:val="restart"/>
            <w:tcBorders>
              <w:top w:val="single" w:color="000000" w:sz="4" w:space="0"/>
              <w:left w:val="single" w:color="000000" w:sz="4" w:space="0"/>
              <w:bottom w:val="single" w:color="000000" w:sz="4" w:space="0"/>
              <w:right w:val="single" w:color="000000" w:sz="4" w:space="0"/>
            </w:tcBorders>
            <w:noWrap w:val="0"/>
            <w:vAlign w:val="center"/>
          </w:tcPr>
          <w:p w14:paraId="59C356D4">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语种</w:t>
            </w:r>
          </w:p>
        </w:tc>
        <w:tc>
          <w:tcPr>
            <w:tcW w:w="2732" w:type="dxa"/>
            <w:gridSpan w:val="2"/>
            <w:tcBorders>
              <w:top w:val="single" w:color="000000" w:sz="4" w:space="0"/>
              <w:left w:val="single" w:color="000000" w:sz="4" w:space="0"/>
              <w:bottom w:val="single" w:color="000000" w:sz="4" w:space="0"/>
              <w:right w:val="single" w:color="000000" w:sz="4" w:space="0"/>
            </w:tcBorders>
            <w:noWrap w:val="0"/>
            <w:vAlign w:val="center"/>
          </w:tcPr>
          <w:p w14:paraId="51063775">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单价(元/千字)</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69561371">
            <w:pPr>
              <w:keepNext w:val="0"/>
              <w:keepLines w:val="0"/>
              <w:widowControl/>
              <w:suppressLineNumbers w:val="0"/>
              <w:jc w:val="center"/>
              <w:textAlignment w:val="center"/>
              <w:rPr>
                <w:rStyle w:val="11"/>
                <w:rFonts w:hint="default"/>
                <w:lang w:val="en-US" w:eastAsia="zh-CN" w:bidi="ar"/>
              </w:rPr>
            </w:pPr>
            <w:r>
              <w:rPr>
                <w:rStyle w:val="11"/>
                <w:rFonts w:hint="eastAsia"/>
                <w:lang w:val="en-US" w:eastAsia="zh-CN" w:bidi="ar"/>
              </w:rPr>
              <w:t>下浮比率</w:t>
            </w:r>
          </w:p>
        </w:tc>
        <w:tc>
          <w:tcPr>
            <w:tcW w:w="2111" w:type="dxa"/>
            <w:gridSpan w:val="2"/>
            <w:tcBorders>
              <w:top w:val="single" w:color="000000" w:sz="4" w:space="0"/>
              <w:left w:val="single" w:color="000000" w:sz="4" w:space="0"/>
              <w:bottom w:val="single" w:color="000000" w:sz="4" w:space="0"/>
              <w:right w:val="single" w:color="000000" w:sz="4" w:space="0"/>
            </w:tcBorders>
            <w:noWrap w:val="0"/>
            <w:vAlign w:val="center"/>
          </w:tcPr>
          <w:p w14:paraId="7D367579">
            <w:pPr>
              <w:keepNext w:val="0"/>
              <w:keepLines w:val="0"/>
              <w:widowControl/>
              <w:suppressLineNumbers w:val="0"/>
              <w:jc w:val="center"/>
              <w:textAlignment w:val="center"/>
              <w:rPr>
                <w:rStyle w:val="11"/>
                <w:rFonts w:hint="default"/>
                <w:lang w:val="en-US" w:eastAsia="zh-CN" w:bidi="ar"/>
              </w:rPr>
            </w:pPr>
            <w:r>
              <w:rPr>
                <w:rStyle w:val="11"/>
                <w:rFonts w:hint="eastAsia"/>
                <w:lang w:val="en-US" w:eastAsia="zh-CN" w:bidi="ar"/>
              </w:rPr>
              <w:t xml:space="preserve"> 实际价格</w:t>
            </w:r>
          </w:p>
        </w:tc>
      </w:tr>
      <w:tr w14:paraId="441C6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3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0C78C">
            <w:pPr>
              <w:jc w:val="center"/>
              <w:rPr>
                <w:rFonts w:hint="eastAsia" w:ascii="宋体" w:hAnsi="宋体" w:eastAsia="宋体" w:cs="宋体"/>
                <w:i w:val="0"/>
                <w:iCs w:val="0"/>
                <w:color w:val="000000"/>
                <w:sz w:val="14"/>
                <w:szCs w:val="14"/>
                <w:u w:val="none"/>
              </w:rPr>
            </w:pP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4329B83D">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外译中</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741EC5CC">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中译外</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46850B8A">
            <w:pPr>
              <w:keepNext w:val="0"/>
              <w:keepLines w:val="0"/>
              <w:widowControl/>
              <w:suppressLineNumbers w:val="0"/>
              <w:jc w:val="center"/>
              <w:textAlignment w:val="center"/>
              <w:rPr>
                <w:rStyle w:val="11"/>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6D2F1CB5">
            <w:pPr>
              <w:keepNext w:val="0"/>
              <w:keepLines w:val="0"/>
              <w:widowControl/>
              <w:suppressLineNumbers w:val="0"/>
              <w:jc w:val="center"/>
              <w:textAlignment w:val="center"/>
              <w:rPr>
                <w:rStyle w:val="11"/>
                <w:lang w:val="en-US" w:eastAsia="zh-CN" w:bidi="ar"/>
              </w:rPr>
            </w:pPr>
            <w:r>
              <w:rPr>
                <w:rStyle w:val="11"/>
                <w:lang w:val="en-US" w:eastAsia="zh-CN" w:bidi="ar"/>
              </w:rPr>
              <w:t>外译中</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0CD06153">
            <w:pPr>
              <w:keepNext w:val="0"/>
              <w:keepLines w:val="0"/>
              <w:widowControl/>
              <w:suppressLineNumbers w:val="0"/>
              <w:jc w:val="center"/>
              <w:textAlignment w:val="center"/>
              <w:rPr>
                <w:rStyle w:val="11"/>
                <w:lang w:val="en-US" w:eastAsia="zh-CN" w:bidi="ar"/>
              </w:rPr>
            </w:pPr>
            <w:r>
              <w:rPr>
                <w:rStyle w:val="11"/>
                <w:lang w:val="en-US" w:eastAsia="zh-CN" w:bidi="ar"/>
              </w:rPr>
              <w:t>中译外</w:t>
            </w:r>
          </w:p>
        </w:tc>
      </w:tr>
      <w:tr w14:paraId="6F8F9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70EF51C5">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英文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74D9278F">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340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33831619">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360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70E92FC2">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53C5E0E5">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05988EE0">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496C9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571EE3C7">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日 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25216F73">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360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3125CD31">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400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297EE12A">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5E958EAB">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528BE49A">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12FBE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79B64A7E">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韩文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08A8D8B2">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360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629645C7">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400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1BE4F971">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2AB98657">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0F98F053">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1D1FC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5FB10993">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俄语</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421A6E6A">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400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410794AB">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450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5F74F762">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3F9BD4EE">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095112E7">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0E034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742A6329">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法文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7199209A">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400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255A51CE">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450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390D9554">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6480CF3D">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5053315F">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66F6D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002A9934">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德文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694563D3">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400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66C5A17E">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450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22C9B56C">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729FCB06">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73E4DDC5">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60687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23723441">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西班牙文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20B09DB8">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450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0B00F7E3">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480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6BA74E2D">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4436FA60">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1B256CD">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22016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704EDBBB">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葡萄牙文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3042EF09">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450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1B57C6C9">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500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54E1F326">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77A493F6">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7E2C6F85">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5C60D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19AF225D">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阿拉伯文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30B2C01D">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550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6A76D5DA">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600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39318EC2">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7775F7EA">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22FC5701">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1C1E1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18E7E1ED">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泰文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4EF33907">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550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589DB760">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600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36D269A1">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179E88FE">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52E12FFE">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3F2BB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7BD23631">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越南文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54E67CE3">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600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14B91A20">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650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0C874415">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644F86D6">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6B85641A">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25433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4BF1AD9F">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缅甸文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362F5C5D">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600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7D3A46FB">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650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69858B55">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3C1077BA">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4ABA24D0">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428D3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3ABC5203">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印尼文</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138CB5E0">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550 </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5DE85423">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Fonts w:ascii="宋体" w:hAnsi="宋体" w:eastAsia="宋体" w:cs="宋体"/>
                <w:i w:val="0"/>
                <w:iCs w:val="0"/>
                <w:color w:val="000000"/>
                <w:kern w:val="0"/>
                <w:sz w:val="14"/>
                <w:szCs w:val="14"/>
                <w:u w:val="none"/>
                <w:lang w:val="en-US" w:eastAsia="zh-CN" w:bidi="ar"/>
              </w:rPr>
              <w:t xml:space="preserve">600 </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3E35CEBE">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6C6FB752">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203A3BB3">
            <w:pPr>
              <w:keepNext w:val="0"/>
              <w:keepLines w:val="0"/>
              <w:widowControl/>
              <w:suppressLineNumbers w:val="0"/>
              <w:jc w:val="center"/>
              <w:textAlignment w:val="center"/>
              <w:rPr>
                <w:rFonts w:ascii="宋体" w:hAnsi="宋体" w:eastAsia="宋体" w:cs="宋体"/>
                <w:i w:val="0"/>
                <w:iCs w:val="0"/>
                <w:color w:val="000000"/>
                <w:kern w:val="0"/>
                <w:sz w:val="14"/>
                <w:szCs w:val="14"/>
                <w:u w:val="none"/>
                <w:lang w:val="en-US" w:eastAsia="zh-CN" w:bidi="ar"/>
              </w:rPr>
            </w:pPr>
          </w:p>
        </w:tc>
      </w:tr>
      <w:tr w14:paraId="65B02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136" w:type="dxa"/>
            <w:tcBorders>
              <w:top w:val="single" w:color="000000" w:sz="4" w:space="0"/>
              <w:left w:val="single" w:color="000000" w:sz="4" w:space="0"/>
              <w:bottom w:val="single" w:color="000000" w:sz="4" w:space="0"/>
              <w:right w:val="single" w:color="000000" w:sz="4" w:space="0"/>
            </w:tcBorders>
            <w:noWrap w:val="0"/>
            <w:vAlign w:val="center"/>
          </w:tcPr>
          <w:p w14:paraId="3534E870">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稀少语种另议</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708F929B">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550以上</w:t>
            </w:r>
          </w:p>
        </w:tc>
        <w:tc>
          <w:tcPr>
            <w:tcW w:w="1389" w:type="dxa"/>
            <w:tcBorders>
              <w:top w:val="single" w:color="000000" w:sz="4" w:space="0"/>
              <w:left w:val="single" w:color="000000" w:sz="4" w:space="0"/>
              <w:bottom w:val="single" w:color="000000" w:sz="4" w:space="0"/>
              <w:right w:val="single" w:color="000000" w:sz="4" w:space="0"/>
            </w:tcBorders>
            <w:noWrap w:val="0"/>
            <w:vAlign w:val="center"/>
          </w:tcPr>
          <w:p w14:paraId="59D7621B">
            <w:pPr>
              <w:keepNext w:val="0"/>
              <w:keepLines w:val="0"/>
              <w:widowControl/>
              <w:suppressLineNumbers w:val="0"/>
              <w:jc w:val="center"/>
              <w:textAlignment w:val="center"/>
              <w:rPr>
                <w:rFonts w:ascii="宋体" w:hAnsi="宋体" w:eastAsia="宋体" w:cs="宋体"/>
                <w:i w:val="0"/>
                <w:iCs w:val="0"/>
                <w:color w:val="000000"/>
                <w:sz w:val="14"/>
                <w:szCs w:val="14"/>
                <w:u w:val="none"/>
              </w:rPr>
            </w:pPr>
            <w:r>
              <w:rPr>
                <w:rStyle w:val="11"/>
                <w:lang w:val="en-US" w:eastAsia="zh-CN" w:bidi="ar"/>
              </w:rPr>
              <w:t>600以上</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1384E269">
            <w:pPr>
              <w:keepNext w:val="0"/>
              <w:keepLines w:val="0"/>
              <w:widowControl/>
              <w:suppressLineNumbers w:val="0"/>
              <w:jc w:val="center"/>
              <w:textAlignment w:val="center"/>
              <w:rPr>
                <w:rStyle w:val="11"/>
                <w:lang w:val="en-US" w:eastAsia="zh-CN" w:bidi="ar"/>
              </w:rPr>
            </w:pPr>
          </w:p>
        </w:tc>
        <w:tc>
          <w:tcPr>
            <w:tcW w:w="1104" w:type="dxa"/>
            <w:tcBorders>
              <w:top w:val="single" w:color="000000" w:sz="4" w:space="0"/>
              <w:left w:val="single" w:color="000000" w:sz="4" w:space="0"/>
              <w:bottom w:val="single" w:color="000000" w:sz="4" w:space="0"/>
              <w:right w:val="single" w:color="000000" w:sz="4" w:space="0"/>
            </w:tcBorders>
            <w:noWrap w:val="0"/>
            <w:vAlign w:val="center"/>
          </w:tcPr>
          <w:p w14:paraId="4C12F3CC">
            <w:pPr>
              <w:keepNext w:val="0"/>
              <w:keepLines w:val="0"/>
              <w:widowControl/>
              <w:suppressLineNumbers w:val="0"/>
              <w:jc w:val="center"/>
              <w:textAlignment w:val="center"/>
              <w:rPr>
                <w:rStyle w:val="11"/>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640E4B29">
            <w:pPr>
              <w:keepNext w:val="0"/>
              <w:keepLines w:val="0"/>
              <w:widowControl/>
              <w:suppressLineNumbers w:val="0"/>
              <w:jc w:val="center"/>
              <w:textAlignment w:val="center"/>
              <w:rPr>
                <w:rStyle w:val="11"/>
                <w:lang w:val="en-US" w:eastAsia="zh-CN" w:bidi="ar"/>
              </w:rPr>
            </w:pPr>
          </w:p>
        </w:tc>
      </w:tr>
      <w:tr w14:paraId="59CA7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jc w:val="center"/>
        </w:trPr>
        <w:tc>
          <w:tcPr>
            <w:tcW w:w="7157" w:type="dxa"/>
            <w:gridSpan w:val="6"/>
            <w:tcBorders>
              <w:top w:val="nil"/>
              <w:left w:val="nil"/>
              <w:bottom w:val="nil"/>
              <w:right w:val="nil"/>
            </w:tcBorders>
            <w:noWrap w:val="0"/>
            <w:vAlign w:val="center"/>
          </w:tcPr>
          <w:p w14:paraId="59E6BA2C">
            <w:pPr>
              <w:keepNext w:val="0"/>
              <w:keepLines w:val="0"/>
              <w:widowControl/>
              <w:suppressLineNumbers w:val="0"/>
              <w:jc w:val="left"/>
              <w:textAlignment w:val="center"/>
              <w:rPr>
                <w:rStyle w:val="10"/>
                <w:lang w:val="en-US" w:eastAsia="zh-CN" w:bidi="ar"/>
              </w:rPr>
            </w:pPr>
            <w:r>
              <w:rPr>
                <w:rStyle w:val="10"/>
                <w:lang w:val="en-US" w:eastAsia="zh-CN" w:bidi="ar"/>
              </w:rPr>
              <w:t>备注：(1)按《中文</w:t>
            </w:r>
            <w:r>
              <w:rPr>
                <w:rStyle w:val="10"/>
                <w:rFonts w:hint="eastAsia"/>
                <w:lang w:val="en-US" w:eastAsia="zh-CN" w:bidi="ar"/>
              </w:rPr>
              <w:t>》</w:t>
            </w:r>
            <w:r>
              <w:rPr>
                <w:rStyle w:val="10"/>
                <w:lang w:val="en-US" w:eastAsia="zh-CN" w:bidi="ar"/>
              </w:rPr>
              <w:t>WORD文档不计空格的字符数统计结算：</w:t>
            </w:r>
          </w:p>
          <w:p w14:paraId="7DCCC64B">
            <w:pPr>
              <w:keepNext w:val="0"/>
              <w:keepLines w:val="0"/>
              <w:widowControl/>
              <w:suppressLineNumbers w:val="0"/>
              <w:jc w:val="left"/>
              <w:textAlignment w:val="top"/>
              <w:rPr>
                <w:rStyle w:val="10"/>
                <w:rFonts w:ascii="宋体" w:hAnsi="宋体" w:eastAsia="宋体" w:cs="宋体"/>
                <w:color w:val="000000"/>
                <w:lang w:val="en-US" w:eastAsia="zh-CN" w:bidi="ar"/>
              </w:rPr>
            </w:pPr>
            <w:r>
              <w:rPr>
                <w:rStyle w:val="10"/>
                <w:rFonts w:ascii="宋体" w:hAnsi="宋体" w:eastAsia="宋体" w:cs="宋体"/>
                <w:color w:val="000000"/>
                <w:lang w:val="en-US" w:eastAsia="zh-CN" w:bidi="ar"/>
              </w:rPr>
              <w:t xml:space="preserve">     (2)如文本是非电子文档可编辑格式，且原文是中文则按照相应比例折算字数</w:t>
            </w:r>
          </w:p>
          <w:p w14:paraId="02891EB9">
            <w:pPr>
              <w:keepNext w:val="0"/>
              <w:keepLines w:val="0"/>
              <w:widowControl/>
              <w:suppressLineNumbers w:val="0"/>
              <w:jc w:val="left"/>
              <w:textAlignment w:val="top"/>
              <w:rPr>
                <w:rStyle w:val="10"/>
                <w:rFonts w:ascii="宋体" w:hAnsi="宋体" w:eastAsia="宋体" w:cs="宋体"/>
                <w:color w:val="000000"/>
                <w:lang w:val="en-US" w:eastAsia="zh-CN" w:bidi="ar"/>
              </w:rPr>
            </w:pPr>
            <w:r>
              <w:rPr>
                <w:rStyle w:val="10"/>
                <w:rFonts w:ascii="宋体" w:hAnsi="宋体" w:eastAsia="宋体" w:cs="宋体"/>
                <w:color w:val="000000"/>
              </w:rPr>
              <w:t>结 算 。</w:t>
            </w:r>
          </w:p>
        </w:tc>
      </w:tr>
    </w:tbl>
    <w:p w14:paraId="0429F1DD">
      <w:pPr>
        <w:spacing w:line="400" w:lineRule="exact"/>
        <w:rPr>
          <w:rFonts w:hint="default" w:eastAsia="宋体"/>
          <w:b w:val="0"/>
          <w:bCs/>
          <w:sz w:val="24"/>
          <w:highlight w:val="yellow"/>
          <w:lang w:val="en-US" w:eastAsia="zh-CN"/>
        </w:rPr>
      </w:pPr>
      <w:r>
        <w:rPr>
          <w:rFonts w:hint="eastAsia"/>
          <w:b w:val="0"/>
          <w:bCs/>
          <w:sz w:val="24"/>
          <w:highlight w:val="yellow"/>
          <w:lang w:val="en-US" w:eastAsia="zh-CN"/>
        </w:rPr>
        <w:t>2、乙方完成每次翻译任务后按以上计费方式统计实际翻译量并计算金额，由甲方确认。</w:t>
      </w:r>
    </w:p>
    <w:p w14:paraId="1F9D99AA">
      <w:pPr>
        <w:spacing w:line="400" w:lineRule="exact"/>
        <w:jc w:val="left"/>
        <w:rPr>
          <w:rFonts w:hint="eastAsia"/>
          <w:sz w:val="24"/>
          <w:highlight w:val="yellow"/>
          <w:u w:val="single"/>
        </w:rPr>
      </w:pPr>
      <w:r>
        <w:rPr>
          <w:rFonts w:hint="eastAsia"/>
          <w:sz w:val="24"/>
          <w:highlight w:val="yellow"/>
          <w:lang w:val="en-US" w:eastAsia="zh-CN"/>
        </w:rPr>
        <w:t>3</w:t>
      </w:r>
      <w:r>
        <w:rPr>
          <w:rFonts w:hint="eastAsia"/>
          <w:sz w:val="24"/>
          <w:highlight w:val="yellow"/>
        </w:rPr>
        <w:t>、</w:t>
      </w:r>
      <w:r>
        <w:rPr>
          <w:rFonts w:hint="eastAsia"/>
          <w:sz w:val="24"/>
          <w:highlight w:val="yellow"/>
          <w:lang w:val="en-US" w:eastAsia="zh-CN"/>
        </w:rPr>
        <w:t>甲方支付翻译</w:t>
      </w:r>
      <w:r>
        <w:rPr>
          <w:rFonts w:hint="eastAsia" w:ascii="宋体" w:hAnsi="宋体"/>
          <w:sz w:val="24"/>
          <w:highlight w:val="yellow"/>
        </w:rPr>
        <w:t>服</w:t>
      </w:r>
      <w:r>
        <w:rPr>
          <w:rFonts w:hint="eastAsia"/>
          <w:sz w:val="24"/>
          <w:highlight w:val="yellow"/>
        </w:rPr>
        <w:t>务费总金额：</w:t>
      </w:r>
      <w:r>
        <w:rPr>
          <w:rFonts w:hint="eastAsia"/>
          <w:sz w:val="24"/>
          <w:highlight w:val="yellow"/>
          <w:u w:val="single"/>
        </w:rPr>
        <w:t xml:space="preserve">  </w:t>
      </w:r>
      <w:r>
        <w:rPr>
          <w:rFonts w:hint="eastAsia"/>
          <w:sz w:val="24"/>
          <w:highlight w:val="yellow"/>
          <w:u w:val="single"/>
          <w:lang w:val="en-US" w:eastAsia="zh-CN"/>
        </w:rPr>
        <w:t>20万元</w:t>
      </w:r>
      <w:r>
        <w:rPr>
          <w:rFonts w:hint="eastAsia"/>
          <w:sz w:val="24"/>
          <w:highlight w:val="yellow"/>
          <w:u w:val="single"/>
        </w:rPr>
        <w:t xml:space="preserve"> </w:t>
      </w:r>
      <w:r>
        <w:rPr>
          <w:rFonts w:hint="eastAsia"/>
          <w:sz w:val="24"/>
          <w:highlight w:val="yellow"/>
        </w:rPr>
        <w:t xml:space="preserve"> （在签订合同</w:t>
      </w:r>
      <w:r>
        <w:rPr>
          <w:rFonts w:hint="eastAsia"/>
          <w:sz w:val="24"/>
          <w:highlight w:val="yellow"/>
          <w:lang w:val="en-US" w:eastAsia="zh-CN"/>
        </w:rPr>
        <w:t>后15个工作日内）的80%</w:t>
      </w:r>
      <w:r>
        <w:rPr>
          <w:rFonts w:hint="eastAsia"/>
          <w:sz w:val="24"/>
          <w:highlight w:val="yellow"/>
        </w:rPr>
        <w:t>预付款</w:t>
      </w:r>
      <w:r>
        <w:rPr>
          <w:rFonts w:hint="eastAsia"/>
          <w:sz w:val="24"/>
          <w:highlight w:val="yellow"/>
          <w:lang w:eastAsia="zh-CN"/>
        </w:rPr>
        <w:t>，</w:t>
      </w:r>
      <w:r>
        <w:rPr>
          <w:rFonts w:hint="eastAsia"/>
          <w:sz w:val="24"/>
          <w:highlight w:val="yellow"/>
          <w:lang w:val="en-US" w:eastAsia="zh-CN"/>
        </w:rPr>
        <w:t>乙方完成翻译并交付甲方，经甲方校核确认质量和数量无误后，采购人支付剩余20%</w:t>
      </w:r>
      <w:r>
        <w:rPr>
          <w:rFonts w:hint="eastAsia"/>
          <w:sz w:val="24"/>
          <w:highlight w:val="yellow"/>
        </w:rPr>
        <w:t>）。</w:t>
      </w:r>
    </w:p>
    <w:p w14:paraId="4EB3E622">
      <w:pPr>
        <w:spacing w:line="400" w:lineRule="exact"/>
        <w:jc w:val="left"/>
        <w:rPr>
          <w:rFonts w:hint="eastAsia"/>
          <w:sz w:val="24"/>
        </w:rPr>
      </w:pPr>
      <w:r>
        <w:rPr>
          <w:rFonts w:hint="eastAsia"/>
          <w:sz w:val="24"/>
        </w:rPr>
        <w:t xml:space="preserve">3、付款方式  </w:t>
      </w:r>
      <w:r>
        <w:rPr>
          <w:sz w:val="44"/>
          <w:szCs w:val="44"/>
          <w:highlight w:val="yellow"/>
        </w:rPr>
        <w:t>□</w:t>
      </w:r>
      <w:r>
        <w:rPr>
          <w:rFonts w:hint="eastAsia"/>
          <w:sz w:val="24"/>
        </w:rPr>
        <w:t xml:space="preserve">转帐  </w:t>
      </w:r>
      <w:r>
        <w:rPr>
          <w:sz w:val="44"/>
          <w:szCs w:val="44"/>
        </w:rPr>
        <w:t>□</w:t>
      </w:r>
      <w:r>
        <w:rPr>
          <w:rFonts w:hint="eastAsia"/>
          <w:sz w:val="24"/>
        </w:rPr>
        <w:t>现金</w:t>
      </w:r>
    </w:p>
    <w:p w14:paraId="1426F20A">
      <w:pPr>
        <w:spacing w:line="460" w:lineRule="exact"/>
        <w:jc w:val="left"/>
        <w:rPr>
          <w:rFonts w:hint="eastAsia"/>
          <w:b w:val="0"/>
          <w:bCs/>
          <w:sz w:val="24"/>
        </w:rPr>
      </w:pPr>
      <w:r>
        <w:rPr>
          <w:rFonts w:hint="eastAsia"/>
          <w:b w:val="0"/>
          <w:bCs/>
          <w:sz w:val="24"/>
          <w:lang w:val="en-US" w:eastAsia="zh-CN"/>
        </w:rPr>
        <w:t>4、</w:t>
      </w:r>
      <w:r>
        <w:rPr>
          <w:rFonts w:hint="eastAsia"/>
          <w:b w:val="0"/>
          <w:bCs/>
          <w:sz w:val="24"/>
        </w:rPr>
        <w:t>账号信息：</w:t>
      </w:r>
    </w:p>
    <w:p w14:paraId="72653AC2">
      <w:pPr>
        <w:spacing w:line="460" w:lineRule="exact"/>
        <w:ind w:firstLine="420"/>
        <w:jc w:val="left"/>
        <w:rPr>
          <w:rFonts w:hint="default" w:eastAsia="宋体"/>
          <w:sz w:val="24"/>
          <w:lang w:val="en-US" w:eastAsia="zh-CN"/>
        </w:rPr>
      </w:pPr>
      <w:r>
        <w:rPr>
          <w:rFonts w:hint="eastAsia"/>
          <w:sz w:val="24"/>
        </w:rPr>
        <w:t>开户名称：</w:t>
      </w:r>
      <w:r>
        <w:rPr>
          <w:rFonts w:hint="eastAsia"/>
          <w:sz w:val="24"/>
          <w:lang w:val="en-US" w:eastAsia="zh-CN"/>
        </w:rPr>
        <w:t xml:space="preserve">       </w:t>
      </w:r>
    </w:p>
    <w:p w14:paraId="34F819A0">
      <w:pPr>
        <w:spacing w:line="460" w:lineRule="exact"/>
        <w:ind w:firstLine="420"/>
        <w:jc w:val="left"/>
        <w:rPr>
          <w:rFonts w:hint="default" w:eastAsia="宋体"/>
          <w:sz w:val="24"/>
          <w:lang w:val="en-US" w:eastAsia="zh-CN"/>
        </w:rPr>
      </w:pPr>
      <w:r>
        <w:rPr>
          <w:rFonts w:hint="eastAsia"/>
          <w:sz w:val="24"/>
        </w:rPr>
        <w:t>开 户 行：</w:t>
      </w:r>
      <w:r>
        <w:rPr>
          <w:rFonts w:hint="eastAsia"/>
          <w:sz w:val="24"/>
          <w:lang w:val="en-US" w:eastAsia="zh-CN"/>
        </w:rPr>
        <w:t xml:space="preserve">         </w:t>
      </w:r>
    </w:p>
    <w:p w14:paraId="49B3127C">
      <w:pPr>
        <w:spacing w:line="460" w:lineRule="exact"/>
        <w:ind w:firstLine="420"/>
        <w:jc w:val="left"/>
        <w:rPr>
          <w:rFonts w:hint="eastAsia"/>
          <w:sz w:val="24"/>
        </w:rPr>
      </w:pPr>
      <w:r>
        <w:rPr>
          <w:rFonts w:hint="eastAsia"/>
          <w:sz w:val="24"/>
        </w:rPr>
        <w:t>账    号：</w:t>
      </w:r>
      <w:r>
        <w:rPr>
          <w:rFonts w:hint="eastAsia"/>
          <w:sz w:val="24"/>
          <w:lang w:val="en-US" w:eastAsia="zh-CN"/>
        </w:rPr>
        <w:t xml:space="preserve">           </w:t>
      </w:r>
    </w:p>
    <w:p w14:paraId="45755C54">
      <w:pPr>
        <w:spacing w:line="400" w:lineRule="exact"/>
        <w:jc w:val="left"/>
        <w:rPr>
          <w:rFonts w:hint="eastAsia"/>
          <w:sz w:val="24"/>
        </w:rPr>
      </w:pPr>
      <w:r>
        <w:rPr>
          <w:rFonts w:hint="eastAsia"/>
          <w:sz w:val="24"/>
        </w:rPr>
        <w:t>5、若因甲方原因引起延迟交稿，付款日期应保持不变；</w:t>
      </w:r>
    </w:p>
    <w:p w14:paraId="37F8D3EA">
      <w:pPr>
        <w:spacing w:line="400" w:lineRule="exact"/>
        <w:jc w:val="left"/>
        <w:rPr>
          <w:rFonts w:hint="eastAsia"/>
          <w:sz w:val="24"/>
        </w:rPr>
      </w:pPr>
      <w:r>
        <w:rPr>
          <w:rFonts w:hint="eastAsia"/>
          <w:sz w:val="24"/>
        </w:rPr>
        <w:t>6、若甲方逾期付款，则须每日支付当次服务费总金额的百分之五为违约金，并负责支付乙方在向甲方追取欠款时所花费的一切费用（包括人工费、交通费、律师费等）；</w:t>
      </w:r>
    </w:p>
    <w:p w14:paraId="05BE0ABB">
      <w:pPr>
        <w:spacing w:line="400" w:lineRule="exact"/>
        <w:jc w:val="left"/>
        <w:rPr>
          <w:rFonts w:hint="eastAsia"/>
          <w:sz w:val="24"/>
        </w:rPr>
      </w:pPr>
      <w:r>
        <w:rPr>
          <w:rFonts w:hint="eastAsia"/>
          <w:sz w:val="24"/>
        </w:rPr>
        <w:t>7、应乙方要求，甲方应向乙方提供合理支持，如提供有关参考资料、解答有关咨询等。</w:t>
      </w:r>
    </w:p>
    <w:p w14:paraId="0999375A">
      <w:pPr>
        <w:spacing w:line="400" w:lineRule="exact"/>
        <w:jc w:val="left"/>
        <w:rPr>
          <w:rFonts w:hint="eastAsia"/>
          <w:sz w:val="24"/>
        </w:rPr>
      </w:pPr>
      <w:r>
        <w:rPr>
          <w:rFonts w:hint="eastAsia"/>
          <w:sz w:val="24"/>
        </w:rPr>
        <w:t>A．翻译前或翻译过程中：</w:t>
      </w:r>
    </w:p>
    <w:p w14:paraId="4E0347B1">
      <w:pPr>
        <w:spacing w:line="400" w:lineRule="exact"/>
        <w:jc w:val="left"/>
        <w:rPr>
          <w:rFonts w:hint="eastAsia"/>
          <w:sz w:val="24"/>
        </w:rPr>
      </w:pPr>
      <w:r>
        <w:rPr>
          <w:rFonts w:hint="eastAsia"/>
          <w:sz w:val="24"/>
        </w:rPr>
        <w:t>（1）增加：如甲方增加原稿内容，而需乙方对增加内容进行翻译，增加内容另行收费；</w:t>
      </w:r>
    </w:p>
    <w:p w14:paraId="5C8950B2">
      <w:pPr>
        <w:spacing w:line="400" w:lineRule="exact"/>
        <w:jc w:val="left"/>
        <w:rPr>
          <w:rFonts w:hint="eastAsia"/>
          <w:sz w:val="24"/>
        </w:rPr>
      </w:pPr>
      <w:r>
        <w:rPr>
          <w:rFonts w:hint="eastAsia"/>
          <w:sz w:val="24"/>
        </w:rPr>
        <w:t>（2）删除：如甲方要求删除稿件的部分内容，应在乙方进行翻译前提出，否则应按原稿件字数计算；</w:t>
      </w:r>
    </w:p>
    <w:p w14:paraId="34A65411">
      <w:pPr>
        <w:spacing w:line="400" w:lineRule="exact"/>
        <w:jc w:val="left"/>
        <w:rPr>
          <w:rFonts w:hint="eastAsia"/>
          <w:sz w:val="24"/>
        </w:rPr>
      </w:pPr>
      <w:r>
        <w:rPr>
          <w:rFonts w:hint="eastAsia"/>
          <w:sz w:val="24"/>
        </w:rPr>
        <w:t>（3）修改：如甲方对原稿进行修改，而需要乙方对译文作相应修改，根据修改程度收取稿费，或在收取原稿翻译费后，对修改部分按单价重新计费。</w:t>
      </w:r>
    </w:p>
    <w:p w14:paraId="58BEFA12">
      <w:pPr>
        <w:spacing w:line="400" w:lineRule="exact"/>
        <w:jc w:val="left"/>
        <w:rPr>
          <w:rFonts w:hint="eastAsia"/>
          <w:sz w:val="24"/>
        </w:rPr>
      </w:pPr>
      <w:r>
        <w:rPr>
          <w:rFonts w:hint="eastAsia"/>
          <w:sz w:val="24"/>
        </w:rPr>
        <w:t>B．乙方向甲方交稿后：</w:t>
      </w:r>
    </w:p>
    <w:p w14:paraId="3E18D50B">
      <w:pPr>
        <w:spacing w:line="400" w:lineRule="exact"/>
        <w:ind w:firstLine="480" w:firstLineChars="200"/>
        <w:jc w:val="left"/>
        <w:rPr>
          <w:rFonts w:hint="eastAsia"/>
          <w:sz w:val="24"/>
        </w:rPr>
      </w:pPr>
      <w:r>
        <w:rPr>
          <w:rFonts w:hint="eastAsia"/>
          <w:sz w:val="24"/>
        </w:rPr>
        <w:t>甲方如对乙方译文有异议，应在交稿之日起</w:t>
      </w:r>
      <w:r>
        <w:rPr>
          <w:sz w:val="24"/>
        </w:rPr>
        <w:t>7</w:t>
      </w:r>
      <w:r>
        <w:rPr>
          <w:rFonts w:hint="eastAsia"/>
          <w:sz w:val="24"/>
        </w:rPr>
        <w:t>日内向乙方提出修改意见，乙方应按甲方要求在约定的时间内免费进行修改，否则视甲方完全认可译文质量。</w:t>
      </w:r>
    </w:p>
    <w:p w14:paraId="628CBC95">
      <w:pPr>
        <w:spacing w:line="400" w:lineRule="exact"/>
        <w:rPr>
          <w:rFonts w:hint="eastAsia"/>
          <w:b/>
          <w:sz w:val="24"/>
        </w:rPr>
      </w:pPr>
      <w:r>
        <w:rPr>
          <w:rFonts w:hint="eastAsia"/>
          <w:b/>
          <w:sz w:val="24"/>
        </w:rPr>
        <w:t>三、乙方责任：</w:t>
      </w:r>
    </w:p>
    <w:p w14:paraId="5F4ADEED">
      <w:pPr>
        <w:spacing w:line="400" w:lineRule="exact"/>
        <w:ind w:firstLine="480" w:firstLineChars="200"/>
        <w:rPr>
          <w:rFonts w:hint="eastAsia"/>
          <w:sz w:val="24"/>
        </w:rPr>
      </w:pPr>
      <w:r>
        <w:rPr>
          <w:rFonts w:hint="eastAsia"/>
          <w:sz w:val="24"/>
        </w:rPr>
        <w:t>1、乙方依照甲方的工作要求进行工作。若甲方没有明确的工作要求事项时，乙方须参照原文格式翻译及排版；</w:t>
      </w:r>
    </w:p>
    <w:p w14:paraId="5ABF9307">
      <w:pPr>
        <w:spacing w:line="400" w:lineRule="exact"/>
        <w:ind w:firstLine="480" w:firstLineChars="200"/>
        <w:rPr>
          <w:rFonts w:hint="eastAsia"/>
          <w:sz w:val="24"/>
        </w:rPr>
      </w:pPr>
      <w:r>
        <w:rPr>
          <w:rFonts w:hint="eastAsia"/>
          <w:sz w:val="24"/>
        </w:rPr>
        <w:t>2、翻译质量：乙方须忠于原文翻译，保证译文通顺、流畅、准确且用语符合专业规范。甲方应理解以下可能出现的情况：翻译中存在可译与不可译的问题，因此翻译总会有偏失现象；作为译者，应该尽可能减少这种偏失，甲方不能因对某些词的择取而拒稿；</w:t>
      </w:r>
    </w:p>
    <w:p w14:paraId="2016B290">
      <w:pPr>
        <w:spacing w:line="400" w:lineRule="exact"/>
        <w:ind w:firstLine="480" w:firstLineChars="200"/>
        <w:rPr>
          <w:rFonts w:hint="eastAsia"/>
          <w:sz w:val="24"/>
        </w:rPr>
      </w:pPr>
      <w:r>
        <w:rPr>
          <w:rFonts w:hint="eastAsia"/>
          <w:sz w:val="24"/>
        </w:rPr>
        <w:t>3、若因为原文本身存在语法不规范、表达不清或文字不清等原因造成乙方在翻译过程中的错误责任由甲方承担；</w:t>
      </w:r>
    </w:p>
    <w:p w14:paraId="4BBF382D">
      <w:pPr>
        <w:spacing w:line="400" w:lineRule="exact"/>
        <w:ind w:firstLine="480" w:firstLineChars="200"/>
        <w:rPr>
          <w:rFonts w:hint="eastAsia"/>
          <w:sz w:val="24"/>
        </w:rPr>
      </w:pPr>
      <w:r>
        <w:rPr>
          <w:rFonts w:hint="eastAsia"/>
          <w:sz w:val="24"/>
        </w:rPr>
        <w:t>4、乙方须保证按期交稿。若延期交稿，则甲方有权拒收译件或减扣当次5%的服务费，但遇到不可抗力时除外。若因甲方的原因致使乙方在客观上无法按时交稿，则乙方不承担违约责任；</w:t>
      </w:r>
    </w:p>
    <w:p w14:paraId="4B2E9DAD">
      <w:pPr>
        <w:spacing w:line="400" w:lineRule="exact"/>
        <w:ind w:firstLine="480" w:firstLineChars="200"/>
        <w:jc w:val="left"/>
        <w:rPr>
          <w:rFonts w:hint="eastAsia"/>
          <w:sz w:val="24"/>
        </w:rPr>
      </w:pPr>
      <w:r>
        <w:rPr>
          <w:rFonts w:hint="eastAsia"/>
          <w:sz w:val="24"/>
        </w:rPr>
        <w:t>5、保密义务：乙方以翻译为业，遵守翻译职业道德，对其译文的准确性和对内容的保密性负责，以翻译服务费为限，不承担与此文件有关联的任何其他责任。不管甲方的商业利润如何，乙方均有权获得翻译费。</w:t>
      </w:r>
    </w:p>
    <w:p w14:paraId="6A8AEEEB">
      <w:pPr>
        <w:tabs>
          <w:tab w:val="left" w:pos="360"/>
        </w:tabs>
        <w:spacing w:line="400" w:lineRule="exact"/>
        <w:rPr>
          <w:rFonts w:hint="eastAsia"/>
          <w:b/>
          <w:sz w:val="24"/>
        </w:rPr>
      </w:pPr>
      <w:r>
        <w:rPr>
          <w:rFonts w:hint="eastAsia"/>
          <w:b/>
          <w:sz w:val="24"/>
        </w:rPr>
        <w:t>四、其它</w:t>
      </w:r>
    </w:p>
    <w:p w14:paraId="138C761A">
      <w:pPr>
        <w:tabs>
          <w:tab w:val="left" w:pos="360"/>
        </w:tabs>
        <w:spacing w:line="400" w:lineRule="exact"/>
        <w:ind w:firstLine="480" w:firstLineChars="200"/>
        <w:rPr>
          <w:rFonts w:hint="eastAsia"/>
          <w:sz w:val="24"/>
        </w:rPr>
      </w:pPr>
      <w:r>
        <w:rPr>
          <w:rFonts w:hint="eastAsia"/>
          <w:sz w:val="24"/>
        </w:rPr>
        <w:t>1、本协议经双方签字或盖章之日起生效；</w:t>
      </w:r>
    </w:p>
    <w:p w14:paraId="33EC7E55">
      <w:pPr>
        <w:tabs>
          <w:tab w:val="left" w:pos="360"/>
        </w:tabs>
        <w:spacing w:line="400" w:lineRule="exact"/>
        <w:ind w:firstLine="480" w:firstLineChars="200"/>
        <w:rPr>
          <w:rFonts w:hint="eastAsia"/>
          <w:sz w:val="24"/>
        </w:rPr>
      </w:pPr>
      <w:r>
        <w:rPr>
          <w:rFonts w:hint="eastAsia"/>
          <w:sz w:val="24"/>
        </w:rPr>
        <w:t>2、合同履行地为</w:t>
      </w:r>
      <w:r>
        <w:rPr>
          <w:rFonts w:hint="eastAsia"/>
          <w:sz w:val="24"/>
          <w:lang w:val="en-US" w:eastAsia="zh-CN"/>
        </w:rPr>
        <w:t>采购人指定地点</w:t>
      </w:r>
      <w:r>
        <w:rPr>
          <w:rFonts w:hint="eastAsia"/>
          <w:sz w:val="24"/>
        </w:rPr>
        <w:t>；</w:t>
      </w:r>
    </w:p>
    <w:p w14:paraId="415E5133">
      <w:pPr>
        <w:tabs>
          <w:tab w:val="left" w:pos="360"/>
        </w:tabs>
        <w:spacing w:line="400" w:lineRule="exact"/>
        <w:ind w:firstLine="480" w:firstLineChars="200"/>
        <w:rPr>
          <w:rFonts w:hint="eastAsia"/>
          <w:sz w:val="24"/>
        </w:rPr>
      </w:pPr>
      <w:r>
        <w:rPr>
          <w:rFonts w:hint="eastAsia"/>
          <w:sz w:val="24"/>
        </w:rPr>
        <w:t>3、任何单方面对本协议的变更均无效，未尽事宜双方友好协商。如果协商不成，则任何一方均有权要求西安仲裁委员会裁决。</w:t>
      </w:r>
    </w:p>
    <w:p w14:paraId="3EDC2B96">
      <w:pPr>
        <w:tabs>
          <w:tab w:val="left" w:pos="360"/>
        </w:tabs>
        <w:spacing w:line="400" w:lineRule="exact"/>
        <w:ind w:firstLine="480" w:firstLineChars="200"/>
        <w:rPr>
          <w:rFonts w:hint="eastAsia"/>
          <w:sz w:val="24"/>
        </w:rPr>
      </w:pPr>
      <w:r>
        <w:rPr>
          <w:rFonts w:hint="eastAsia"/>
          <w:sz w:val="24"/>
        </w:rPr>
        <w:t>本协议一式</w:t>
      </w:r>
      <w:r>
        <w:rPr>
          <w:rFonts w:hint="eastAsia"/>
          <w:sz w:val="24"/>
          <w:lang w:val="en-US" w:eastAsia="zh-CN"/>
        </w:rPr>
        <w:t>叁</w:t>
      </w:r>
      <w:r>
        <w:rPr>
          <w:rFonts w:hint="eastAsia"/>
          <w:sz w:val="24"/>
        </w:rPr>
        <w:t>份，甲</w:t>
      </w:r>
      <w:r>
        <w:rPr>
          <w:rFonts w:hint="eastAsia"/>
          <w:sz w:val="24"/>
          <w:lang w:val="en-US" w:eastAsia="zh-CN"/>
        </w:rPr>
        <w:t>方两份，</w:t>
      </w:r>
      <w:r>
        <w:rPr>
          <w:rFonts w:hint="eastAsia"/>
          <w:sz w:val="24"/>
        </w:rPr>
        <w:t>乙方一份。（通过扫描件签署同样有效）</w:t>
      </w:r>
    </w:p>
    <w:p w14:paraId="44347607">
      <w:pPr>
        <w:tabs>
          <w:tab w:val="left" w:pos="6480"/>
        </w:tabs>
        <w:spacing w:line="400" w:lineRule="exact"/>
        <w:rPr>
          <w:rFonts w:hint="eastAsia"/>
          <w:sz w:val="24"/>
        </w:rPr>
      </w:pPr>
    </w:p>
    <w:p w14:paraId="44E49B88">
      <w:pPr>
        <w:tabs>
          <w:tab w:val="left" w:pos="6480"/>
        </w:tabs>
        <w:spacing w:line="460" w:lineRule="exact"/>
        <w:rPr>
          <w:rFonts w:hint="eastAsia"/>
          <w:sz w:val="24"/>
        </w:rP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43"/>
        <w:gridCol w:w="4643"/>
      </w:tblGrid>
      <w:tr w14:paraId="0BA38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Borders>
              <w:top w:val="nil"/>
              <w:left w:val="nil"/>
              <w:bottom w:val="nil"/>
              <w:right w:val="nil"/>
            </w:tcBorders>
            <w:noWrap w:val="0"/>
            <w:vAlign w:val="top"/>
          </w:tcPr>
          <w:p w14:paraId="3E32D031">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甲方名称</w:t>
            </w:r>
            <w:r>
              <w:rPr>
                <w:rFonts w:hint="eastAsia" w:ascii="仿宋" w:hAnsi="仿宋" w:eastAsia="仿宋" w:cs="仿宋"/>
                <w:color w:val="auto"/>
                <w:spacing w:val="-20"/>
                <w:kern w:val="0"/>
                <w:sz w:val="24"/>
                <w:szCs w:val="24"/>
                <w:highlight w:val="none"/>
                <w:lang w:val="en-US" w:eastAsia="zh-CN" w:bidi="ar"/>
              </w:rPr>
              <w:t>（盖章）</w:t>
            </w:r>
            <w:r>
              <w:rPr>
                <w:rFonts w:hint="eastAsia" w:ascii="仿宋" w:hAnsi="仿宋" w:eastAsia="仿宋" w:cs="仿宋"/>
                <w:color w:val="auto"/>
                <w:kern w:val="0"/>
                <w:sz w:val="24"/>
                <w:szCs w:val="24"/>
                <w:highlight w:val="none"/>
                <w:lang w:val="en-US" w:eastAsia="zh-CN" w:bidi="ar"/>
              </w:rPr>
              <w:t>:</w:t>
            </w:r>
          </w:p>
          <w:p w14:paraId="3AE361A5">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地址：</w:t>
            </w:r>
          </w:p>
          <w:p w14:paraId="51A263D9">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代表人（签字）：</w:t>
            </w:r>
          </w:p>
          <w:p w14:paraId="0FC8F20E">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电话：</w:t>
            </w:r>
          </w:p>
          <w:p w14:paraId="2466BE48">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开户银行：</w:t>
            </w:r>
          </w:p>
          <w:p w14:paraId="31BA24DA">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帐号：</w:t>
            </w:r>
          </w:p>
        </w:tc>
        <w:tc>
          <w:tcPr>
            <w:tcW w:w="4643" w:type="dxa"/>
            <w:tcBorders>
              <w:top w:val="nil"/>
              <w:left w:val="nil"/>
              <w:bottom w:val="nil"/>
              <w:right w:val="nil"/>
            </w:tcBorders>
            <w:noWrap w:val="0"/>
            <w:vAlign w:val="top"/>
          </w:tcPr>
          <w:p w14:paraId="4D2E1F6F">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乙方名称</w:t>
            </w:r>
            <w:r>
              <w:rPr>
                <w:rFonts w:hint="eastAsia" w:ascii="仿宋" w:hAnsi="仿宋" w:eastAsia="仿宋" w:cs="仿宋"/>
                <w:color w:val="auto"/>
                <w:spacing w:val="-20"/>
                <w:kern w:val="0"/>
                <w:sz w:val="24"/>
                <w:szCs w:val="24"/>
                <w:highlight w:val="none"/>
                <w:lang w:val="en-US" w:eastAsia="zh-CN" w:bidi="ar"/>
              </w:rPr>
              <w:t>（盖章）</w:t>
            </w:r>
            <w:r>
              <w:rPr>
                <w:rFonts w:hint="eastAsia" w:ascii="仿宋" w:hAnsi="仿宋" w:eastAsia="仿宋" w:cs="仿宋"/>
                <w:color w:val="auto"/>
                <w:kern w:val="0"/>
                <w:sz w:val="24"/>
                <w:szCs w:val="24"/>
                <w:highlight w:val="none"/>
                <w:lang w:val="en-US" w:eastAsia="zh-CN" w:bidi="ar"/>
              </w:rPr>
              <w:t>:</w:t>
            </w:r>
          </w:p>
          <w:p w14:paraId="0B318DC0">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地址：</w:t>
            </w:r>
          </w:p>
          <w:p w14:paraId="1DBBF111">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代表人（签字）：</w:t>
            </w:r>
          </w:p>
          <w:p w14:paraId="2F7797A9">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电话：</w:t>
            </w:r>
          </w:p>
          <w:p w14:paraId="05A2A893">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开户银行：</w:t>
            </w:r>
          </w:p>
          <w:p w14:paraId="6B45AB72">
            <w:pPr>
              <w:keepNext w:val="0"/>
              <w:keepLines w:val="0"/>
              <w:widowControl/>
              <w:suppressLineNumbers w:val="0"/>
              <w:autoSpaceDE w:val="0"/>
              <w:autoSpaceDN w:val="0"/>
              <w:snapToGrid w:val="0"/>
              <w:spacing w:before="0" w:beforeAutospacing="0" w:after="0" w:afterAutospacing="0" w:line="360" w:lineRule="auto"/>
              <w:ind w:left="0" w:right="-154"/>
              <w:jc w:val="both"/>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
              </w:rPr>
              <w:t>帐号：</w:t>
            </w:r>
          </w:p>
        </w:tc>
      </w:tr>
    </w:tbl>
    <w:p w14:paraId="10E76EAB">
      <w:pPr>
        <w:tabs>
          <w:tab w:val="left" w:pos="6480"/>
        </w:tabs>
        <w:spacing w:line="360" w:lineRule="auto"/>
        <w:rPr>
          <w:sz w:val="24"/>
          <w:lang w:val="de-DE"/>
        </w:rPr>
      </w:pPr>
    </w:p>
    <w:p w14:paraId="5DFFFE14">
      <w:bookmarkStart w:id="1" w:name="_GoBack"/>
      <w:bookmarkEnd w:id="1"/>
    </w:p>
    <w:sectPr>
      <w:footerReference r:id="rId3" w:type="default"/>
      <w:footerReference r:id="rId4" w:type="even"/>
      <w:pgSz w:w="11906" w:h="16838"/>
      <w:pgMar w:top="1440" w:right="1304"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6DD6A">
    <w:pPr>
      <w:pStyle w:val="4"/>
      <w:framePr w:w="478" w:wrap="around" w:vAnchor="text" w:hAnchor="margin" w:xAlign="center" w:y="7"/>
      <w:rPr>
        <w:rStyle w:val="7"/>
      </w:rPr>
    </w:pPr>
    <w:r>
      <w:rPr>
        <w:rStyle w:val="7"/>
      </w:rPr>
      <w:t>-</w:t>
    </w: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r>
      <w:rPr>
        <w:rStyle w:val="7"/>
      </w:rPr>
      <w:t>-</w:t>
    </w:r>
  </w:p>
  <w:p w14:paraId="2821DF8C">
    <w:pPr>
      <w:pStyle w:val="4"/>
      <w:rPr>
        <w:rFonts w:hint="eastAsia" w:ascii="楷体_GB2312" w:eastAsia="楷体_GB2312"/>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BB424">
    <w:pPr>
      <w:pStyle w:val="4"/>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261BD9CA">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15A0B"/>
    <w:multiLevelType w:val="multilevel"/>
    <w:tmpl w:val="04515A0B"/>
    <w:lvl w:ilvl="0" w:tentative="0">
      <w:start w:val="1"/>
      <w:numFmt w:val="japaneseCounting"/>
      <w:lvlText w:val="%1、"/>
      <w:lvlJc w:val="left"/>
      <w:pPr>
        <w:tabs>
          <w:tab w:val="left" w:pos="420"/>
        </w:tabs>
        <w:ind w:left="420" w:hanging="4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decimalFullWidth"/>
      <w:lvlText w:val="%3、"/>
      <w:lvlJc w:val="left"/>
      <w:pPr>
        <w:tabs>
          <w:tab w:val="left" w:pos="1560"/>
        </w:tabs>
        <w:ind w:left="1560" w:hanging="720"/>
      </w:pPr>
      <w:rPr>
        <w:rFonts w:hint="eastAsia"/>
        <w:u w:val="none"/>
      </w:rPr>
    </w:lvl>
    <w:lvl w:ilvl="3" w:tentative="0">
      <w:start w:val="1"/>
      <w:numFmt w:val="decimal"/>
      <w:lvlText w:val="%4."/>
      <w:lvlJc w:val="left"/>
      <w:pPr>
        <w:tabs>
          <w:tab w:val="left" w:pos="1620"/>
        </w:tabs>
        <w:ind w:left="1620" w:hanging="360"/>
      </w:pPr>
      <w:rPr>
        <w:rFonts w:hint="eastAsia"/>
        <w:sz w:val="28"/>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0M2EyNmQ3MWI1NzMwNjIxNmUyM2UzOTQ1N2Q0MTIifQ=="/>
  </w:docVars>
  <w:rsids>
    <w:rsidRoot w:val="01344661"/>
    <w:rsid w:val="01344661"/>
    <w:rsid w:val="504A7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宋体"/>
      <w:b/>
      <w:sz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Indent"/>
    <w:basedOn w:val="1"/>
    <w:uiPriority w:val="0"/>
    <w:pPr>
      <w:ind w:firstLine="420"/>
    </w:pPr>
    <w:rPr>
      <w:szCs w:val="20"/>
    </w:rPr>
  </w:style>
  <w:style w:type="paragraph" w:styleId="4">
    <w:name w:val="footer"/>
    <w:basedOn w:val="1"/>
    <w:uiPriority w:val="0"/>
    <w:pPr>
      <w:tabs>
        <w:tab w:val="center" w:pos="4153"/>
        <w:tab w:val="right" w:pos="8306"/>
      </w:tabs>
      <w:snapToGrid w:val="0"/>
      <w:jc w:val="left"/>
    </w:pPr>
    <w:rPr>
      <w:sz w:val="18"/>
      <w:szCs w:val="18"/>
    </w:rPr>
  </w:style>
  <w:style w:type="character" w:styleId="7">
    <w:name w:val="page number"/>
    <w:basedOn w:val="6"/>
    <w:uiPriority w:val="0"/>
  </w:style>
  <w:style w:type="character" w:customStyle="1" w:styleId="8">
    <w:name w:val="font31"/>
    <w:basedOn w:val="6"/>
    <w:qFormat/>
    <w:uiPriority w:val="0"/>
    <w:rPr>
      <w:rFonts w:ascii="宋体" w:hAnsi="宋体" w:eastAsia="宋体" w:cs="宋体"/>
      <w:color w:val="000000"/>
      <w:sz w:val="14"/>
      <w:szCs w:val="14"/>
      <w:u w:val="none"/>
    </w:rPr>
  </w:style>
  <w:style w:type="paragraph" w:customStyle="1" w:styleId="9">
    <w:name w:val="null3"/>
    <w:qFormat/>
    <w:uiPriority w:val="0"/>
    <w:rPr>
      <w:rFonts w:hint="eastAsia" w:ascii="Calibri" w:hAnsi="Calibri" w:eastAsia="宋体" w:cs="Times New Roman"/>
      <w:lang w:val="en-US" w:eastAsia="zh-Hans"/>
    </w:rPr>
  </w:style>
  <w:style w:type="character" w:customStyle="1" w:styleId="10">
    <w:name w:val="font41"/>
    <w:basedOn w:val="6"/>
    <w:qFormat/>
    <w:uiPriority w:val="0"/>
    <w:rPr>
      <w:rFonts w:ascii="宋体" w:hAnsi="宋体" w:eastAsia="宋体" w:cs="宋体"/>
      <w:color w:val="000000"/>
      <w:sz w:val="16"/>
      <w:szCs w:val="16"/>
      <w:u w:val="none"/>
    </w:rPr>
  </w:style>
  <w:style w:type="character" w:customStyle="1" w:styleId="11">
    <w:name w:val="font51"/>
    <w:basedOn w:val="6"/>
    <w:qFormat/>
    <w:uiPriority w:val="0"/>
    <w:rPr>
      <w:rFonts w:ascii="宋体" w:hAnsi="宋体" w:eastAsia="宋体" w:cs="宋体"/>
      <w:color w:val="000000"/>
      <w:sz w:val="14"/>
      <w:szCs w:val="1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2025-07-09T01:58:00Z</dcterms:created>
  <dc:creator>向阳</dc:creator>
  <cp:lastModifiedBy>向阳</cp:lastModifiedBy>
  <dcterms:modified xsi:type="dcterms:W3CDTF">2025-07-09T01:59:05Z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486E023FD15B407A9AE5DA89BA5C0C62_11</vt:lpwstr>
  </property>
</Properties>
</file>