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版本号：HHGJZC2025-CS298..2B120250708001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2025年度教职工体检服务采购(二次)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HHGJZC2025-CS298..2B1</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陕西华海国际项目管理有限公司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陕西华海国际项目管理有限公司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2025年度教职工体检服务采购(二次)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HHGJZC2025-CS298..2B1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2025年度教职工体检服务采购(二次)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学校咸阳校区教职工体检服务采购。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1、法定代表人授权书或法定代表人身份证明：提供法定代表人授权书（附法定代表人及被授权人身份证复印件）；法定代表人直接参加投标，须提供法定代表人身份证明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w:t>
      </w:r>
    </w:p>
    <w:p>
      <w:pPr>
        <w:pStyle w:val="null3"/>
      </w:pPr>
      <w:r>
        <w:rPr>
          <w:rFonts w:ascii="仿宋_GB2312" w:hAnsi="仿宋_GB2312" w:cs="仿宋_GB2312" w:eastAsia="仿宋_GB2312"/>
        </w:rPr>
        <w:t>3、医疗资质：供应商为三级甲等医院；供应商具有有效的《医疗机构执业许可证》、《辐射安全许可证》、《放射诊疗许可证》（已办理多证合一的，只须提供诊疗科目含放射诊断或放射治疗的《医疗机构执业许可证》即可）</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陕西华海国际项目管理有限公司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西安市经开区明光路凤城五路FED创新中心B座312室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18791915545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的65%执行。 成交单位在领取成交通知书前，须向采购代理机构一次性支付代理服务费。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陕西华海国际项目管理有限公司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陕西科技大学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陕西华海国际项目管理有限公司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陕西华海国际项目管理有限公司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符合国家有关标准。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联系电话：18791915545</w:t>
      </w:r>
    </w:p>
    <w:p>
      <w:pPr>
        <w:pStyle w:val="null3"/>
      </w:pPr>
      <w:r>
        <w:rPr>
          <w:rFonts w:ascii="仿宋_GB2312" w:hAnsi="仿宋_GB2312" w:cs="仿宋_GB2312" w:eastAsia="仿宋_GB2312"/>
        </w:rPr>
        <w:t>地址：西安市经开区明光路凤城五路FED创新中心B座312室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学校咸阳校区教职工体检服务采购。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560,000.00</w:t>
      </w:r>
    </w:p>
    <w:p>
      <w:pPr>
        <w:pStyle w:val="null3"/>
      </w:pPr>
      <w:r>
        <w:rPr>
          <w:rFonts w:ascii="仿宋_GB2312" w:hAnsi="仿宋_GB2312" w:cs="仿宋_GB2312" w:eastAsia="仿宋_GB2312"/>
        </w:rPr>
        <w:t>采购包最高限价（元）: 560,000.00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咸阳校区体检服务</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right"/>
            </w:pPr>
            <w:r>
              <w:rPr>
                <w:rFonts w:ascii="仿宋_GB2312" w:hAnsi="仿宋_GB2312" w:cs="仿宋_GB2312" w:eastAsia="仿宋_GB2312"/>
              </w:rPr>
              <w:t>560,000.00</w:t>
            </w:r>
          </w:p>
        </w:tc>
        <w:tc>
          <w:tcPr>
            <w:tcW w:type="dxa" w:w="831"/>
          </w:tcPr>
          <w:p>
            <w:pPr>
              <w:pStyle w:val="null3"/>
            </w:pPr>
            <w:r>
              <w:rPr>
                <w:rFonts w:ascii="仿宋_GB2312" w:hAnsi="仿宋_GB2312" w:cs="仿宋_GB2312" w:eastAsia="仿宋_GB2312"/>
              </w:rPr>
              <w:t>人</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标的名称：咸阳校区体检服务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人数：</w:t>
            </w:r>
            <w:r>
              <w:rPr>
                <w:rFonts w:ascii="仿宋_GB2312" w:hAnsi="仿宋_GB2312" w:cs="仿宋_GB2312" w:eastAsia="仿宋_GB2312"/>
                <w:sz w:val="20"/>
              </w:rPr>
              <w:t>700人（具体人数以实际参加体检人数为准）</w:t>
            </w:r>
          </w:p>
          <w:p>
            <w:pPr>
              <w:pStyle w:val="null3"/>
              <w:ind w:right="-225"/>
              <w:jc w:val="left"/>
            </w:pPr>
            <w:r>
              <w:rPr>
                <w:rFonts w:ascii="仿宋_GB2312" w:hAnsi="仿宋_GB2312" w:cs="仿宋_GB2312" w:eastAsia="仿宋_GB2312"/>
                <w:sz w:val="20"/>
              </w:rPr>
              <w:t>（一）体检项目</w:t>
            </w:r>
          </w:p>
          <w:tbl>
            <w:tblPr>
              <w:tblInd w:type="dxa" w:w="210"/>
              <w:tblBorders>
                <w:top w:val="none" w:color="000000" w:sz="4"/>
                <w:left w:val="none" w:color="000000" w:sz="4"/>
                <w:bottom w:val="none" w:color="000000" w:sz="4"/>
                <w:right w:val="none" w:color="000000" w:sz="4"/>
                <w:insideH w:val="none"/>
                <w:insideV w:val="none"/>
              </w:tblBorders>
            </w:tblPr>
            <w:tblGrid>
              <w:gridCol w:w="376"/>
              <w:gridCol w:w="991"/>
              <w:gridCol w:w="590"/>
              <w:gridCol w:w="590"/>
            </w:tblGrid>
            <w:tr>
              <w:tc>
                <w:tcPr>
                  <w:tcW w:type="dxa" w:w="3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9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项目名称</w:t>
                  </w:r>
                </w:p>
              </w:tc>
              <w:tc>
                <w:tcPr>
                  <w:tcW w:type="dxa" w:w="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男</w:t>
                  </w:r>
                </w:p>
              </w:tc>
              <w:tc>
                <w:tcPr>
                  <w:tcW w:type="dxa" w:w="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女</w:t>
                  </w:r>
                </w:p>
              </w:tc>
            </w:tr>
            <w:tr>
              <w:tc>
                <w:tcPr>
                  <w:tcW w:type="dxa" w:w="254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基础项目</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9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一般检查</w:t>
                  </w:r>
                </w:p>
              </w:tc>
              <w:tc>
                <w:tcPr>
                  <w:tcW w:type="dxa" w:w="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内科</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外科</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耳鼻喉</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眼科常规</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眼底检查</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血常规（五分类）</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尿常规（十一项）</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肝功（十一项）</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肾功能（四项）</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血脂（四项）</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空腹血糖</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心电图</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腹部</w:t>
                  </w:r>
                  <w:r>
                    <w:rPr>
                      <w:rFonts w:ascii="仿宋_GB2312" w:hAnsi="仿宋_GB2312" w:cs="仿宋_GB2312" w:eastAsia="仿宋_GB2312"/>
                      <w:sz w:val="20"/>
                      <w:color w:val="000000"/>
                    </w:rPr>
                    <w:t>B超（男）</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腹部</w:t>
                  </w:r>
                  <w:r>
                    <w:rPr>
                      <w:rFonts w:ascii="仿宋_GB2312" w:hAnsi="仿宋_GB2312" w:cs="仿宋_GB2312" w:eastAsia="仿宋_GB2312"/>
                      <w:sz w:val="20"/>
                      <w:color w:val="000000"/>
                    </w:rPr>
                    <w:t>B超（女）</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泌尿系彩超（男）</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乳腺</w:t>
                  </w:r>
                  <w:r>
                    <w:rPr>
                      <w:rFonts w:ascii="仿宋_GB2312" w:hAnsi="仿宋_GB2312" w:cs="仿宋_GB2312" w:eastAsia="仿宋_GB2312"/>
                      <w:sz w:val="20"/>
                      <w:color w:val="000000"/>
                    </w:rPr>
                    <w:t>B超</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子宫附件</w:t>
                  </w:r>
                  <w:r>
                    <w:rPr>
                      <w:rFonts w:ascii="仿宋_GB2312" w:hAnsi="仿宋_GB2312" w:cs="仿宋_GB2312" w:eastAsia="仿宋_GB2312"/>
                      <w:sz w:val="20"/>
                      <w:color w:val="000000"/>
                    </w:rPr>
                    <w:t>B超</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妇科</w:t>
                  </w:r>
                  <w:r>
                    <w:rPr>
                      <w:rFonts w:ascii="仿宋_GB2312" w:hAnsi="仿宋_GB2312" w:cs="仿宋_GB2312" w:eastAsia="仿宋_GB2312"/>
                      <w:sz w:val="20"/>
                      <w:color w:val="000000"/>
                    </w:rPr>
                    <w:t>+白带常规</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胸部正位片</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宫颈液基薄层细胞学检查（</w:t>
                  </w:r>
                  <w:r>
                    <w:rPr>
                      <w:rFonts w:ascii="仿宋_GB2312" w:hAnsi="仿宋_GB2312" w:cs="仿宋_GB2312" w:eastAsia="仿宋_GB2312"/>
                      <w:sz w:val="20"/>
                      <w:color w:val="000000"/>
                    </w:rPr>
                    <w:t>TCT)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甲胎蛋白</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癌胚抗原</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254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特色项目</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9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项目名称</w:t>
                  </w:r>
                </w:p>
              </w:tc>
              <w:tc>
                <w:tcPr>
                  <w:tcW w:type="dxa" w:w="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男</w:t>
                  </w:r>
                </w:p>
              </w:tc>
              <w:tc>
                <w:tcPr>
                  <w:tcW w:type="dxa" w:w="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女</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甲状腺</w:t>
                  </w:r>
                  <w:r>
                    <w:rPr>
                      <w:rFonts w:ascii="仿宋_GB2312" w:hAnsi="仿宋_GB2312" w:cs="仿宋_GB2312" w:eastAsia="仿宋_GB2312"/>
                      <w:sz w:val="20"/>
                      <w:color w:val="000000"/>
                    </w:rPr>
                    <w:t>B超</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骨密度</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幽门螺旋杆菌检测</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糖化血红蛋白</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心脏彩超</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颈动脉彩超</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bl>
          <w:p>
            <w:pPr>
              <w:pStyle w:val="null3"/>
              <w:ind w:right="-225"/>
              <w:jc w:val="left"/>
            </w:pPr>
            <w:r>
              <w:rPr>
                <w:rFonts w:ascii="仿宋_GB2312" w:hAnsi="仿宋_GB2312" w:cs="仿宋_GB2312" w:eastAsia="仿宋_GB2312"/>
                <w:sz w:val="20"/>
              </w:rPr>
              <w:t>（二）体检要求</w:t>
            </w:r>
          </w:p>
          <w:p>
            <w:pPr>
              <w:pStyle w:val="null3"/>
              <w:ind w:right="-225"/>
              <w:jc w:val="left"/>
            </w:pPr>
            <w:r>
              <w:rPr>
                <w:rFonts w:ascii="仿宋_GB2312" w:hAnsi="仿宋_GB2312" w:cs="仿宋_GB2312" w:eastAsia="仿宋_GB2312"/>
                <w:sz w:val="20"/>
              </w:rPr>
              <w:t>1、体检结果纳入计算机管理（数据保存3年以上），并保证体检信息不外泄；</w:t>
            </w:r>
          </w:p>
          <w:p>
            <w:pPr>
              <w:pStyle w:val="null3"/>
              <w:ind w:right="-225"/>
              <w:jc w:val="left"/>
            </w:pPr>
            <w:r>
              <w:rPr>
                <w:rFonts w:ascii="仿宋_GB2312" w:hAnsi="仿宋_GB2312" w:cs="仿宋_GB2312" w:eastAsia="仿宋_GB2312"/>
                <w:sz w:val="20"/>
              </w:rPr>
              <w:t>2、体检工作结束后，15个工作日内，提供纸质版体检报告和电子版体检报告。体检报告应当密封，以保护个人隐私；</w:t>
            </w:r>
          </w:p>
          <w:p>
            <w:pPr>
              <w:pStyle w:val="null3"/>
              <w:ind w:right="-225"/>
              <w:jc w:val="left"/>
            </w:pPr>
            <w:r>
              <w:rPr>
                <w:rFonts w:ascii="仿宋_GB2312" w:hAnsi="仿宋_GB2312" w:cs="仿宋_GB2312" w:eastAsia="仿宋_GB2312"/>
                <w:sz w:val="20"/>
              </w:rPr>
              <w:t>3、体检者可随时查阅自己的健康档案；</w:t>
            </w:r>
          </w:p>
          <w:p>
            <w:pPr>
              <w:pStyle w:val="null3"/>
              <w:jc w:val="both"/>
            </w:pPr>
            <w:r>
              <w:rPr>
                <w:rFonts w:ascii="仿宋_GB2312" w:hAnsi="仿宋_GB2312" w:cs="仿宋_GB2312" w:eastAsia="仿宋_GB2312"/>
                <w:sz w:val="20"/>
              </w:rPr>
              <w:t>4、为体检单位提供全体员工体检总结、分析报告，以便学校全面客观掌握全体员工健康状况。</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1.本项目报价采用固定价格，故价格分不列为评审因素，本项目固定报价为800元/人，不接受其他报价，如未响应，按无效文件处理。 2.投标人体检中心所在地必须在咸阳市秦都区或者渭城区。</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服务时限不超过3年；合同一年一签，双方合作无异议，续签下一年度合同； 体检工作于当年10月底之前完成。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中标人体检中心所在地</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当年度体检服务完成后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根据中华人民共和国财政部令第102号《政府购买服务管理办法》第二十四条“政府购买服务合同履行期限一般不超过1年;在预算保障的前提下，对于购买内容相对固定、连续性强、经费来源稳定、价格变化幅度小的政府购买服务项目，可以签订履行期限不超过3年的政府购买服务合同”，本项目合同签订一年，如合同续签，可参照本次招标服务内容及要求施行。 2.成交单位在领取成交通知书前，须向采购代理机构提供纸质版响应文件3套（1正2副），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供应商需在项目电子化交易系统中按要求填写《投标函》完成承诺并进行电子签章。同时提供以下资料： 1.提供合格有效的法人或者其他组织的营业执照等证明文件，自然人的身份证明（供应商是法人或其他组织的应提供营业执照等证明文件，供应商是自然人的应提供有效的自然人身份证明）； 2.提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服务内容及服务邀请应答表 中小企业声明函 残疾人福利性单位声明函 响应函 资格证明文件.docx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供应商需在项目电子化交易系统中上传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提供法定代表人授权书（附法定代表人及被授权人身份证复印件）；法定代表人直接参加投标，须提供法定代表人身份证明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医疗资质</w:t>
            </w:r>
          </w:p>
        </w:tc>
        <w:tc>
          <w:tcPr>
            <w:tcW w:type="dxa" w:w="3322"/>
          </w:tcPr>
          <w:p>
            <w:pPr>
              <w:pStyle w:val="null3"/>
            </w:pPr>
            <w:r>
              <w:rPr>
                <w:rFonts w:ascii="仿宋_GB2312" w:hAnsi="仿宋_GB2312" w:cs="仿宋_GB2312" w:eastAsia="仿宋_GB2312"/>
              </w:rPr>
              <w:t>供应商为三级甲等医院；供应商具有有效的《医疗机构执业许可证》、《辐射安全许可证》、《放射诊疗许可证》（已办理多证合一的，只须提供诊疗科目含放射诊断或放射治疗的《医疗机构执业许可证》即可）</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磋商响应文件上法定代表人或其授权代表人按要求签字，加盖公章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体检项目响应</w:t>
            </w:r>
          </w:p>
        </w:tc>
        <w:tc>
          <w:tcPr>
            <w:tcW w:type="dxa" w:w="2492"/>
          </w:tcPr>
          <w:p>
            <w:pPr>
              <w:pStyle w:val="null3"/>
            </w:pPr>
            <w:r>
              <w:rPr>
                <w:rFonts w:ascii="仿宋_GB2312" w:hAnsi="仿宋_GB2312" w:cs="仿宋_GB2312" w:eastAsia="仿宋_GB2312"/>
              </w:rPr>
              <w:t>能够响应全部体检项目的，得25分；每少提供一项扣1分，扣完为止；能够提供本文件所列出的体检项目之外的项目，每提供一项加1分，最多加5分。（提供本文件所列出的特色体检项目之外的项目，须经评审专家认定具有实际意义，方可加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评审内容：1.体检流程2.具体场次安排3.体检实施时的引导及陪护4.体检结果质量保证措施5.体检发现疾病疾病的后续服务6.健康管理建议7.健康风险评估8.人员接送9.早餐派发。评审标准：方案各部分内容全面详细、阐述条理清晰详尽符合本项需求得18分；以上评审内容每缺一项扣2分；评审内容有缺陷（缺陷是指：内容粗略、逻辑混乱、描述过于简单、与项目特点不匹配、凭空编造、逻辑漏洞、出现常识性错误、存在不适用项目实际情况的情形等）的扣1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1.拟派主要负责医师具有相关专业高级及以上职称，得3分；具有相关专业中级职称，得1分（提供职称证书复印件或扫描件，其余职称或未提供的不得分）； 2.根据拟投入体检的团队人员（不包含主要负责医师）的数量、综合素质（包括但不限于职称、资格证书等相关证明材料）。 医生：10人及以上得3分；5-9人得2分；4人以下得1分； 护士：10人及以上得3分；5-9人得2分；4人以下得1分；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体检设备综合情况</w:t>
            </w:r>
          </w:p>
        </w:tc>
        <w:tc>
          <w:tcPr>
            <w:tcW w:type="dxa" w:w="2492"/>
          </w:tcPr>
          <w:p>
            <w:pPr>
              <w:pStyle w:val="null3"/>
            </w:pPr>
            <w:r>
              <w:rPr>
                <w:rFonts w:ascii="仿宋_GB2312" w:hAnsi="仿宋_GB2312" w:cs="仿宋_GB2312" w:eastAsia="仿宋_GB2312"/>
              </w:rPr>
              <w:t>供应商按采购需求中技术要求内容提供健康体检所需的医疗检查设备与检验仪器，包括但不限于体检设备、检测仪器等设备设施清单（种类、数量、性能）。 评审标准：设备及仪器清单全面、设施先进、符合体检要求计4分。评审内容有缺陷扣2分，扣完为止。“缺陷”是指设备仪器陈旧落后、检查设备与检验仪器的种类、数量、性能不能满足工作需要。</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质量保证、应急方案及承诺</w:t>
            </w:r>
          </w:p>
        </w:tc>
        <w:tc>
          <w:tcPr>
            <w:tcW w:type="dxa" w:w="2492"/>
          </w:tcPr>
          <w:p>
            <w:pPr>
              <w:pStyle w:val="null3"/>
            </w:pPr>
            <w:r>
              <w:rPr>
                <w:rFonts w:ascii="仿宋_GB2312" w:hAnsi="仿宋_GB2312" w:cs="仿宋_GB2312" w:eastAsia="仿宋_GB2312"/>
              </w:rPr>
              <w:t>1.应急预案：供应商须提供针对本项目的应急处理措施及解决方案（如晕血、晕针、低血糖等、供应商仪器故障或因其他人力不可抗拒因素，导致未能按时出具体检报告等）。2.服务承诺：供应商针对本项目能够提供切实可行的服务承诺，满足采购人要求，提供初次体检及再次咨询就医绿色通道。 3.保密措施：供应商须保证参检人员所有信息数据不得外泄，做好保密工作，有具体的保密措施及承诺。 4.供应商针对本项目在服务期间完全按照采购人要求进行体检、及时出具体检报告等方案。 评审标准：以上四项内容切合本项目实际情况及实施要求，内容与要点相符、每个要点均有展开详细的阐述且能够适用于本项目的计16分。评审内容任意一项缺项扣4分，扣完为止；评审内容任意一项有缺陷扣2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提供2022年06月01日至磋商截止时间类似业绩，每提供1个得2分，最高得10分。（以中标通知书或合同签订时间为准，供应商自己实施的）</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1、为职工超范围或者职工家属参加体检提供优惠，在体检收费标准基础上下浮20%，得1分；在此基础上，每降低1%得1分，满分6分； 2、提供免费早餐且营养搭配合理且有特色，得2分； 3、为教职工提供体检交通便利措施（如班车接送等），得 1分； 4、提供优先预约、专场体检等便捷服务，得 2分。 5、提供团检分析、专家一对一咨询、义诊、健康讲座，得 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