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版本号：KY2025-3-118..2.3B120250709001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中文纸质图书采购项目(二次)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KY2025-3-118..2.3B1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中文纸质图书采购项目(二次)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KY2025-3-118..2.3B1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中文纸质图书采购项目(二次)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主要采购2024—2025年出版的通信电子、计算机科学、经济学、管理学方面的纸质图书，兼顾其他学科及素质教育类图书。本项目分为三个标段： 一标段：马列、哲学、社会科学总论、政治、法律、军事、经济、文化科教类纸质图书[A-G]； 二标段：语言文字、文学、艺术、历史地理、综合性图书等纸质图书[H-K、Z]。</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8、法定代表人授权书：法定代表人授权书及被授权人身份证复印件。（法定代表人直接投标只须提交其身份证复印件）。</w:t>
      </w:r>
    </w:p>
    <w:p>
      <w:pPr>
        <w:pStyle w:val="null3"/>
      </w:pPr>
      <w:r>
        <w:rPr>
          <w:rFonts w:ascii="仿宋_GB2312" w:hAnsi="仿宋_GB2312" w:cs="仿宋_GB2312" w:eastAsia="仿宋_GB2312"/>
        </w:rPr>
        <w:t>9、出版物经营许可证：投标人须具有省级以上（含省级）新闻出版局颁发的出版物经营许可证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8、法定代表人授权书：法定代表人授权书及被授权人身份证复印件。（法定代表人直接投标只须提交其身份证复印件）。</w:t>
      </w:r>
    </w:p>
    <w:p>
      <w:pPr>
        <w:pStyle w:val="null3"/>
      </w:pPr>
      <w:r>
        <w:rPr>
          <w:rFonts w:ascii="仿宋_GB2312" w:hAnsi="仿宋_GB2312" w:cs="仿宋_GB2312" w:eastAsia="仿宋_GB2312"/>
        </w:rPr>
        <w:t>9、出版物经营许可证：投标人须具有省级以上（含省级）新闻出版局颁发的出版物经营许可证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采购包2：240,000.00元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采购包2保证金金额：4,500.00元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预算金额向采购代理机构交纳成交服务费，交费金额参照国家计委颁布的《招标代理服务收费管理暂行办法》（计价格[2002]1980号）及发改办价格[2003]857号文件的规定标准下浮20%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联系人：徐闫靖双、李瑞洁、戈迪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主要采购2024—2025年出版的通信电子、计算机科学、经济学、管理学方面的纸质图书，兼顾其他学科及素质教育类图书。本项目分为三个标段： 一标段：马列、哲学、社会科学总论、政治、法律、军事、经济、文化科教类纸质图书[A-G]；二标段：语言文字、文学、艺术、历史地理、综合性图书等纸质图书[H-K、Z]。</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马列、哲学、社会科学总论、政治、法律、军事、经济、文化科教类纸质图书[A-G]</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语言文字、文学、艺术、历史地理、综合性图书等纸质图书[H-K、Z]</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标的名称：马列、哲学、社会科学总论、政治、法律、军事、经济、文化科教类纸质图书[A-G]</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项目概述</w:t>
            </w:r>
          </w:p>
          <w:p>
            <w:pPr>
              <w:pStyle w:val="null3"/>
              <w:jc w:val="both"/>
            </w:pPr>
            <w:r>
              <w:rPr>
                <w:rFonts w:ascii="仿宋_GB2312" w:hAnsi="仿宋_GB2312" w:cs="仿宋_GB2312" w:eastAsia="仿宋_GB2312"/>
                <w:sz w:val="24"/>
                <w:color w:val="000000"/>
              </w:rPr>
              <w:t>1、项目名称：西安邮电大学中文纸质图书采购项目</w:t>
            </w:r>
          </w:p>
          <w:p>
            <w:pPr>
              <w:pStyle w:val="null3"/>
              <w:jc w:val="both"/>
            </w:pPr>
            <w:r>
              <w:rPr>
                <w:rFonts w:ascii="仿宋_GB2312" w:hAnsi="仿宋_GB2312" w:cs="仿宋_GB2312" w:eastAsia="仿宋_GB2312"/>
                <w:sz w:val="24"/>
                <w:color w:val="000000"/>
              </w:rPr>
              <w:t>2、采购内容：本采购包1主要采购</w:t>
            </w:r>
            <w:r>
              <w:rPr>
                <w:rFonts w:ascii="仿宋_GB2312" w:hAnsi="仿宋_GB2312" w:cs="仿宋_GB2312" w:eastAsia="仿宋_GB2312"/>
                <w:sz w:val="24"/>
                <w:color w:val="000000"/>
              </w:rPr>
              <w:t>马列、哲学、社会科学总论、政治、法律、军事、经济、文化科教类纸质图书</w:t>
            </w:r>
            <w:r>
              <w:rPr>
                <w:rFonts w:ascii="仿宋_GB2312" w:hAnsi="仿宋_GB2312" w:cs="仿宋_GB2312" w:eastAsia="仿宋_GB2312"/>
                <w:sz w:val="24"/>
                <w:color w:val="000000"/>
              </w:rPr>
              <w:t>[A-G]</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3、报价方式：投标人须综合考虑各种因素、客观合理的报出给予采购方的供货价格折扣率。</w:t>
            </w:r>
          </w:p>
          <w:p>
            <w:pPr>
              <w:pStyle w:val="null3"/>
              <w:jc w:val="both"/>
            </w:pPr>
            <w:r>
              <w:rPr>
                <w:rFonts w:ascii="仿宋_GB2312" w:hAnsi="仿宋_GB2312" w:cs="仿宋_GB2312" w:eastAsia="仿宋_GB2312"/>
                <w:sz w:val="24"/>
                <w:color w:val="000000"/>
              </w:rPr>
              <w:t>4、采购方式：主要通过书目采购、现场采购两种方式进行。</w:t>
            </w:r>
          </w:p>
          <w:p>
            <w:pPr>
              <w:pStyle w:val="null3"/>
              <w:jc w:val="both"/>
            </w:pPr>
            <w:r>
              <w:rPr>
                <w:rFonts w:ascii="仿宋_GB2312" w:hAnsi="仿宋_GB2312" w:cs="仿宋_GB2312" w:eastAsia="仿宋_GB2312"/>
                <w:sz w:val="24"/>
                <w:color w:val="000000"/>
              </w:rPr>
              <w:t>5、验收方式：采购方以实际发出的订单为准，按订单批次进行信息化精准验收，出具初验报告；国资处于项目执行结束时进行项目总体验收。</w:t>
            </w:r>
          </w:p>
          <w:p>
            <w:pPr>
              <w:pStyle w:val="null3"/>
            </w:pPr>
            <w:r>
              <w:rPr>
                <w:rFonts w:ascii="仿宋_GB2312" w:hAnsi="仿宋_GB2312" w:cs="仿宋_GB2312" w:eastAsia="仿宋_GB2312"/>
                <w:sz w:val="24"/>
                <w:color w:val="000000"/>
              </w:rPr>
              <w:t>6、结算方式：采购方进行分批验收后，按实际验收图书的实洋与中标人进行分批结算。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二、具体采购内容及方式</w:t>
            </w:r>
          </w:p>
          <w:p>
            <w:pPr>
              <w:pStyle w:val="null3"/>
              <w:jc w:val="both"/>
            </w:pPr>
            <w:r>
              <w:rPr>
                <w:rFonts w:ascii="仿宋_GB2312" w:hAnsi="仿宋_GB2312" w:cs="仿宋_GB2312" w:eastAsia="仿宋_GB2312"/>
                <w:sz w:val="24"/>
                <w:color w:val="000000"/>
              </w:rPr>
              <w:t>1、采购内容：符合采购人专业设置及学科建设要求，以2024年8月以后出版的图书为主，其他时间出版的图书不超过20%。</w:t>
            </w:r>
          </w:p>
          <w:p>
            <w:pPr>
              <w:pStyle w:val="null3"/>
              <w:ind w:firstLine="480"/>
              <w:jc w:val="center"/>
            </w:pPr>
            <w:r>
              <w:rPr>
                <w:rFonts w:ascii="仿宋_GB2312" w:hAnsi="仿宋_GB2312" w:cs="仿宋_GB2312" w:eastAsia="仿宋_GB2312"/>
                <w:sz w:val="24"/>
                <w:b/>
                <w:color w:val="000000"/>
              </w:rPr>
              <w:t>采购人专业设置</w:t>
            </w:r>
          </w:p>
          <w:tbl>
            <w:tblPr>
              <w:tblBorders>
                <w:top w:val="none" w:color="000000" w:sz="4"/>
                <w:left w:val="none" w:color="000000" w:sz="4"/>
                <w:bottom w:val="none" w:color="000000" w:sz="4"/>
                <w:right w:val="none" w:color="000000" w:sz="4"/>
                <w:insideH w:val="none"/>
                <w:insideV w:val="none"/>
              </w:tblBorders>
            </w:tblPr>
            <w:tblGrid>
              <w:gridCol w:w="483"/>
              <w:gridCol w:w="2070"/>
            </w:tblGrid>
            <w:tr>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学院</w:t>
                  </w:r>
                </w:p>
              </w:tc>
              <w:tc>
                <w:tcPr>
                  <w:tcW w:type="dxa" w:w="2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经济与管理学院</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经济学、金融工程、国际经济与贸易、信息管理与信息系统、大数据管理与应用、工商管理、市场营销、会计学、财务管理、人力资源管理、电子商务</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现代邮政学院、邮政研究院</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邮政工程、邮政管理、物流管理、工业工程</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马克思主义学院</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马克思主义哲学</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2、书目采购要求：中标人须根据采购人的专业、学科设置及具体要求，定期提供适合高校图书馆文献资源建设的新书书目，同时配有当期书目数据说明，包括书目总量、各核心出版社书目数据量；采访书目应剔除小开本、无书脊、袋装、散页、高职高专、中小学教辅、青少年读物等明显不符合高校图书馆入藏要求的图书。</w:t>
            </w:r>
          </w:p>
          <w:p>
            <w:pPr>
              <w:pStyle w:val="null3"/>
              <w:jc w:val="both"/>
            </w:pPr>
            <w:r>
              <w:rPr>
                <w:rFonts w:ascii="仿宋_GB2312" w:hAnsi="仿宋_GB2312" w:cs="仿宋_GB2312" w:eastAsia="仿宋_GB2312"/>
                <w:sz w:val="24"/>
                <w:color w:val="000000"/>
              </w:rPr>
              <w:t>书目样式如下：</w:t>
            </w:r>
          </w:p>
          <w:tbl>
            <w:tblPr>
              <w:tblBorders>
                <w:top w:val="none" w:color="000000" w:sz="4"/>
                <w:left w:val="none" w:color="000000" w:sz="4"/>
                <w:bottom w:val="none" w:color="000000" w:sz="4"/>
                <w:right w:val="none" w:color="000000" w:sz="4"/>
                <w:insideH w:val="none"/>
                <w:insideV w:val="none"/>
              </w:tblBorders>
            </w:tblPr>
            <w:tblGrid>
              <w:gridCol w:w="278"/>
              <w:gridCol w:w="409"/>
              <w:gridCol w:w="175"/>
              <w:gridCol w:w="331"/>
              <w:gridCol w:w="238"/>
              <w:gridCol w:w="397"/>
              <w:gridCol w:w="201"/>
              <w:gridCol w:w="242"/>
              <w:gridCol w:w="160"/>
              <w:gridCol w:w="123"/>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ISBN</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书名</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定价</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出版社</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出版</w:t>
                  </w:r>
                </w:p>
                <w:p>
                  <w:pPr>
                    <w:pStyle w:val="null3"/>
                    <w:jc w:val="center"/>
                  </w:pPr>
                  <w:r>
                    <w:rPr>
                      <w:rFonts w:ascii="仿宋_GB2312" w:hAnsi="仿宋_GB2312" w:cs="仿宋_GB2312" w:eastAsia="仿宋_GB2312"/>
                      <w:sz w:val="22"/>
                      <w:color w:val="000000"/>
                    </w:rPr>
                    <w:t>日期</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作者</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开本</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分类号</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类别</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版次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9787122326478</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光通信用半导体激光器</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人民邮电出版社</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201905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David J. Klotzkin</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p>
                  <w:pPr>
                    <w:pStyle w:val="null3"/>
                    <w:jc w:val="center"/>
                  </w:pPr>
                  <w:r>
                    <w:rPr>
                      <w:rFonts w:ascii="仿宋_GB2312" w:hAnsi="仿宋_GB2312" w:cs="仿宋_GB2312" w:eastAsia="仿宋_GB2312"/>
                      <w:sz w:val="22"/>
                      <w:color w:val="000000"/>
                    </w:rPr>
                    <w:t>cm</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TN248.4</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光通信</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初版</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、现场采购：中标人应及时通报全国性大型图书展销会、投标人、出版社举办的现场订货会等信息。</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图书配送要求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、中标人须按采购人确认的订单及时间要求配送图书，并免费送至指定地点。</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、中标人须对每批图书提供发货清单、分包清单，发货清单一式二份、内容一致，不得涂改；清单内包括：包号、</w:t>
            </w:r>
            <w:r>
              <w:rPr>
                <w:rFonts w:ascii="仿宋_GB2312" w:hAnsi="仿宋_GB2312" w:cs="仿宋_GB2312" w:eastAsia="仿宋_GB2312"/>
                <w:sz w:val="24"/>
                <w:color w:val="000000"/>
              </w:rPr>
              <w:t>ISBN</w:t>
            </w:r>
            <w:r>
              <w:rPr>
                <w:rFonts w:ascii="仿宋_GB2312" w:hAnsi="仿宋_GB2312" w:cs="仿宋_GB2312" w:eastAsia="仿宋_GB2312"/>
                <w:sz w:val="24"/>
                <w:color w:val="000000"/>
              </w:rPr>
              <w:t>、书名、单价、册数、出版时间，多卷书要分开，一包一单；每包有小计，整批图书有合计，合计内容为该批图书的种数、册数和总金额。</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、中标人须在收到订单</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个工作日内向采购人反馈订单匹配信息，按采购人要求调整订单数据；</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、现采图书经采购人确认书单后，中标人应当在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个工作日内完成图书配送，到货率不低于</w:t>
            </w:r>
            <w:r>
              <w:rPr>
                <w:rFonts w:ascii="仿宋_GB2312" w:hAnsi="仿宋_GB2312" w:cs="仿宋_GB2312" w:eastAsia="仿宋_GB2312"/>
                <w:sz w:val="24"/>
                <w:color w:val="000000"/>
              </w:rPr>
              <w:t>95%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、预定图书（订单配书）自中标人确认收到订单后，</w:t>
            </w:r>
            <w:r>
              <w:rPr>
                <w:rFonts w:ascii="仿宋_GB2312" w:hAnsi="仿宋_GB2312" w:cs="仿宋_GB2312" w:eastAsia="仿宋_GB2312"/>
                <w:sz w:val="24"/>
                <w:color w:val="000000"/>
              </w:rPr>
              <w:t>20</w:t>
            </w:r>
            <w:r>
              <w:rPr>
                <w:rFonts w:ascii="仿宋_GB2312" w:hAnsi="仿宋_GB2312" w:cs="仿宋_GB2312" w:eastAsia="仿宋_GB2312"/>
                <w:sz w:val="24"/>
                <w:color w:val="000000"/>
              </w:rPr>
              <w:t>个工作日内应当完成送货，到货率不低于</w:t>
            </w:r>
            <w:r>
              <w:rPr>
                <w:rFonts w:ascii="仿宋_GB2312" w:hAnsi="仿宋_GB2312" w:cs="仿宋_GB2312" w:eastAsia="仿宋_GB2312"/>
                <w:sz w:val="24"/>
                <w:color w:val="000000"/>
              </w:rPr>
              <w:t>90%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、中标人超过其承诺与本标书规定时间送货、但数量和质量与订单相符的，视为下一批次订单；</w:t>
            </w:r>
          </w:p>
          <w:p>
            <w:pPr>
              <w:pStyle w:val="null3"/>
              <w:jc w:val="both"/>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、本批次到书品种与订单不一致超过</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、或存在严重质量问题的，采购人有权拒绝接受，并视情况决定是否继续采购；</w:t>
            </w:r>
          </w:p>
          <w:p>
            <w:pPr>
              <w:pStyle w:val="null3"/>
              <w:jc w:val="both"/>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、中标人连续两次没有按时间要求送货的，采购人不再向中标人发单或组织采购；</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、采购人按批次统计到书率，时间从中标人收到订单次日起算，至</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条规定的配送期限为止，到书率连续两次低于最终订单</w:t>
            </w:r>
            <w:r>
              <w:rPr>
                <w:rFonts w:ascii="仿宋_GB2312" w:hAnsi="仿宋_GB2312" w:cs="仿宋_GB2312" w:eastAsia="仿宋_GB2312"/>
                <w:sz w:val="24"/>
                <w:color w:val="000000"/>
              </w:rPr>
              <w:t>90%</w:t>
            </w:r>
            <w:r>
              <w:rPr>
                <w:rFonts w:ascii="仿宋_GB2312" w:hAnsi="仿宋_GB2312" w:cs="仿宋_GB2312" w:eastAsia="仿宋_GB2312"/>
                <w:sz w:val="24"/>
                <w:color w:val="000000"/>
              </w:rPr>
              <w:t>的，采购人不再向中标人发单或组织采购；</w:t>
            </w:r>
          </w:p>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、订单验收结束时，中标人须及时提供未到品种情况说明。</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color w:val="000000"/>
              </w:rPr>
              <w:t>四、图书质量与验收</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、中标人所供图书必须是合法出版物，一旦发现有盗版图书，立即取消供书资格，并承担因此而因起的一切损失和法律责任。</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、中标人须保证所配送图书是采购人选订的，且没有污染、图文不清、缺页、倒页、缺附件等质量问题；不合格的图书，无论编目加工与否，采购人均可无条件退回。</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、对单册码洋</w:t>
            </w:r>
            <w:r>
              <w:rPr>
                <w:rFonts w:ascii="仿宋_GB2312" w:hAnsi="仿宋_GB2312" w:cs="仿宋_GB2312" w:eastAsia="仿宋_GB2312"/>
                <w:sz w:val="24"/>
                <w:color w:val="000000"/>
              </w:rPr>
              <w:t>200</w:t>
            </w:r>
            <w:r>
              <w:rPr>
                <w:rFonts w:ascii="仿宋_GB2312" w:hAnsi="仿宋_GB2312" w:cs="仿宋_GB2312" w:eastAsia="仿宋_GB2312"/>
                <w:sz w:val="24"/>
                <w:color w:val="000000"/>
              </w:rPr>
              <w:t>元以上、开本小于</w:t>
            </w:r>
            <w:r>
              <w:rPr>
                <w:rFonts w:ascii="仿宋_GB2312" w:hAnsi="仿宋_GB2312" w:cs="仿宋_GB2312" w:eastAsia="仿宋_GB2312"/>
                <w:sz w:val="24"/>
                <w:color w:val="000000"/>
              </w:rPr>
              <w:t>14cm</w:t>
            </w:r>
            <w:r>
              <w:rPr>
                <w:rFonts w:ascii="仿宋_GB2312" w:hAnsi="仿宋_GB2312" w:cs="仿宋_GB2312" w:eastAsia="仿宋_GB2312"/>
                <w:sz w:val="24"/>
                <w:color w:val="000000"/>
              </w:rPr>
              <w:t>的图书以及散页、线装、挂图、练习册、实验报告册和非当年出版的考试用书，以及分册三册以上的套书，必须经采购人二次确认方可供书；否则，采购人可以视为中标人自行配书。</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、所供图书必须在</w:t>
            </w:r>
            <w:r>
              <w:rPr>
                <w:rFonts w:ascii="仿宋_GB2312" w:hAnsi="仿宋_GB2312" w:cs="仿宋_GB2312" w:eastAsia="仿宋_GB2312"/>
                <w:sz w:val="24"/>
                <w:color w:val="000000"/>
              </w:rPr>
              <w:t>64</w:t>
            </w:r>
            <w:r>
              <w:rPr>
                <w:rFonts w:ascii="仿宋_GB2312" w:hAnsi="仿宋_GB2312" w:cs="仿宋_GB2312" w:eastAsia="仿宋_GB2312"/>
                <w:sz w:val="24"/>
                <w:color w:val="000000"/>
              </w:rPr>
              <w:t>开本以上、</w:t>
            </w:r>
            <w:r>
              <w:rPr>
                <w:rFonts w:ascii="仿宋_GB2312" w:hAnsi="仿宋_GB2312" w:cs="仿宋_GB2312" w:eastAsia="仿宋_GB2312"/>
                <w:sz w:val="24"/>
                <w:color w:val="000000"/>
              </w:rPr>
              <w:t>8</w:t>
            </w:r>
            <w:r>
              <w:rPr>
                <w:rFonts w:ascii="仿宋_GB2312" w:hAnsi="仿宋_GB2312" w:cs="仿宋_GB2312" w:eastAsia="仿宋_GB2312"/>
                <w:sz w:val="24"/>
                <w:color w:val="000000"/>
              </w:rPr>
              <w:t>开以下，且不得散页或活页装订。</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、图书配送到馆后，采购人组织人员按实际发出订单对到书进行信息化精准验收、并对到书内容、装帧等进行复审，对不适合馆藏的图书，中标人须免费提供退回、调换服务。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采访、编目数据要求</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、中标人须为采购人免费提供规范、标准的</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编目数据，数据以国家图书馆的编目数据为标准。</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、送书同时须发送编目数据，采购人如有发现有缺少或不符合标准</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编目的数据，中标人应及时补发。</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格式的价格部分需为纯数字；</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、对于分为上下册、中英文分册对照的，应将按实际分册单列，并将分册信息加入书名字段部分，多卷书须分别标明整套价和单册价。</w:t>
            </w:r>
          </w:p>
          <w:p>
            <w:pPr>
              <w:pStyle w:val="null3"/>
              <w:ind w:left="360"/>
              <w:jc w:val="center"/>
            </w:pPr>
            <w:r>
              <w:rPr>
                <w:rFonts w:ascii="仿宋_GB2312" w:hAnsi="仿宋_GB2312" w:cs="仿宋_GB2312" w:eastAsia="仿宋_GB2312"/>
                <w:sz w:val="24"/>
                <w:b/>
                <w:color w:val="000000"/>
              </w:rPr>
              <w:t>中文图书</w:t>
            </w:r>
            <w:r>
              <w:rPr>
                <w:rFonts w:ascii="仿宋_GB2312" w:hAnsi="仿宋_GB2312" w:cs="仿宋_GB2312" w:eastAsia="仿宋_GB2312"/>
                <w:sz w:val="24"/>
                <w:b/>
                <w:color w:val="000000"/>
              </w:rPr>
              <w:t>MARC</w:t>
            </w:r>
            <w:r>
              <w:rPr>
                <w:rFonts w:ascii="仿宋_GB2312" w:hAnsi="仿宋_GB2312" w:cs="仿宋_GB2312" w:eastAsia="仿宋_GB2312"/>
                <w:sz w:val="24"/>
                <w:b/>
                <w:color w:val="000000"/>
              </w:rPr>
              <w:t>数据格式</w:t>
            </w:r>
          </w:p>
          <w:p>
            <w:pPr>
              <w:pStyle w:val="null3"/>
              <w:ind w:left="360"/>
            </w:pPr>
            <w:r>
              <w:rPr>
                <w:rFonts w:ascii="仿宋_GB2312" w:hAnsi="仿宋_GB2312" w:cs="仿宋_GB2312" w:eastAsia="仿宋_GB2312"/>
                <w:sz w:val="24"/>
                <w:color w:val="000000"/>
              </w:rPr>
              <w:t xml:space="preserve">001      </w:t>
            </w:r>
            <w:r>
              <w:rPr>
                <w:rFonts w:ascii="仿宋_GB2312" w:hAnsi="仿宋_GB2312" w:cs="仿宋_GB2312" w:eastAsia="仿宋_GB2312"/>
                <w:sz w:val="24"/>
                <w:color w:val="000000"/>
              </w:rPr>
              <w:t>书目控制号</w:t>
            </w:r>
          </w:p>
          <w:p>
            <w:pPr>
              <w:pStyle w:val="null3"/>
              <w:ind w:left="360"/>
            </w:pPr>
            <w:r>
              <w:rPr>
                <w:rFonts w:ascii="仿宋_GB2312" w:hAnsi="仿宋_GB2312" w:cs="仿宋_GB2312" w:eastAsia="仿宋_GB2312"/>
                <w:sz w:val="24"/>
                <w:color w:val="000000"/>
              </w:rPr>
              <w:t xml:space="preserve">005      </w:t>
            </w:r>
          </w:p>
          <w:p>
            <w:pPr>
              <w:pStyle w:val="null3"/>
              <w:ind w:left="360"/>
            </w:pPr>
            <w:r>
              <w:rPr>
                <w:rFonts w:ascii="仿宋_GB2312" w:hAnsi="仿宋_GB2312" w:cs="仿宋_GB2312" w:eastAsia="仿宋_GB2312"/>
                <w:sz w:val="24"/>
                <w:color w:val="000000"/>
              </w:rPr>
              <w:t>010      @aISBN@z</w:t>
            </w:r>
            <w:r>
              <w:rPr>
                <w:rFonts w:ascii="仿宋_GB2312" w:hAnsi="仿宋_GB2312" w:cs="仿宋_GB2312" w:eastAsia="仿宋_GB2312"/>
                <w:sz w:val="24"/>
                <w:color w:val="000000"/>
              </w:rPr>
              <w:t>错误的</w:t>
            </w:r>
            <w:r>
              <w:rPr>
                <w:rFonts w:ascii="仿宋_GB2312" w:hAnsi="仿宋_GB2312" w:cs="仿宋_GB2312" w:eastAsia="仿宋_GB2312"/>
                <w:sz w:val="24"/>
                <w:color w:val="000000"/>
              </w:rPr>
              <w:t>ISBN@dCNY@b</w:t>
            </w:r>
            <w:r>
              <w:rPr>
                <w:rFonts w:ascii="仿宋_GB2312" w:hAnsi="仿宋_GB2312" w:cs="仿宋_GB2312" w:eastAsia="仿宋_GB2312"/>
                <w:sz w:val="24"/>
                <w:color w:val="000000"/>
              </w:rPr>
              <w:t>装帧</w:t>
            </w:r>
          </w:p>
          <w:p>
            <w:pPr>
              <w:pStyle w:val="null3"/>
              <w:ind w:left="360"/>
            </w:pPr>
            <w:r>
              <w:rPr>
                <w:rFonts w:ascii="仿宋_GB2312" w:hAnsi="仿宋_GB2312" w:cs="仿宋_GB2312" w:eastAsia="仿宋_GB2312"/>
                <w:sz w:val="24"/>
                <w:color w:val="000000"/>
              </w:rPr>
              <w:t>100</w:t>
            </w:r>
          </w:p>
          <w:p>
            <w:pPr>
              <w:pStyle w:val="null3"/>
              <w:ind w:left="360"/>
            </w:pPr>
            <w:r>
              <w:rPr>
                <w:rFonts w:ascii="仿宋_GB2312" w:hAnsi="仿宋_GB2312" w:cs="仿宋_GB2312" w:eastAsia="仿宋_GB2312"/>
                <w:sz w:val="24"/>
                <w:color w:val="000000"/>
              </w:rPr>
              <w:t>101  0   @achi(</w:t>
            </w:r>
            <w:r>
              <w:rPr>
                <w:rFonts w:ascii="仿宋_GB2312" w:hAnsi="仿宋_GB2312" w:cs="仿宋_GB2312" w:eastAsia="仿宋_GB2312"/>
                <w:sz w:val="24"/>
                <w:color w:val="000000"/>
              </w:rPr>
              <w:t>作品为译文时，指示符为</w:t>
            </w:r>
            <w:r>
              <w:rPr>
                <w:rFonts w:ascii="仿宋_GB2312" w:hAnsi="仿宋_GB2312" w:cs="仿宋_GB2312" w:eastAsia="仿宋_GB2312"/>
                <w:sz w:val="24"/>
                <w:color w:val="000000"/>
              </w:rPr>
              <w:t>1)</w:t>
            </w:r>
          </w:p>
          <w:p>
            <w:pPr>
              <w:pStyle w:val="null3"/>
              <w:ind w:left="360"/>
            </w:pPr>
            <w:r>
              <w:rPr>
                <w:rFonts w:ascii="仿宋_GB2312" w:hAnsi="仿宋_GB2312" w:cs="仿宋_GB2312" w:eastAsia="仿宋_GB2312"/>
                <w:sz w:val="24"/>
                <w:color w:val="000000"/>
              </w:rPr>
              <w:t>102      @a</w:t>
            </w:r>
            <w:r>
              <w:rPr>
                <w:rFonts w:ascii="仿宋_GB2312" w:hAnsi="仿宋_GB2312" w:cs="仿宋_GB2312" w:eastAsia="仿宋_GB2312"/>
                <w:sz w:val="24"/>
                <w:color w:val="000000"/>
              </w:rPr>
              <w:t>出版国代码</w:t>
            </w:r>
            <w:r>
              <w:rPr>
                <w:rFonts w:ascii="仿宋_GB2312" w:hAnsi="仿宋_GB2312" w:cs="仿宋_GB2312" w:eastAsia="仿宋_GB2312"/>
                <w:sz w:val="24"/>
                <w:color w:val="000000"/>
              </w:rPr>
              <w:t>@b</w:t>
            </w:r>
            <w:r>
              <w:rPr>
                <w:rFonts w:ascii="仿宋_GB2312" w:hAnsi="仿宋_GB2312" w:cs="仿宋_GB2312" w:eastAsia="仿宋_GB2312"/>
                <w:sz w:val="24"/>
                <w:color w:val="000000"/>
              </w:rPr>
              <w:t>出版地代码</w:t>
            </w:r>
          </w:p>
          <w:p>
            <w:pPr>
              <w:pStyle w:val="null3"/>
              <w:ind w:left="360"/>
            </w:pPr>
            <w:r>
              <w:rPr>
                <w:rFonts w:ascii="仿宋_GB2312" w:hAnsi="仿宋_GB2312" w:cs="仿宋_GB2312" w:eastAsia="仿宋_GB2312"/>
                <w:sz w:val="24"/>
                <w:color w:val="000000"/>
              </w:rPr>
              <w:t xml:space="preserve">105      </w:t>
            </w:r>
            <w:r>
              <w:rPr>
                <w:rFonts w:ascii="仿宋_GB2312" w:hAnsi="仿宋_GB2312" w:cs="仿宋_GB2312" w:eastAsia="仿宋_GB2312"/>
                <w:sz w:val="24"/>
                <w:color w:val="000000"/>
              </w:rPr>
              <w:t>编码数据字段</w:t>
            </w:r>
          </w:p>
          <w:p>
            <w:pPr>
              <w:pStyle w:val="null3"/>
              <w:ind w:left="360"/>
            </w:pPr>
            <w:r>
              <w:rPr>
                <w:rFonts w:ascii="仿宋_GB2312" w:hAnsi="仿宋_GB2312" w:cs="仿宋_GB2312" w:eastAsia="仿宋_GB2312"/>
                <w:sz w:val="24"/>
                <w:color w:val="000000"/>
              </w:rPr>
              <w:t>106      @a</w:t>
            </w:r>
            <w:r>
              <w:rPr>
                <w:rFonts w:ascii="仿宋_GB2312" w:hAnsi="仿宋_GB2312" w:cs="仿宋_GB2312" w:eastAsia="仿宋_GB2312"/>
                <w:sz w:val="24"/>
                <w:color w:val="000000"/>
              </w:rPr>
              <w:t>文字资料形态</w:t>
            </w:r>
          </w:p>
          <w:p>
            <w:pPr>
              <w:pStyle w:val="null3"/>
              <w:ind w:left="360"/>
            </w:pPr>
            <w:r>
              <w:rPr>
                <w:rFonts w:ascii="仿宋_GB2312" w:hAnsi="仿宋_GB2312" w:cs="仿宋_GB2312" w:eastAsia="仿宋_GB2312"/>
                <w:sz w:val="24"/>
                <w:color w:val="000000"/>
              </w:rPr>
              <w:t>200  10  @a</w:t>
            </w:r>
            <w:r>
              <w:rPr>
                <w:rFonts w:ascii="仿宋_GB2312" w:hAnsi="仿宋_GB2312" w:cs="仿宋_GB2312" w:eastAsia="仿宋_GB2312"/>
                <w:sz w:val="24"/>
                <w:color w:val="000000"/>
              </w:rPr>
              <w:t>正题名</w:t>
            </w:r>
            <w:r>
              <w:rPr>
                <w:rFonts w:ascii="仿宋_GB2312" w:hAnsi="仿宋_GB2312" w:cs="仿宋_GB2312" w:eastAsia="仿宋_GB2312"/>
                <w:sz w:val="24"/>
                <w:color w:val="000000"/>
              </w:rPr>
              <w:t>@d</w:t>
            </w:r>
            <w:r>
              <w:rPr>
                <w:rFonts w:ascii="仿宋_GB2312" w:hAnsi="仿宋_GB2312" w:cs="仿宋_GB2312" w:eastAsia="仿宋_GB2312"/>
                <w:sz w:val="24"/>
                <w:color w:val="000000"/>
              </w:rPr>
              <w:t>并列正题名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副题名</w:t>
            </w:r>
            <w:r>
              <w:rPr>
                <w:rFonts w:ascii="仿宋_GB2312" w:hAnsi="仿宋_GB2312" w:cs="仿宋_GB2312" w:eastAsia="仿宋_GB2312"/>
                <w:sz w:val="24"/>
                <w:color w:val="000000"/>
              </w:rPr>
              <w:t>@h</w:t>
            </w:r>
            <w:r>
              <w:rPr>
                <w:rFonts w:ascii="仿宋_GB2312" w:hAnsi="仿宋_GB2312" w:cs="仿宋_GB2312" w:eastAsia="仿宋_GB2312"/>
                <w:sz w:val="24"/>
                <w:color w:val="000000"/>
              </w:rPr>
              <w:t>分卷号</w:t>
            </w:r>
            <w:r>
              <w:rPr>
                <w:rFonts w:ascii="仿宋_GB2312" w:hAnsi="仿宋_GB2312" w:cs="仿宋_GB2312" w:eastAsia="仿宋_GB2312"/>
                <w:sz w:val="24"/>
                <w:color w:val="000000"/>
              </w:rPr>
              <w:t>@i</w:t>
            </w:r>
            <w:r>
              <w:rPr>
                <w:rFonts w:ascii="仿宋_GB2312" w:hAnsi="仿宋_GB2312" w:cs="仿宋_GB2312" w:eastAsia="仿宋_GB2312"/>
                <w:sz w:val="24"/>
                <w:color w:val="000000"/>
              </w:rPr>
              <w:t>分卷名</w:t>
            </w:r>
          </w:p>
          <w:p>
            <w:pPr>
              <w:pStyle w:val="null3"/>
              <w:ind w:left="360"/>
            </w:pPr>
            <w:r>
              <w:rPr>
                <w:rFonts w:ascii="仿宋_GB2312" w:hAnsi="仿宋_GB2312" w:cs="仿宋_GB2312" w:eastAsia="仿宋_GB2312"/>
                <w:sz w:val="24"/>
                <w:color w:val="000000"/>
              </w:rPr>
              <w:t>205      @a</w:t>
            </w:r>
            <w:r>
              <w:rPr>
                <w:rFonts w:ascii="仿宋_GB2312" w:hAnsi="仿宋_GB2312" w:cs="仿宋_GB2312" w:eastAsia="仿宋_GB2312"/>
                <w:sz w:val="24"/>
                <w:color w:val="000000"/>
              </w:rPr>
              <w:t>版次</w:t>
            </w:r>
            <w:r>
              <w:rPr>
                <w:rFonts w:ascii="仿宋_GB2312" w:hAnsi="仿宋_GB2312" w:cs="仿宋_GB2312" w:eastAsia="仿宋_GB2312"/>
                <w:sz w:val="24"/>
                <w:color w:val="000000"/>
              </w:rPr>
              <w:t>@b</w:t>
            </w:r>
            <w:r>
              <w:rPr>
                <w:rFonts w:ascii="仿宋_GB2312" w:hAnsi="仿宋_GB2312" w:cs="仿宋_GB2312" w:eastAsia="仿宋_GB2312"/>
                <w:sz w:val="24"/>
                <w:color w:val="000000"/>
              </w:rPr>
              <w:t>影印本</w:t>
            </w:r>
          </w:p>
          <w:p>
            <w:pPr>
              <w:pStyle w:val="null3"/>
              <w:ind w:left="360"/>
            </w:pPr>
            <w:r>
              <w:rPr>
                <w:rFonts w:ascii="仿宋_GB2312" w:hAnsi="仿宋_GB2312" w:cs="仿宋_GB2312" w:eastAsia="仿宋_GB2312"/>
                <w:sz w:val="24"/>
                <w:color w:val="000000"/>
              </w:rPr>
              <w:t>210      @a</w:t>
            </w:r>
            <w:r>
              <w:rPr>
                <w:rFonts w:ascii="仿宋_GB2312" w:hAnsi="仿宋_GB2312" w:cs="仿宋_GB2312" w:eastAsia="仿宋_GB2312"/>
                <w:sz w:val="24"/>
                <w:color w:val="000000"/>
              </w:rPr>
              <w:t>出版地</w:t>
            </w:r>
            <w:r>
              <w:rPr>
                <w:rFonts w:ascii="仿宋_GB2312" w:hAnsi="仿宋_GB2312" w:cs="仿宋_GB2312" w:eastAsia="仿宋_GB2312"/>
                <w:sz w:val="24"/>
                <w:color w:val="000000"/>
              </w:rPr>
              <w:t>@c</w:t>
            </w:r>
            <w:r>
              <w:rPr>
                <w:rFonts w:ascii="仿宋_GB2312" w:hAnsi="仿宋_GB2312" w:cs="仿宋_GB2312" w:eastAsia="仿宋_GB2312"/>
                <w:sz w:val="24"/>
                <w:color w:val="000000"/>
              </w:rPr>
              <w:t>出版社</w:t>
            </w:r>
            <w:r>
              <w:rPr>
                <w:rFonts w:ascii="仿宋_GB2312" w:hAnsi="仿宋_GB2312" w:cs="仿宋_GB2312" w:eastAsia="仿宋_GB2312"/>
                <w:sz w:val="24"/>
                <w:color w:val="000000"/>
              </w:rPr>
              <w:t>@d</w:t>
            </w:r>
            <w:r>
              <w:rPr>
                <w:rFonts w:ascii="仿宋_GB2312" w:hAnsi="仿宋_GB2312" w:cs="仿宋_GB2312" w:eastAsia="仿宋_GB2312"/>
                <w:sz w:val="24"/>
                <w:color w:val="000000"/>
              </w:rPr>
              <w:t>出版年月</w:t>
            </w:r>
            <w:r>
              <w:rPr>
                <w:rFonts w:ascii="仿宋_GB2312" w:hAnsi="仿宋_GB2312" w:cs="仿宋_GB2312" w:eastAsia="仿宋_GB2312"/>
                <w:sz w:val="24"/>
                <w:color w:val="000000"/>
              </w:rPr>
              <w:t>@h</w:t>
            </w:r>
            <w:r>
              <w:rPr>
                <w:rFonts w:ascii="仿宋_GB2312" w:hAnsi="仿宋_GB2312" w:cs="仿宋_GB2312" w:eastAsia="仿宋_GB2312"/>
                <w:sz w:val="24"/>
                <w:color w:val="000000"/>
              </w:rPr>
              <w:t>重印年月</w:t>
            </w:r>
          </w:p>
          <w:p>
            <w:pPr>
              <w:pStyle w:val="null3"/>
              <w:ind w:left="360"/>
            </w:pPr>
            <w:r>
              <w:rPr>
                <w:rFonts w:ascii="仿宋_GB2312" w:hAnsi="仿宋_GB2312" w:cs="仿宋_GB2312" w:eastAsia="仿宋_GB2312"/>
                <w:sz w:val="24"/>
                <w:color w:val="000000"/>
              </w:rPr>
              <w:t>215      @a</w:t>
            </w:r>
            <w:r>
              <w:rPr>
                <w:rFonts w:ascii="仿宋_GB2312" w:hAnsi="仿宋_GB2312" w:cs="仿宋_GB2312" w:eastAsia="仿宋_GB2312"/>
                <w:sz w:val="24"/>
                <w:color w:val="000000"/>
              </w:rPr>
              <w:t>页码</w:t>
            </w:r>
            <w:r>
              <w:rPr>
                <w:rFonts w:ascii="仿宋_GB2312" w:hAnsi="仿宋_GB2312" w:cs="仿宋_GB2312" w:eastAsia="仿宋_GB2312"/>
                <w:sz w:val="24"/>
                <w:color w:val="000000"/>
              </w:rPr>
              <w:t>@c</w:t>
            </w:r>
            <w:r>
              <w:rPr>
                <w:rFonts w:ascii="仿宋_GB2312" w:hAnsi="仿宋_GB2312" w:cs="仿宋_GB2312" w:eastAsia="仿宋_GB2312"/>
                <w:sz w:val="24"/>
                <w:color w:val="000000"/>
              </w:rPr>
              <w:t>图</w:t>
            </w:r>
            <w:r>
              <w:rPr>
                <w:rFonts w:ascii="仿宋_GB2312" w:hAnsi="仿宋_GB2312" w:cs="仿宋_GB2312" w:eastAsia="仿宋_GB2312"/>
                <w:sz w:val="24"/>
                <w:color w:val="000000"/>
              </w:rPr>
              <w:t>@d</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@e</w:t>
            </w:r>
            <w:r>
              <w:rPr>
                <w:rFonts w:ascii="仿宋_GB2312" w:hAnsi="仿宋_GB2312" w:cs="仿宋_GB2312" w:eastAsia="仿宋_GB2312"/>
                <w:sz w:val="24"/>
                <w:color w:val="000000"/>
              </w:rPr>
              <w:t>附件</w:t>
            </w:r>
          </w:p>
          <w:p>
            <w:pPr>
              <w:pStyle w:val="null3"/>
              <w:ind w:left="360"/>
            </w:pPr>
            <w:r>
              <w:rPr>
                <w:rFonts w:ascii="仿宋_GB2312" w:hAnsi="仿宋_GB2312" w:cs="仿宋_GB2312" w:eastAsia="仿宋_GB2312"/>
                <w:sz w:val="24"/>
                <w:color w:val="000000"/>
              </w:rPr>
              <w:t>225  2#  @a</w:t>
            </w:r>
            <w:r>
              <w:rPr>
                <w:rFonts w:ascii="仿宋_GB2312" w:hAnsi="仿宋_GB2312" w:cs="仿宋_GB2312" w:eastAsia="仿宋_GB2312"/>
                <w:sz w:val="24"/>
                <w:color w:val="000000"/>
              </w:rPr>
              <w:t>丛书名</w:t>
            </w:r>
            <w:r>
              <w:rPr>
                <w:rFonts w:ascii="仿宋_GB2312" w:hAnsi="仿宋_GB2312" w:cs="仿宋_GB2312" w:eastAsia="仿宋_GB2312"/>
                <w:sz w:val="24"/>
                <w:color w:val="000000"/>
              </w:rPr>
              <w:t>@h</w:t>
            </w:r>
            <w:r>
              <w:rPr>
                <w:rFonts w:ascii="仿宋_GB2312" w:hAnsi="仿宋_GB2312" w:cs="仿宋_GB2312" w:eastAsia="仿宋_GB2312"/>
                <w:sz w:val="24"/>
                <w:color w:val="000000"/>
              </w:rPr>
              <w:t>分丛书号</w:t>
            </w:r>
            <w:r>
              <w:rPr>
                <w:rFonts w:ascii="仿宋_GB2312" w:hAnsi="仿宋_GB2312" w:cs="仿宋_GB2312" w:eastAsia="仿宋_GB2312"/>
                <w:sz w:val="24"/>
                <w:color w:val="000000"/>
              </w:rPr>
              <w:t>@i</w:t>
            </w:r>
            <w:r>
              <w:rPr>
                <w:rFonts w:ascii="仿宋_GB2312" w:hAnsi="仿宋_GB2312" w:cs="仿宋_GB2312" w:eastAsia="仿宋_GB2312"/>
                <w:sz w:val="24"/>
                <w:color w:val="000000"/>
              </w:rPr>
              <w:t>分丛书名</w:t>
            </w:r>
            <w:r>
              <w:rPr>
                <w:rFonts w:ascii="仿宋_GB2312" w:hAnsi="仿宋_GB2312" w:cs="仿宋_GB2312" w:eastAsia="仿宋_GB2312"/>
                <w:sz w:val="24"/>
                <w:color w:val="000000"/>
              </w:rPr>
              <w:t>@f</w:t>
            </w:r>
            <w:r>
              <w:rPr>
                <w:rFonts w:ascii="仿宋_GB2312" w:hAnsi="仿宋_GB2312" w:cs="仿宋_GB2312" w:eastAsia="仿宋_GB2312"/>
                <w:sz w:val="24"/>
                <w:color w:val="000000"/>
              </w:rPr>
              <w:t>丛书编者</w:t>
            </w:r>
          </w:p>
          <w:p>
            <w:pPr>
              <w:pStyle w:val="null3"/>
              <w:ind w:left="360"/>
            </w:pPr>
            <w:r>
              <w:rPr>
                <w:rFonts w:ascii="仿宋_GB2312" w:hAnsi="仿宋_GB2312" w:cs="仿宋_GB2312" w:eastAsia="仿宋_GB2312"/>
                <w:sz w:val="24"/>
                <w:color w:val="000000"/>
              </w:rPr>
              <w:t>300      @a</w:t>
            </w:r>
            <w:r>
              <w:rPr>
                <w:rFonts w:ascii="仿宋_GB2312" w:hAnsi="仿宋_GB2312" w:cs="仿宋_GB2312" w:eastAsia="仿宋_GB2312"/>
                <w:sz w:val="24"/>
                <w:color w:val="000000"/>
              </w:rPr>
              <w:t>附注项</w:t>
            </w:r>
          </w:p>
          <w:p>
            <w:pPr>
              <w:pStyle w:val="null3"/>
              <w:ind w:left="360"/>
            </w:pPr>
            <w:r>
              <w:rPr>
                <w:rFonts w:ascii="仿宋_GB2312" w:hAnsi="仿宋_GB2312" w:cs="仿宋_GB2312" w:eastAsia="仿宋_GB2312"/>
                <w:sz w:val="24"/>
                <w:color w:val="000000"/>
              </w:rPr>
              <w:t>517      @a</w:t>
            </w:r>
            <w:r>
              <w:rPr>
                <w:rFonts w:ascii="仿宋_GB2312" w:hAnsi="仿宋_GB2312" w:cs="仿宋_GB2312" w:eastAsia="仿宋_GB2312"/>
                <w:sz w:val="24"/>
                <w:color w:val="000000"/>
              </w:rPr>
              <w:t>其他题名</w:t>
            </w:r>
          </w:p>
          <w:p>
            <w:pPr>
              <w:pStyle w:val="null3"/>
              <w:ind w:left="360"/>
            </w:pPr>
            <w:r>
              <w:rPr>
                <w:rFonts w:ascii="仿宋_GB2312" w:hAnsi="仿宋_GB2312" w:cs="仿宋_GB2312" w:eastAsia="仿宋_GB2312"/>
                <w:sz w:val="24"/>
                <w:color w:val="000000"/>
              </w:rPr>
              <w:t>606      @a</w:t>
            </w:r>
            <w:r>
              <w:rPr>
                <w:rFonts w:ascii="仿宋_GB2312" w:hAnsi="仿宋_GB2312" w:cs="仿宋_GB2312" w:eastAsia="仿宋_GB2312"/>
                <w:sz w:val="24"/>
                <w:color w:val="000000"/>
              </w:rPr>
              <w:t>普通主题</w:t>
            </w:r>
            <w:r>
              <w:rPr>
                <w:rFonts w:ascii="仿宋_GB2312" w:hAnsi="仿宋_GB2312" w:cs="仿宋_GB2312" w:eastAsia="仿宋_GB2312"/>
                <w:sz w:val="24"/>
                <w:color w:val="000000"/>
              </w:rPr>
              <w:t>@x</w:t>
            </w:r>
            <w:r>
              <w:rPr>
                <w:rFonts w:ascii="仿宋_GB2312" w:hAnsi="仿宋_GB2312" w:cs="仿宋_GB2312" w:eastAsia="仿宋_GB2312"/>
                <w:sz w:val="24"/>
                <w:color w:val="000000"/>
              </w:rPr>
              <w:t>复分主题</w:t>
            </w:r>
            <w:r>
              <w:rPr>
                <w:rFonts w:ascii="仿宋_GB2312" w:hAnsi="仿宋_GB2312" w:cs="仿宋_GB2312" w:eastAsia="仿宋_GB2312"/>
                <w:sz w:val="24"/>
                <w:color w:val="000000"/>
              </w:rPr>
              <w:t>@y</w:t>
            </w:r>
            <w:r>
              <w:rPr>
                <w:rFonts w:ascii="仿宋_GB2312" w:hAnsi="仿宋_GB2312" w:cs="仿宋_GB2312" w:eastAsia="仿宋_GB2312"/>
                <w:sz w:val="24"/>
                <w:color w:val="000000"/>
              </w:rPr>
              <w:t>地区主题</w:t>
            </w:r>
            <w:r>
              <w:rPr>
                <w:rFonts w:ascii="仿宋_GB2312" w:hAnsi="仿宋_GB2312" w:cs="仿宋_GB2312" w:eastAsia="仿宋_GB2312"/>
                <w:sz w:val="24"/>
                <w:color w:val="000000"/>
              </w:rPr>
              <w:t>@z</w:t>
            </w:r>
            <w:r>
              <w:rPr>
                <w:rFonts w:ascii="仿宋_GB2312" w:hAnsi="仿宋_GB2312" w:cs="仿宋_GB2312" w:eastAsia="仿宋_GB2312"/>
                <w:sz w:val="24"/>
                <w:color w:val="000000"/>
              </w:rPr>
              <w:t>时代主题</w:t>
            </w:r>
          </w:p>
          <w:p>
            <w:pPr>
              <w:pStyle w:val="null3"/>
              <w:ind w:left="360"/>
            </w:pPr>
            <w:r>
              <w:rPr>
                <w:rFonts w:ascii="仿宋_GB2312" w:hAnsi="仿宋_GB2312" w:cs="仿宋_GB2312" w:eastAsia="仿宋_GB2312"/>
                <w:sz w:val="24"/>
                <w:color w:val="000000"/>
              </w:rPr>
              <w:t>690      @a</w:t>
            </w:r>
            <w:r>
              <w:rPr>
                <w:rFonts w:ascii="仿宋_GB2312" w:hAnsi="仿宋_GB2312" w:cs="仿宋_GB2312" w:eastAsia="仿宋_GB2312"/>
                <w:sz w:val="24"/>
                <w:color w:val="000000"/>
              </w:rPr>
              <w:t>中图分类号</w:t>
            </w:r>
            <w:r>
              <w:rPr>
                <w:rFonts w:ascii="仿宋_GB2312" w:hAnsi="仿宋_GB2312" w:cs="仿宋_GB2312" w:eastAsia="仿宋_GB2312"/>
                <w:sz w:val="24"/>
                <w:color w:val="000000"/>
              </w:rPr>
              <w:t>@v5</w:t>
            </w:r>
          </w:p>
          <w:p>
            <w:pPr>
              <w:pStyle w:val="null3"/>
              <w:ind w:left="360"/>
            </w:pPr>
            <w:r>
              <w:rPr>
                <w:rFonts w:ascii="仿宋_GB2312" w:hAnsi="仿宋_GB2312" w:cs="仿宋_GB2312" w:eastAsia="仿宋_GB2312"/>
                <w:sz w:val="24"/>
                <w:color w:val="000000"/>
              </w:rPr>
              <w:t>701  #0  @a</w:t>
            </w:r>
            <w:r>
              <w:rPr>
                <w:rFonts w:ascii="仿宋_GB2312" w:hAnsi="仿宋_GB2312" w:cs="仿宋_GB2312" w:eastAsia="仿宋_GB2312"/>
                <w:sz w:val="24"/>
                <w:color w:val="000000"/>
              </w:rPr>
              <w:t>第一作者名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国别</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责任方式（西方作者指示符为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702  #0  @a</w:t>
            </w:r>
            <w:r>
              <w:rPr>
                <w:rFonts w:ascii="仿宋_GB2312" w:hAnsi="仿宋_GB2312" w:cs="仿宋_GB2312" w:eastAsia="仿宋_GB2312"/>
                <w:sz w:val="24"/>
                <w:color w:val="000000"/>
              </w:rPr>
              <w:t>第二作者名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国别</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责任方式（西方作者指示符为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711  01  @a</w:t>
            </w:r>
            <w:r>
              <w:rPr>
                <w:rFonts w:ascii="仿宋_GB2312" w:hAnsi="仿宋_GB2312" w:cs="仿宋_GB2312" w:eastAsia="仿宋_GB2312"/>
                <w:sz w:val="24"/>
                <w:color w:val="000000"/>
              </w:rPr>
              <w:t>团体责任者</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责任方式（会议责任者指示符为</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712  01  @a</w:t>
            </w:r>
            <w:r>
              <w:rPr>
                <w:rFonts w:ascii="仿宋_GB2312" w:hAnsi="仿宋_GB2312" w:cs="仿宋_GB2312" w:eastAsia="仿宋_GB2312"/>
                <w:sz w:val="24"/>
                <w:color w:val="000000"/>
              </w:rPr>
              <w:t>第二团体责任者</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责任方式（会议责任者指示符为</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b/>
                <w:color w:val="000000"/>
              </w:rPr>
              <w:t>注：以上著录字段为基本大项，编目员可根据图书情况灵活掌握。对于系统自动生成的字段，请保留。</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color w:val="000000"/>
              </w:rPr>
              <w:t>六、图书物理加工要求</w:t>
            </w:r>
          </w:p>
          <w:p>
            <w:pPr>
              <w:pStyle w:val="null3"/>
              <w:ind w:firstLine="480"/>
              <w:jc w:val="both"/>
            </w:pPr>
            <w:r>
              <w:rPr>
                <w:rFonts w:ascii="仿宋_GB2312" w:hAnsi="仿宋_GB2312" w:cs="仿宋_GB2312" w:eastAsia="仿宋_GB2312"/>
                <w:sz w:val="24"/>
                <w:color w:val="000000"/>
              </w:rPr>
              <w:t>中标人须免费提供到馆编目、加工服务，具体要求如下：</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、中标人须对其所供的每册图书粘贴条形码，条形码一码二张，一张贴在图书扉页下三分之一内，另一张贴在图书最末有效文字页眉上正中空白处。条形码式样由采购人确定，保证能够被识别。</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、中标人须对其所供的每册图书粘贴钴基复合可充消磁磁条，</w:t>
            </w:r>
            <w:r>
              <w:rPr>
                <w:rFonts w:ascii="仿宋_GB2312" w:hAnsi="仿宋_GB2312" w:cs="仿宋_GB2312" w:eastAsia="仿宋_GB2312"/>
                <w:sz w:val="24"/>
                <w:color w:val="000000"/>
              </w:rPr>
              <w:t>300</w:t>
            </w:r>
            <w:r>
              <w:rPr>
                <w:rFonts w:ascii="仿宋_GB2312" w:hAnsi="仿宋_GB2312" w:cs="仿宋_GB2312" w:eastAsia="仿宋_GB2312"/>
                <w:sz w:val="24"/>
                <w:color w:val="000000"/>
              </w:rPr>
              <w:t>页以上和精装图书须装</w:t>
            </w:r>
            <w:r>
              <w:rPr>
                <w:rFonts w:ascii="仿宋_GB2312" w:hAnsi="仿宋_GB2312" w:cs="仿宋_GB2312" w:eastAsia="仿宋_GB2312"/>
                <w:sz w:val="24"/>
                <w:color w:val="000000"/>
              </w:rPr>
              <w:t>2</w:t>
            </w:r>
            <w:r>
              <w:rPr>
                <w:rFonts w:ascii="仿宋_GB2312" w:hAnsi="仿宋_GB2312" w:cs="仿宋_GB2312" w:eastAsia="仿宋_GB2312"/>
                <w:sz w:val="24"/>
                <w:color w:val="000000"/>
              </w:rPr>
              <w:t>根磁条，磁条长度应在</w:t>
            </w:r>
            <w:r>
              <w:rPr>
                <w:rFonts w:ascii="仿宋_GB2312" w:hAnsi="仿宋_GB2312" w:cs="仿宋_GB2312" w:eastAsia="仿宋_GB2312"/>
                <w:sz w:val="24"/>
                <w:color w:val="000000"/>
              </w:rPr>
              <w:t>16cm</w:t>
            </w:r>
            <w:r>
              <w:rPr>
                <w:rFonts w:ascii="仿宋_GB2312" w:hAnsi="仿宋_GB2312" w:cs="仿宋_GB2312" w:eastAsia="仿宋_GB2312"/>
                <w:sz w:val="24"/>
                <w:color w:val="000000"/>
              </w:rPr>
              <w:t>±</w:t>
            </w:r>
            <w:r>
              <w:rPr>
                <w:rFonts w:ascii="仿宋_GB2312" w:hAnsi="仿宋_GB2312" w:cs="仿宋_GB2312" w:eastAsia="仿宋_GB2312"/>
                <w:sz w:val="24"/>
                <w:color w:val="000000"/>
              </w:rPr>
              <w:t>0.5cm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、中标人须对其所供的每册图书加盖馆藏章，要求：①每一本图书盖</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个馆藏章，第一个章盖在书名页上（版权页），第二个章盖在图书书籍正对面的书边上；②盖章应当工整，不得倒印或竖印。</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、中标人须对其所供的每册图书粘贴色标，每册书在书脊上端加贴色标一枚。</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、随书配送的光盘、录音带等非书资料：中标人必须进行非书资料编目（增加</w:t>
            </w:r>
            <w:r>
              <w:rPr>
                <w:rFonts w:ascii="仿宋_GB2312" w:hAnsi="仿宋_GB2312" w:cs="仿宋_GB2312" w:eastAsia="仿宋_GB2312"/>
                <w:sz w:val="24"/>
                <w:color w:val="000000"/>
              </w:rPr>
              <w:t>215</w:t>
            </w:r>
            <w:r>
              <w:rPr>
                <w:rFonts w:ascii="仿宋_GB2312" w:hAnsi="仿宋_GB2312" w:cs="仿宋_GB2312" w:eastAsia="仿宋_GB2312"/>
                <w:sz w:val="24"/>
                <w:color w:val="000000"/>
              </w:rPr>
              <w:t>等相关字段），编目数据要独立打包，随图书编目数据一起免费配送。</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、中标人须保证每册图书按采购人的要求提供免费到馆加工、著录等服务。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color w:val="000000"/>
              </w:rPr>
              <w:t>七、其他要求</w:t>
            </w:r>
          </w:p>
          <w:p>
            <w:pPr>
              <w:pStyle w:val="null3"/>
            </w:pPr>
            <w:r>
              <w:rPr>
                <w:rFonts w:ascii="仿宋_GB2312" w:hAnsi="仿宋_GB2312" w:cs="仿宋_GB2312" w:eastAsia="仿宋_GB2312"/>
                <w:sz w:val="24"/>
                <w:color w:val="000000"/>
              </w:rPr>
              <w:t>采购人向中标人发出零采订单，中标人不得以各种理由推脱；零采订单按实时市场价进行结算，中标人应当在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个工作日内完成图书配送。</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b/>
                <w:color w:val="000000"/>
              </w:rPr>
              <w:t>八、结算方式</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、本项目采用“先送货，后结算”的结算方式，中标人随书提供标准格式的送书清单，经采购人验收无误、办妥差、错、退换手续、经双方确认验收结果后，方可结算；</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、结算价格</w:t>
            </w:r>
            <w:r>
              <w:rPr>
                <w:rFonts w:ascii="仿宋_GB2312" w:hAnsi="仿宋_GB2312" w:cs="仿宋_GB2312" w:eastAsia="仿宋_GB2312"/>
                <w:sz w:val="24"/>
                <w:color w:val="000000"/>
              </w:rPr>
              <w:t>=</w:t>
            </w:r>
            <w:r>
              <w:rPr>
                <w:rFonts w:ascii="仿宋_GB2312" w:hAnsi="仿宋_GB2312" w:cs="仿宋_GB2312" w:eastAsia="仿宋_GB2312"/>
                <w:sz w:val="24"/>
                <w:color w:val="000000"/>
              </w:rPr>
              <w:t>图书标价</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折扣率）；</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、中标人必须提供国家税务部门监制的正式发票、中标人的账户信息（包括中标人全称、开户银行、账户等）</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、结算单位：采购人结算。在付款前，中标人须开具等额发票给采购人。</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5.1</w:t>
            </w:r>
            <w:r>
              <w:rPr>
                <w:rFonts w:ascii="仿宋_GB2312" w:hAnsi="仿宋_GB2312" w:cs="仿宋_GB2312" w:eastAsia="仿宋_GB2312"/>
                <w:sz w:val="24"/>
                <w:color w:val="000000"/>
              </w:rPr>
              <w:t>以实际供书实洋核算；</w:t>
            </w:r>
          </w:p>
          <w:p>
            <w:pPr>
              <w:pStyle w:val="null3"/>
              <w:ind w:firstLine="480"/>
              <w:jc w:val="both"/>
            </w:pPr>
            <w:r>
              <w:rPr>
                <w:rFonts w:ascii="仿宋_GB2312" w:hAnsi="仿宋_GB2312" w:cs="仿宋_GB2312" w:eastAsia="仿宋_GB2312"/>
                <w:sz w:val="24"/>
                <w:color w:val="000000"/>
              </w:rPr>
              <w:t>5.2</w:t>
            </w:r>
            <w:r>
              <w:rPr>
                <w:rFonts w:ascii="仿宋_GB2312" w:hAnsi="仿宋_GB2312" w:cs="仿宋_GB2312" w:eastAsia="仿宋_GB2312"/>
                <w:sz w:val="24"/>
                <w:color w:val="000000"/>
              </w:rPr>
              <w:t>遇到寒暑假及年底冻结资金，付款顺延。遇到学校因特殊情况资金紧张时，中标人有垫付半年的能力。采购人所订书籍到馆后，经开包验收合格、完成加工入库后，达到付款条件起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b/>
                <w:color w:val="000000"/>
              </w:rPr>
              <w:t>九、违规、违约赔偿规定</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、中标人在服务过程中，发现产品质量问题，应在规定时间内无条件调换，调换不能解决的应无条件退货，由此造成的损失由投标人负责，若投标人拒绝配合，采购人有权单方面终止合同。</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、中标人单批到馆图书（种数）的不合格率不得高于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；年供书中，批图书的不合格率超过</w:t>
            </w:r>
            <w:r>
              <w:rPr>
                <w:rFonts w:ascii="仿宋_GB2312" w:hAnsi="仿宋_GB2312" w:cs="仿宋_GB2312" w:eastAsia="仿宋_GB2312"/>
                <w:sz w:val="24"/>
                <w:color w:val="000000"/>
              </w:rPr>
              <w:t>2</w:t>
            </w:r>
            <w:r>
              <w:rPr>
                <w:rFonts w:ascii="仿宋_GB2312" w:hAnsi="仿宋_GB2312" w:cs="仿宋_GB2312" w:eastAsia="仿宋_GB2312"/>
                <w:sz w:val="24"/>
                <w:color w:val="000000"/>
              </w:rPr>
              <w:t>批以上的，采购人可将中标人视为故意挟带其他图书或无供书能力而单方终止合同，并视情况严重程度从履约保证金中扣除一定金额（注：此处“不合格图书”指非我馆订购的图书和重复发送的图书）。</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、中标人不得擅自配书，采购人将严格按照采购订单进行验收，对所有非预定的图书一律退还中标人，造成的经济损失由中标人承担。如需采购人代办邮寄业务，中标人须支付交通运输费、误工费人民币</w:t>
            </w:r>
            <w:r>
              <w:rPr>
                <w:rFonts w:ascii="仿宋_GB2312" w:hAnsi="仿宋_GB2312" w:cs="仿宋_GB2312" w:eastAsia="仿宋_GB2312"/>
                <w:sz w:val="24"/>
                <w:color w:val="000000"/>
              </w:rPr>
              <w:t>200</w:t>
            </w:r>
            <w:r>
              <w:rPr>
                <w:rFonts w:ascii="仿宋_GB2312" w:hAnsi="仿宋_GB2312" w:cs="仿宋_GB2312" w:eastAsia="仿宋_GB2312"/>
                <w:sz w:val="24"/>
                <w:color w:val="000000"/>
              </w:rPr>
              <w:t>元，邮寄费按实际金额支付。</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如果中标人提供有盗版图书，采购人有权单方终止购书合同、扣除履约保证金，所引发的法律责任全部由中标人承担。如印刷、装订有问题的图书（无论是否盖章、加工），中标人必须给予调换，并承担由此造成的采购人经济损失。</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、中标人在合同期内不得以任何理由（不可抗力除外）单方终止服务合同，否则，采购人将扣留未支付书款的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作为违约金。</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、中标人在履行协议过程中，如有违反国家法律的其他行为并引发法律责任，采购人将立即终止合同，所有责任及损失由中标人承担。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标的名称：语言文字、文学、艺术、历史地理、综合性图书等纸质图书[H-K、Z]</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项目概述</w:t>
            </w:r>
          </w:p>
          <w:p>
            <w:pPr>
              <w:pStyle w:val="null3"/>
              <w:jc w:val="both"/>
            </w:pPr>
            <w:r>
              <w:rPr>
                <w:rFonts w:ascii="仿宋_GB2312" w:hAnsi="仿宋_GB2312" w:cs="仿宋_GB2312" w:eastAsia="仿宋_GB2312"/>
                <w:sz w:val="24"/>
                <w:color w:val="000000"/>
              </w:rPr>
              <w:t>1、项目名称：西安邮电大学中文纸质图书采购项目</w:t>
            </w:r>
          </w:p>
          <w:p>
            <w:pPr>
              <w:pStyle w:val="null3"/>
              <w:jc w:val="both"/>
            </w:pPr>
            <w:r>
              <w:rPr>
                <w:rFonts w:ascii="仿宋_GB2312" w:hAnsi="仿宋_GB2312" w:cs="仿宋_GB2312" w:eastAsia="仿宋_GB2312"/>
                <w:sz w:val="24"/>
                <w:color w:val="000000"/>
              </w:rPr>
              <w:t>2、采购内容：本采购包2主要采购语言文字、文学、艺术、历史地理、综合性图书等纸质图书[H-K、Z]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3、报价方式：投标人须综合考虑各种因素、客观合理的报出给予采购方的供货价格折扣率。</w:t>
            </w:r>
          </w:p>
          <w:p>
            <w:pPr>
              <w:pStyle w:val="null3"/>
              <w:jc w:val="both"/>
            </w:pPr>
            <w:r>
              <w:rPr>
                <w:rFonts w:ascii="仿宋_GB2312" w:hAnsi="仿宋_GB2312" w:cs="仿宋_GB2312" w:eastAsia="仿宋_GB2312"/>
                <w:sz w:val="24"/>
                <w:color w:val="000000"/>
              </w:rPr>
              <w:t>4、采购方式：主要通过书目采购、现场采购两种方式进行。</w:t>
            </w:r>
          </w:p>
          <w:p>
            <w:pPr>
              <w:pStyle w:val="null3"/>
              <w:jc w:val="both"/>
            </w:pPr>
            <w:r>
              <w:rPr>
                <w:rFonts w:ascii="仿宋_GB2312" w:hAnsi="仿宋_GB2312" w:cs="仿宋_GB2312" w:eastAsia="仿宋_GB2312"/>
                <w:sz w:val="24"/>
                <w:color w:val="000000"/>
              </w:rPr>
              <w:t>5、验收方式：采购方以实际发出的订单为准，按订单批次进行信息化精准验收，出具初验报告；国资处于项目执行结束时进行项目总体验收。</w:t>
            </w:r>
          </w:p>
          <w:p>
            <w:pPr>
              <w:pStyle w:val="null3"/>
            </w:pPr>
            <w:r>
              <w:rPr>
                <w:rFonts w:ascii="仿宋_GB2312" w:hAnsi="仿宋_GB2312" w:cs="仿宋_GB2312" w:eastAsia="仿宋_GB2312"/>
                <w:sz w:val="24"/>
                <w:color w:val="000000"/>
              </w:rPr>
              <w:t>6、结算方式：采购方进行分批验收后，按实际验收图书的实洋与中标人进行分批结算。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二、具体采购内容及方式</w:t>
            </w:r>
          </w:p>
          <w:p>
            <w:pPr>
              <w:pStyle w:val="null3"/>
              <w:jc w:val="both"/>
            </w:pPr>
            <w:r>
              <w:rPr>
                <w:rFonts w:ascii="仿宋_GB2312" w:hAnsi="仿宋_GB2312" w:cs="仿宋_GB2312" w:eastAsia="仿宋_GB2312"/>
                <w:sz w:val="24"/>
                <w:color w:val="000000"/>
              </w:rPr>
              <w:t>1、采购内容：符合采购人专业设置及学科建设要求，以2024年8月以后出版的图书为主，其他时间出版的图书不超过20%。</w:t>
            </w:r>
          </w:p>
          <w:p>
            <w:pPr>
              <w:pStyle w:val="null3"/>
              <w:ind w:firstLine="480"/>
              <w:jc w:val="center"/>
            </w:pPr>
            <w:r>
              <w:rPr>
                <w:rFonts w:ascii="仿宋_GB2312" w:hAnsi="仿宋_GB2312" w:cs="仿宋_GB2312" w:eastAsia="仿宋_GB2312"/>
                <w:sz w:val="24"/>
                <w:b/>
                <w:color w:val="000000"/>
              </w:rPr>
              <w:t>采购人专业设置</w:t>
            </w:r>
          </w:p>
          <w:tbl>
            <w:tblPr>
              <w:tblBorders>
                <w:top w:val="none" w:color="000000" w:sz="4"/>
                <w:left w:val="none" w:color="000000" w:sz="4"/>
                <w:bottom w:val="none" w:color="000000" w:sz="4"/>
                <w:right w:val="none" w:color="000000" w:sz="4"/>
                <w:insideH w:val="none"/>
                <w:insideV w:val="none"/>
              </w:tblBorders>
            </w:tblPr>
            <w:tblGrid>
              <w:gridCol w:w="483"/>
              <w:gridCol w:w="2070"/>
            </w:tblGrid>
            <w:tr>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学院</w:t>
                  </w:r>
                </w:p>
              </w:tc>
              <w:tc>
                <w:tcPr>
                  <w:tcW w:type="dxa" w:w="2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人文与外国语学院</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英语、商务英语、公共事业管理、行政管理</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数字艺术学院</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网络与新媒体、数字媒体艺术</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2、书目采购要求：中标人须根据采购人的专业、学科设置及具体要求，定期提供适合高校图书馆文献资源建设的新书书目，同时配有当期书目数据说明，包括书目总量、各核心出版社书目数据量；采访书目应剔除小开本、无书脊、袋装、散页、高职高专、中小学教辅、青少年读物等明显不符合高校图书馆入藏要求的图书。</w:t>
            </w:r>
          </w:p>
          <w:p>
            <w:pPr>
              <w:pStyle w:val="null3"/>
              <w:jc w:val="both"/>
            </w:pPr>
            <w:r>
              <w:rPr>
                <w:rFonts w:ascii="仿宋_GB2312" w:hAnsi="仿宋_GB2312" w:cs="仿宋_GB2312" w:eastAsia="仿宋_GB2312"/>
                <w:sz w:val="24"/>
                <w:color w:val="000000"/>
              </w:rPr>
              <w:t>书目样式如下：</w:t>
            </w:r>
          </w:p>
          <w:tbl>
            <w:tblPr>
              <w:tblBorders>
                <w:top w:val="none" w:color="000000" w:sz="4"/>
                <w:left w:val="none" w:color="000000" w:sz="4"/>
                <w:bottom w:val="none" w:color="000000" w:sz="4"/>
                <w:right w:val="none" w:color="000000" w:sz="4"/>
                <w:insideH w:val="none"/>
                <w:insideV w:val="none"/>
              </w:tblBorders>
            </w:tblPr>
            <w:tblGrid>
              <w:gridCol w:w="278"/>
              <w:gridCol w:w="409"/>
              <w:gridCol w:w="175"/>
              <w:gridCol w:w="331"/>
              <w:gridCol w:w="238"/>
              <w:gridCol w:w="397"/>
              <w:gridCol w:w="201"/>
              <w:gridCol w:w="242"/>
              <w:gridCol w:w="160"/>
              <w:gridCol w:w="123"/>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ISBN</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书名</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定价</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出版社</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出版</w:t>
                  </w:r>
                </w:p>
                <w:p>
                  <w:pPr>
                    <w:pStyle w:val="null3"/>
                    <w:jc w:val="center"/>
                  </w:pPr>
                  <w:r>
                    <w:rPr>
                      <w:rFonts w:ascii="仿宋_GB2312" w:hAnsi="仿宋_GB2312" w:cs="仿宋_GB2312" w:eastAsia="仿宋_GB2312"/>
                      <w:sz w:val="22"/>
                      <w:color w:val="000000"/>
                    </w:rPr>
                    <w:t>日期</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作者</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开本</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分类号</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类别</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版次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9787122326478</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光通信用半导体激光器</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人民邮电出版社</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201905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David J. Klotzkin</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p>
                  <w:pPr>
                    <w:pStyle w:val="null3"/>
                    <w:jc w:val="center"/>
                  </w:pPr>
                  <w:r>
                    <w:rPr>
                      <w:rFonts w:ascii="仿宋_GB2312" w:hAnsi="仿宋_GB2312" w:cs="仿宋_GB2312" w:eastAsia="仿宋_GB2312"/>
                      <w:sz w:val="22"/>
                      <w:color w:val="000000"/>
                    </w:rPr>
                    <w:t>cm</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TN248.4</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光通信</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初版</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、现场采购：中标人应及时通报全国性大型图书展销会、投标人、出版社举办的现场订货会等信息。</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图书配送要求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、中标人须按采购人确认的订单及时间要求配送图书，并免费送至指定地点。</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、中标人须对每批图书提供发货清单、分包清单，发货清单一式二份、内容一致，不得涂改；清单内包括：包号、</w:t>
            </w:r>
            <w:r>
              <w:rPr>
                <w:rFonts w:ascii="仿宋_GB2312" w:hAnsi="仿宋_GB2312" w:cs="仿宋_GB2312" w:eastAsia="仿宋_GB2312"/>
                <w:sz w:val="24"/>
                <w:color w:val="000000"/>
              </w:rPr>
              <w:t>ISBN</w:t>
            </w:r>
            <w:r>
              <w:rPr>
                <w:rFonts w:ascii="仿宋_GB2312" w:hAnsi="仿宋_GB2312" w:cs="仿宋_GB2312" w:eastAsia="仿宋_GB2312"/>
                <w:sz w:val="24"/>
                <w:color w:val="000000"/>
              </w:rPr>
              <w:t>、书名、单价、册数、出版时间，多卷书要分开，一包一单；每包有小计，整批图书有合计，合计内容为该批图书的种数、册数和总金额。</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、中标人须在收到订单</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个工作日内向采购人反馈订单匹配信息，按采购人要求调整订单数据；</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、现采图书经采购人确认书单后，中标人应当在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个工作日内完成图书配送，到货率不低于</w:t>
            </w:r>
            <w:r>
              <w:rPr>
                <w:rFonts w:ascii="仿宋_GB2312" w:hAnsi="仿宋_GB2312" w:cs="仿宋_GB2312" w:eastAsia="仿宋_GB2312"/>
                <w:sz w:val="24"/>
                <w:color w:val="000000"/>
              </w:rPr>
              <w:t>95%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、预定图书（订单配书）自中标人确认收到订单后，</w:t>
            </w:r>
            <w:r>
              <w:rPr>
                <w:rFonts w:ascii="仿宋_GB2312" w:hAnsi="仿宋_GB2312" w:cs="仿宋_GB2312" w:eastAsia="仿宋_GB2312"/>
                <w:sz w:val="24"/>
                <w:color w:val="000000"/>
              </w:rPr>
              <w:t>20</w:t>
            </w:r>
            <w:r>
              <w:rPr>
                <w:rFonts w:ascii="仿宋_GB2312" w:hAnsi="仿宋_GB2312" w:cs="仿宋_GB2312" w:eastAsia="仿宋_GB2312"/>
                <w:sz w:val="24"/>
                <w:color w:val="000000"/>
              </w:rPr>
              <w:t>个工作日内应当完成送货，到货率不低于</w:t>
            </w:r>
            <w:r>
              <w:rPr>
                <w:rFonts w:ascii="仿宋_GB2312" w:hAnsi="仿宋_GB2312" w:cs="仿宋_GB2312" w:eastAsia="仿宋_GB2312"/>
                <w:sz w:val="24"/>
                <w:color w:val="000000"/>
              </w:rPr>
              <w:t>90%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、中标人超过其承诺与本标书规定时间送货、但数量和质量与订单相符的，视为下一批次订单；</w:t>
            </w:r>
          </w:p>
          <w:p>
            <w:pPr>
              <w:pStyle w:val="null3"/>
              <w:jc w:val="both"/>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、本批次到书品种与订单不一致超过</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、或存在严重质量问题的，采购人有权拒绝接受，并视情况决定是否继续采购；</w:t>
            </w:r>
          </w:p>
          <w:p>
            <w:pPr>
              <w:pStyle w:val="null3"/>
              <w:jc w:val="both"/>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、中标人连续两次没有按时间要求送货的，采购人不再向中标人发单或组织采购；</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、采购人按批次统计到书率，时间从中标人收到订单次日起算，至</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条规定的配送期限为止，到书率连续两次低于最终订单</w:t>
            </w:r>
            <w:r>
              <w:rPr>
                <w:rFonts w:ascii="仿宋_GB2312" w:hAnsi="仿宋_GB2312" w:cs="仿宋_GB2312" w:eastAsia="仿宋_GB2312"/>
                <w:sz w:val="24"/>
                <w:color w:val="000000"/>
              </w:rPr>
              <w:t>90%</w:t>
            </w:r>
            <w:r>
              <w:rPr>
                <w:rFonts w:ascii="仿宋_GB2312" w:hAnsi="仿宋_GB2312" w:cs="仿宋_GB2312" w:eastAsia="仿宋_GB2312"/>
                <w:sz w:val="24"/>
                <w:color w:val="000000"/>
              </w:rPr>
              <w:t>的，采购人不再向中标人发单或组织采购；</w:t>
            </w:r>
          </w:p>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、订单验收结束时，中标人须及时提供未到品种情况说明。</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color w:val="000000"/>
              </w:rPr>
              <w:t>四、图书质量与验收</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、中标人所供图书必须是合法出版物，一旦发现有盗版图书，立即取消供书资格，并承担因此而因起的一切损失和法律责任。</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、中标人须保证所配送图书是采购人选订的，且没有污染、图文不清、缺页、倒页、缺附件等质量问题；不合格的图书，无论编目加工与否，采购人均可无条件退回。</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、对单册码洋</w:t>
            </w:r>
            <w:r>
              <w:rPr>
                <w:rFonts w:ascii="仿宋_GB2312" w:hAnsi="仿宋_GB2312" w:cs="仿宋_GB2312" w:eastAsia="仿宋_GB2312"/>
                <w:sz w:val="24"/>
                <w:color w:val="000000"/>
              </w:rPr>
              <w:t>200</w:t>
            </w:r>
            <w:r>
              <w:rPr>
                <w:rFonts w:ascii="仿宋_GB2312" w:hAnsi="仿宋_GB2312" w:cs="仿宋_GB2312" w:eastAsia="仿宋_GB2312"/>
                <w:sz w:val="24"/>
                <w:color w:val="000000"/>
              </w:rPr>
              <w:t>元以上、开本小于</w:t>
            </w:r>
            <w:r>
              <w:rPr>
                <w:rFonts w:ascii="仿宋_GB2312" w:hAnsi="仿宋_GB2312" w:cs="仿宋_GB2312" w:eastAsia="仿宋_GB2312"/>
                <w:sz w:val="24"/>
                <w:color w:val="000000"/>
              </w:rPr>
              <w:t>14cm</w:t>
            </w:r>
            <w:r>
              <w:rPr>
                <w:rFonts w:ascii="仿宋_GB2312" w:hAnsi="仿宋_GB2312" w:cs="仿宋_GB2312" w:eastAsia="仿宋_GB2312"/>
                <w:sz w:val="24"/>
                <w:color w:val="000000"/>
              </w:rPr>
              <w:t>的图书以及散页、线装、挂图、练习册、实验报告册和非当年出版的考试用书，以及分册三册以上的套书，必须经采购人二次确认方可供书；否则，采购人可以视为中标人自行配书。</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、所供图书必须在</w:t>
            </w:r>
            <w:r>
              <w:rPr>
                <w:rFonts w:ascii="仿宋_GB2312" w:hAnsi="仿宋_GB2312" w:cs="仿宋_GB2312" w:eastAsia="仿宋_GB2312"/>
                <w:sz w:val="24"/>
                <w:color w:val="000000"/>
              </w:rPr>
              <w:t>64</w:t>
            </w:r>
            <w:r>
              <w:rPr>
                <w:rFonts w:ascii="仿宋_GB2312" w:hAnsi="仿宋_GB2312" w:cs="仿宋_GB2312" w:eastAsia="仿宋_GB2312"/>
                <w:sz w:val="24"/>
                <w:color w:val="000000"/>
              </w:rPr>
              <w:t>开本以上、</w:t>
            </w:r>
            <w:r>
              <w:rPr>
                <w:rFonts w:ascii="仿宋_GB2312" w:hAnsi="仿宋_GB2312" w:cs="仿宋_GB2312" w:eastAsia="仿宋_GB2312"/>
                <w:sz w:val="24"/>
                <w:color w:val="000000"/>
              </w:rPr>
              <w:t>8</w:t>
            </w:r>
            <w:r>
              <w:rPr>
                <w:rFonts w:ascii="仿宋_GB2312" w:hAnsi="仿宋_GB2312" w:cs="仿宋_GB2312" w:eastAsia="仿宋_GB2312"/>
                <w:sz w:val="24"/>
                <w:color w:val="000000"/>
              </w:rPr>
              <w:t>开以下，且不得散页或活页装订。</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、图书配送到馆后，采购人组织人员按实际发出订单对到书进行信息化精准验收、并对到书内容、装帧等进行复审，对不适合馆藏的图书，中标人须免费提供退回、调换服务。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采访、编目数据要求</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、中标人须为采购人免费提供规范、标准的</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编目数据，数据以国家图书馆的编目数据为标准。</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、送书同时须发送编目数据，采购人如有发现有缺少或不符合标准</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编目的数据，中标人应及时补发。</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格式的价格部分需为纯数字；</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、对于分为上下册、中英文分册对照的，应将按实际分册单列，并将分册信息加入书名字段部分，多卷书须分别标明整套价和单册价。</w:t>
            </w:r>
          </w:p>
          <w:p>
            <w:pPr>
              <w:pStyle w:val="null3"/>
              <w:ind w:left="360"/>
              <w:jc w:val="center"/>
            </w:pPr>
            <w:r>
              <w:rPr>
                <w:rFonts w:ascii="仿宋_GB2312" w:hAnsi="仿宋_GB2312" w:cs="仿宋_GB2312" w:eastAsia="仿宋_GB2312"/>
                <w:sz w:val="24"/>
                <w:b/>
                <w:color w:val="000000"/>
              </w:rPr>
              <w:t>中文图书</w:t>
            </w:r>
            <w:r>
              <w:rPr>
                <w:rFonts w:ascii="仿宋_GB2312" w:hAnsi="仿宋_GB2312" w:cs="仿宋_GB2312" w:eastAsia="仿宋_GB2312"/>
                <w:sz w:val="24"/>
                <w:b/>
                <w:color w:val="000000"/>
              </w:rPr>
              <w:t>MARC</w:t>
            </w:r>
            <w:r>
              <w:rPr>
                <w:rFonts w:ascii="仿宋_GB2312" w:hAnsi="仿宋_GB2312" w:cs="仿宋_GB2312" w:eastAsia="仿宋_GB2312"/>
                <w:sz w:val="24"/>
                <w:b/>
                <w:color w:val="000000"/>
              </w:rPr>
              <w:t>数据格式</w:t>
            </w:r>
          </w:p>
          <w:p>
            <w:pPr>
              <w:pStyle w:val="null3"/>
              <w:ind w:left="360"/>
            </w:pPr>
            <w:r>
              <w:rPr>
                <w:rFonts w:ascii="仿宋_GB2312" w:hAnsi="仿宋_GB2312" w:cs="仿宋_GB2312" w:eastAsia="仿宋_GB2312"/>
                <w:sz w:val="24"/>
                <w:color w:val="000000"/>
              </w:rPr>
              <w:t xml:space="preserve">001      </w:t>
            </w:r>
            <w:r>
              <w:rPr>
                <w:rFonts w:ascii="仿宋_GB2312" w:hAnsi="仿宋_GB2312" w:cs="仿宋_GB2312" w:eastAsia="仿宋_GB2312"/>
                <w:sz w:val="24"/>
                <w:color w:val="000000"/>
              </w:rPr>
              <w:t>书目控制号</w:t>
            </w:r>
          </w:p>
          <w:p>
            <w:pPr>
              <w:pStyle w:val="null3"/>
              <w:ind w:left="360"/>
            </w:pPr>
            <w:r>
              <w:rPr>
                <w:rFonts w:ascii="仿宋_GB2312" w:hAnsi="仿宋_GB2312" w:cs="仿宋_GB2312" w:eastAsia="仿宋_GB2312"/>
                <w:sz w:val="24"/>
                <w:color w:val="000000"/>
              </w:rPr>
              <w:t xml:space="preserve">005      </w:t>
            </w:r>
          </w:p>
          <w:p>
            <w:pPr>
              <w:pStyle w:val="null3"/>
              <w:ind w:left="360"/>
            </w:pPr>
            <w:r>
              <w:rPr>
                <w:rFonts w:ascii="仿宋_GB2312" w:hAnsi="仿宋_GB2312" w:cs="仿宋_GB2312" w:eastAsia="仿宋_GB2312"/>
                <w:sz w:val="24"/>
                <w:color w:val="000000"/>
              </w:rPr>
              <w:t>010      @aISBN@z</w:t>
            </w:r>
            <w:r>
              <w:rPr>
                <w:rFonts w:ascii="仿宋_GB2312" w:hAnsi="仿宋_GB2312" w:cs="仿宋_GB2312" w:eastAsia="仿宋_GB2312"/>
                <w:sz w:val="24"/>
                <w:color w:val="000000"/>
              </w:rPr>
              <w:t>错误的</w:t>
            </w:r>
            <w:r>
              <w:rPr>
                <w:rFonts w:ascii="仿宋_GB2312" w:hAnsi="仿宋_GB2312" w:cs="仿宋_GB2312" w:eastAsia="仿宋_GB2312"/>
                <w:sz w:val="24"/>
                <w:color w:val="000000"/>
              </w:rPr>
              <w:t>ISBN@dCNY@b</w:t>
            </w:r>
            <w:r>
              <w:rPr>
                <w:rFonts w:ascii="仿宋_GB2312" w:hAnsi="仿宋_GB2312" w:cs="仿宋_GB2312" w:eastAsia="仿宋_GB2312"/>
                <w:sz w:val="24"/>
                <w:color w:val="000000"/>
              </w:rPr>
              <w:t>装帧</w:t>
            </w:r>
          </w:p>
          <w:p>
            <w:pPr>
              <w:pStyle w:val="null3"/>
              <w:ind w:left="360"/>
            </w:pPr>
            <w:r>
              <w:rPr>
                <w:rFonts w:ascii="仿宋_GB2312" w:hAnsi="仿宋_GB2312" w:cs="仿宋_GB2312" w:eastAsia="仿宋_GB2312"/>
                <w:sz w:val="24"/>
                <w:color w:val="000000"/>
              </w:rPr>
              <w:t>100</w:t>
            </w:r>
          </w:p>
          <w:p>
            <w:pPr>
              <w:pStyle w:val="null3"/>
              <w:ind w:left="360"/>
            </w:pPr>
            <w:r>
              <w:rPr>
                <w:rFonts w:ascii="仿宋_GB2312" w:hAnsi="仿宋_GB2312" w:cs="仿宋_GB2312" w:eastAsia="仿宋_GB2312"/>
                <w:sz w:val="24"/>
                <w:color w:val="000000"/>
              </w:rPr>
              <w:t>101  0   @achi(</w:t>
            </w:r>
            <w:r>
              <w:rPr>
                <w:rFonts w:ascii="仿宋_GB2312" w:hAnsi="仿宋_GB2312" w:cs="仿宋_GB2312" w:eastAsia="仿宋_GB2312"/>
                <w:sz w:val="24"/>
                <w:color w:val="000000"/>
              </w:rPr>
              <w:t>作品为译文时，指示符为</w:t>
            </w:r>
            <w:r>
              <w:rPr>
                <w:rFonts w:ascii="仿宋_GB2312" w:hAnsi="仿宋_GB2312" w:cs="仿宋_GB2312" w:eastAsia="仿宋_GB2312"/>
                <w:sz w:val="24"/>
                <w:color w:val="000000"/>
              </w:rPr>
              <w:t>1)</w:t>
            </w:r>
          </w:p>
          <w:p>
            <w:pPr>
              <w:pStyle w:val="null3"/>
              <w:ind w:left="360"/>
            </w:pPr>
            <w:r>
              <w:rPr>
                <w:rFonts w:ascii="仿宋_GB2312" w:hAnsi="仿宋_GB2312" w:cs="仿宋_GB2312" w:eastAsia="仿宋_GB2312"/>
                <w:sz w:val="24"/>
                <w:color w:val="000000"/>
              </w:rPr>
              <w:t>102      @a</w:t>
            </w:r>
            <w:r>
              <w:rPr>
                <w:rFonts w:ascii="仿宋_GB2312" w:hAnsi="仿宋_GB2312" w:cs="仿宋_GB2312" w:eastAsia="仿宋_GB2312"/>
                <w:sz w:val="24"/>
                <w:color w:val="000000"/>
              </w:rPr>
              <w:t>出版国代码</w:t>
            </w:r>
            <w:r>
              <w:rPr>
                <w:rFonts w:ascii="仿宋_GB2312" w:hAnsi="仿宋_GB2312" w:cs="仿宋_GB2312" w:eastAsia="仿宋_GB2312"/>
                <w:sz w:val="24"/>
                <w:color w:val="000000"/>
              </w:rPr>
              <w:t>@b</w:t>
            </w:r>
            <w:r>
              <w:rPr>
                <w:rFonts w:ascii="仿宋_GB2312" w:hAnsi="仿宋_GB2312" w:cs="仿宋_GB2312" w:eastAsia="仿宋_GB2312"/>
                <w:sz w:val="24"/>
                <w:color w:val="000000"/>
              </w:rPr>
              <w:t>出版地代码</w:t>
            </w:r>
          </w:p>
          <w:p>
            <w:pPr>
              <w:pStyle w:val="null3"/>
              <w:ind w:left="360"/>
            </w:pPr>
            <w:r>
              <w:rPr>
                <w:rFonts w:ascii="仿宋_GB2312" w:hAnsi="仿宋_GB2312" w:cs="仿宋_GB2312" w:eastAsia="仿宋_GB2312"/>
                <w:sz w:val="24"/>
                <w:color w:val="000000"/>
              </w:rPr>
              <w:t xml:space="preserve">105      </w:t>
            </w:r>
            <w:r>
              <w:rPr>
                <w:rFonts w:ascii="仿宋_GB2312" w:hAnsi="仿宋_GB2312" w:cs="仿宋_GB2312" w:eastAsia="仿宋_GB2312"/>
                <w:sz w:val="24"/>
                <w:color w:val="000000"/>
              </w:rPr>
              <w:t>编码数据字段</w:t>
            </w:r>
          </w:p>
          <w:p>
            <w:pPr>
              <w:pStyle w:val="null3"/>
              <w:ind w:left="360"/>
            </w:pPr>
            <w:r>
              <w:rPr>
                <w:rFonts w:ascii="仿宋_GB2312" w:hAnsi="仿宋_GB2312" w:cs="仿宋_GB2312" w:eastAsia="仿宋_GB2312"/>
                <w:sz w:val="24"/>
                <w:color w:val="000000"/>
              </w:rPr>
              <w:t>106      @a</w:t>
            </w:r>
            <w:r>
              <w:rPr>
                <w:rFonts w:ascii="仿宋_GB2312" w:hAnsi="仿宋_GB2312" w:cs="仿宋_GB2312" w:eastAsia="仿宋_GB2312"/>
                <w:sz w:val="24"/>
                <w:color w:val="000000"/>
              </w:rPr>
              <w:t>文字资料形态</w:t>
            </w:r>
          </w:p>
          <w:p>
            <w:pPr>
              <w:pStyle w:val="null3"/>
              <w:ind w:left="360"/>
            </w:pPr>
            <w:r>
              <w:rPr>
                <w:rFonts w:ascii="仿宋_GB2312" w:hAnsi="仿宋_GB2312" w:cs="仿宋_GB2312" w:eastAsia="仿宋_GB2312"/>
                <w:sz w:val="24"/>
                <w:color w:val="000000"/>
              </w:rPr>
              <w:t>200  10  @a</w:t>
            </w:r>
            <w:r>
              <w:rPr>
                <w:rFonts w:ascii="仿宋_GB2312" w:hAnsi="仿宋_GB2312" w:cs="仿宋_GB2312" w:eastAsia="仿宋_GB2312"/>
                <w:sz w:val="24"/>
                <w:color w:val="000000"/>
              </w:rPr>
              <w:t>正题名</w:t>
            </w:r>
            <w:r>
              <w:rPr>
                <w:rFonts w:ascii="仿宋_GB2312" w:hAnsi="仿宋_GB2312" w:cs="仿宋_GB2312" w:eastAsia="仿宋_GB2312"/>
                <w:sz w:val="24"/>
                <w:color w:val="000000"/>
              </w:rPr>
              <w:t>@d</w:t>
            </w:r>
            <w:r>
              <w:rPr>
                <w:rFonts w:ascii="仿宋_GB2312" w:hAnsi="仿宋_GB2312" w:cs="仿宋_GB2312" w:eastAsia="仿宋_GB2312"/>
                <w:sz w:val="24"/>
                <w:color w:val="000000"/>
              </w:rPr>
              <w:t>并列正题名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副题名</w:t>
            </w:r>
            <w:r>
              <w:rPr>
                <w:rFonts w:ascii="仿宋_GB2312" w:hAnsi="仿宋_GB2312" w:cs="仿宋_GB2312" w:eastAsia="仿宋_GB2312"/>
                <w:sz w:val="24"/>
                <w:color w:val="000000"/>
              </w:rPr>
              <w:t>@h</w:t>
            </w:r>
            <w:r>
              <w:rPr>
                <w:rFonts w:ascii="仿宋_GB2312" w:hAnsi="仿宋_GB2312" w:cs="仿宋_GB2312" w:eastAsia="仿宋_GB2312"/>
                <w:sz w:val="24"/>
                <w:color w:val="000000"/>
              </w:rPr>
              <w:t>分卷号</w:t>
            </w:r>
            <w:r>
              <w:rPr>
                <w:rFonts w:ascii="仿宋_GB2312" w:hAnsi="仿宋_GB2312" w:cs="仿宋_GB2312" w:eastAsia="仿宋_GB2312"/>
                <w:sz w:val="24"/>
                <w:color w:val="000000"/>
              </w:rPr>
              <w:t>@i</w:t>
            </w:r>
            <w:r>
              <w:rPr>
                <w:rFonts w:ascii="仿宋_GB2312" w:hAnsi="仿宋_GB2312" w:cs="仿宋_GB2312" w:eastAsia="仿宋_GB2312"/>
                <w:sz w:val="24"/>
                <w:color w:val="000000"/>
              </w:rPr>
              <w:t>分卷名</w:t>
            </w:r>
          </w:p>
          <w:p>
            <w:pPr>
              <w:pStyle w:val="null3"/>
              <w:ind w:left="360"/>
            </w:pPr>
            <w:r>
              <w:rPr>
                <w:rFonts w:ascii="仿宋_GB2312" w:hAnsi="仿宋_GB2312" w:cs="仿宋_GB2312" w:eastAsia="仿宋_GB2312"/>
                <w:sz w:val="24"/>
                <w:color w:val="000000"/>
              </w:rPr>
              <w:t>205      @a</w:t>
            </w:r>
            <w:r>
              <w:rPr>
                <w:rFonts w:ascii="仿宋_GB2312" w:hAnsi="仿宋_GB2312" w:cs="仿宋_GB2312" w:eastAsia="仿宋_GB2312"/>
                <w:sz w:val="24"/>
                <w:color w:val="000000"/>
              </w:rPr>
              <w:t>版次</w:t>
            </w:r>
            <w:r>
              <w:rPr>
                <w:rFonts w:ascii="仿宋_GB2312" w:hAnsi="仿宋_GB2312" w:cs="仿宋_GB2312" w:eastAsia="仿宋_GB2312"/>
                <w:sz w:val="24"/>
                <w:color w:val="000000"/>
              </w:rPr>
              <w:t>@b</w:t>
            </w:r>
            <w:r>
              <w:rPr>
                <w:rFonts w:ascii="仿宋_GB2312" w:hAnsi="仿宋_GB2312" w:cs="仿宋_GB2312" w:eastAsia="仿宋_GB2312"/>
                <w:sz w:val="24"/>
                <w:color w:val="000000"/>
              </w:rPr>
              <w:t>影印本</w:t>
            </w:r>
          </w:p>
          <w:p>
            <w:pPr>
              <w:pStyle w:val="null3"/>
              <w:ind w:left="360"/>
            </w:pPr>
            <w:r>
              <w:rPr>
                <w:rFonts w:ascii="仿宋_GB2312" w:hAnsi="仿宋_GB2312" w:cs="仿宋_GB2312" w:eastAsia="仿宋_GB2312"/>
                <w:sz w:val="24"/>
                <w:color w:val="000000"/>
              </w:rPr>
              <w:t>210      @a</w:t>
            </w:r>
            <w:r>
              <w:rPr>
                <w:rFonts w:ascii="仿宋_GB2312" w:hAnsi="仿宋_GB2312" w:cs="仿宋_GB2312" w:eastAsia="仿宋_GB2312"/>
                <w:sz w:val="24"/>
                <w:color w:val="000000"/>
              </w:rPr>
              <w:t>出版地</w:t>
            </w:r>
            <w:r>
              <w:rPr>
                <w:rFonts w:ascii="仿宋_GB2312" w:hAnsi="仿宋_GB2312" w:cs="仿宋_GB2312" w:eastAsia="仿宋_GB2312"/>
                <w:sz w:val="24"/>
                <w:color w:val="000000"/>
              </w:rPr>
              <w:t>@c</w:t>
            </w:r>
            <w:r>
              <w:rPr>
                <w:rFonts w:ascii="仿宋_GB2312" w:hAnsi="仿宋_GB2312" w:cs="仿宋_GB2312" w:eastAsia="仿宋_GB2312"/>
                <w:sz w:val="24"/>
                <w:color w:val="000000"/>
              </w:rPr>
              <w:t>出版社</w:t>
            </w:r>
            <w:r>
              <w:rPr>
                <w:rFonts w:ascii="仿宋_GB2312" w:hAnsi="仿宋_GB2312" w:cs="仿宋_GB2312" w:eastAsia="仿宋_GB2312"/>
                <w:sz w:val="24"/>
                <w:color w:val="000000"/>
              </w:rPr>
              <w:t>@d</w:t>
            </w:r>
            <w:r>
              <w:rPr>
                <w:rFonts w:ascii="仿宋_GB2312" w:hAnsi="仿宋_GB2312" w:cs="仿宋_GB2312" w:eastAsia="仿宋_GB2312"/>
                <w:sz w:val="24"/>
                <w:color w:val="000000"/>
              </w:rPr>
              <w:t>出版年月</w:t>
            </w:r>
            <w:r>
              <w:rPr>
                <w:rFonts w:ascii="仿宋_GB2312" w:hAnsi="仿宋_GB2312" w:cs="仿宋_GB2312" w:eastAsia="仿宋_GB2312"/>
                <w:sz w:val="24"/>
                <w:color w:val="000000"/>
              </w:rPr>
              <w:t>@h</w:t>
            </w:r>
            <w:r>
              <w:rPr>
                <w:rFonts w:ascii="仿宋_GB2312" w:hAnsi="仿宋_GB2312" w:cs="仿宋_GB2312" w:eastAsia="仿宋_GB2312"/>
                <w:sz w:val="24"/>
                <w:color w:val="000000"/>
              </w:rPr>
              <w:t>重印年月</w:t>
            </w:r>
          </w:p>
          <w:p>
            <w:pPr>
              <w:pStyle w:val="null3"/>
              <w:ind w:left="360"/>
            </w:pPr>
            <w:r>
              <w:rPr>
                <w:rFonts w:ascii="仿宋_GB2312" w:hAnsi="仿宋_GB2312" w:cs="仿宋_GB2312" w:eastAsia="仿宋_GB2312"/>
                <w:sz w:val="24"/>
                <w:color w:val="000000"/>
              </w:rPr>
              <w:t>215      @a</w:t>
            </w:r>
            <w:r>
              <w:rPr>
                <w:rFonts w:ascii="仿宋_GB2312" w:hAnsi="仿宋_GB2312" w:cs="仿宋_GB2312" w:eastAsia="仿宋_GB2312"/>
                <w:sz w:val="24"/>
                <w:color w:val="000000"/>
              </w:rPr>
              <w:t>页码</w:t>
            </w:r>
            <w:r>
              <w:rPr>
                <w:rFonts w:ascii="仿宋_GB2312" w:hAnsi="仿宋_GB2312" w:cs="仿宋_GB2312" w:eastAsia="仿宋_GB2312"/>
                <w:sz w:val="24"/>
                <w:color w:val="000000"/>
              </w:rPr>
              <w:t>@c</w:t>
            </w:r>
            <w:r>
              <w:rPr>
                <w:rFonts w:ascii="仿宋_GB2312" w:hAnsi="仿宋_GB2312" w:cs="仿宋_GB2312" w:eastAsia="仿宋_GB2312"/>
                <w:sz w:val="24"/>
                <w:color w:val="000000"/>
              </w:rPr>
              <w:t>图</w:t>
            </w:r>
            <w:r>
              <w:rPr>
                <w:rFonts w:ascii="仿宋_GB2312" w:hAnsi="仿宋_GB2312" w:cs="仿宋_GB2312" w:eastAsia="仿宋_GB2312"/>
                <w:sz w:val="24"/>
                <w:color w:val="000000"/>
              </w:rPr>
              <w:t>@d</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@e</w:t>
            </w:r>
            <w:r>
              <w:rPr>
                <w:rFonts w:ascii="仿宋_GB2312" w:hAnsi="仿宋_GB2312" w:cs="仿宋_GB2312" w:eastAsia="仿宋_GB2312"/>
                <w:sz w:val="24"/>
                <w:color w:val="000000"/>
              </w:rPr>
              <w:t>附件</w:t>
            </w:r>
          </w:p>
          <w:p>
            <w:pPr>
              <w:pStyle w:val="null3"/>
              <w:ind w:left="360"/>
            </w:pPr>
            <w:r>
              <w:rPr>
                <w:rFonts w:ascii="仿宋_GB2312" w:hAnsi="仿宋_GB2312" w:cs="仿宋_GB2312" w:eastAsia="仿宋_GB2312"/>
                <w:sz w:val="24"/>
                <w:color w:val="000000"/>
              </w:rPr>
              <w:t>225  2#  @a</w:t>
            </w:r>
            <w:r>
              <w:rPr>
                <w:rFonts w:ascii="仿宋_GB2312" w:hAnsi="仿宋_GB2312" w:cs="仿宋_GB2312" w:eastAsia="仿宋_GB2312"/>
                <w:sz w:val="24"/>
                <w:color w:val="000000"/>
              </w:rPr>
              <w:t>丛书名</w:t>
            </w:r>
            <w:r>
              <w:rPr>
                <w:rFonts w:ascii="仿宋_GB2312" w:hAnsi="仿宋_GB2312" w:cs="仿宋_GB2312" w:eastAsia="仿宋_GB2312"/>
                <w:sz w:val="24"/>
                <w:color w:val="000000"/>
              </w:rPr>
              <w:t>@h</w:t>
            </w:r>
            <w:r>
              <w:rPr>
                <w:rFonts w:ascii="仿宋_GB2312" w:hAnsi="仿宋_GB2312" w:cs="仿宋_GB2312" w:eastAsia="仿宋_GB2312"/>
                <w:sz w:val="24"/>
                <w:color w:val="000000"/>
              </w:rPr>
              <w:t>分丛书号</w:t>
            </w:r>
            <w:r>
              <w:rPr>
                <w:rFonts w:ascii="仿宋_GB2312" w:hAnsi="仿宋_GB2312" w:cs="仿宋_GB2312" w:eastAsia="仿宋_GB2312"/>
                <w:sz w:val="24"/>
                <w:color w:val="000000"/>
              </w:rPr>
              <w:t>@i</w:t>
            </w:r>
            <w:r>
              <w:rPr>
                <w:rFonts w:ascii="仿宋_GB2312" w:hAnsi="仿宋_GB2312" w:cs="仿宋_GB2312" w:eastAsia="仿宋_GB2312"/>
                <w:sz w:val="24"/>
                <w:color w:val="000000"/>
              </w:rPr>
              <w:t>分丛书名</w:t>
            </w:r>
            <w:r>
              <w:rPr>
                <w:rFonts w:ascii="仿宋_GB2312" w:hAnsi="仿宋_GB2312" w:cs="仿宋_GB2312" w:eastAsia="仿宋_GB2312"/>
                <w:sz w:val="24"/>
                <w:color w:val="000000"/>
              </w:rPr>
              <w:t>@f</w:t>
            </w:r>
            <w:r>
              <w:rPr>
                <w:rFonts w:ascii="仿宋_GB2312" w:hAnsi="仿宋_GB2312" w:cs="仿宋_GB2312" w:eastAsia="仿宋_GB2312"/>
                <w:sz w:val="24"/>
                <w:color w:val="000000"/>
              </w:rPr>
              <w:t>丛书编者</w:t>
            </w:r>
          </w:p>
          <w:p>
            <w:pPr>
              <w:pStyle w:val="null3"/>
              <w:ind w:left="360"/>
            </w:pPr>
            <w:r>
              <w:rPr>
                <w:rFonts w:ascii="仿宋_GB2312" w:hAnsi="仿宋_GB2312" w:cs="仿宋_GB2312" w:eastAsia="仿宋_GB2312"/>
                <w:sz w:val="24"/>
                <w:color w:val="000000"/>
              </w:rPr>
              <w:t>300      @a</w:t>
            </w:r>
            <w:r>
              <w:rPr>
                <w:rFonts w:ascii="仿宋_GB2312" w:hAnsi="仿宋_GB2312" w:cs="仿宋_GB2312" w:eastAsia="仿宋_GB2312"/>
                <w:sz w:val="24"/>
                <w:color w:val="000000"/>
              </w:rPr>
              <w:t>附注项</w:t>
            </w:r>
          </w:p>
          <w:p>
            <w:pPr>
              <w:pStyle w:val="null3"/>
              <w:ind w:left="360"/>
            </w:pPr>
            <w:r>
              <w:rPr>
                <w:rFonts w:ascii="仿宋_GB2312" w:hAnsi="仿宋_GB2312" w:cs="仿宋_GB2312" w:eastAsia="仿宋_GB2312"/>
                <w:sz w:val="24"/>
                <w:color w:val="000000"/>
              </w:rPr>
              <w:t>517      @a</w:t>
            </w:r>
            <w:r>
              <w:rPr>
                <w:rFonts w:ascii="仿宋_GB2312" w:hAnsi="仿宋_GB2312" w:cs="仿宋_GB2312" w:eastAsia="仿宋_GB2312"/>
                <w:sz w:val="24"/>
                <w:color w:val="000000"/>
              </w:rPr>
              <w:t>其他题名</w:t>
            </w:r>
          </w:p>
          <w:p>
            <w:pPr>
              <w:pStyle w:val="null3"/>
              <w:ind w:left="360"/>
            </w:pPr>
            <w:r>
              <w:rPr>
                <w:rFonts w:ascii="仿宋_GB2312" w:hAnsi="仿宋_GB2312" w:cs="仿宋_GB2312" w:eastAsia="仿宋_GB2312"/>
                <w:sz w:val="24"/>
                <w:color w:val="000000"/>
              </w:rPr>
              <w:t>606      @a</w:t>
            </w:r>
            <w:r>
              <w:rPr>
                <w:rFonts w:ascii="仿宋_GB2312" w:hAnsi="仿宋_GB2312" w:cs="仿宋_GB2312" w:eastAsia="仿宋_GB2312"/>
                <w:sz w:val="24"/>
                <w:color w:val="000000"/>
              </w:rPr>
              <w:t>普通主题</w:t>
            </w:r>
            <w:r>
              <w:rPr>
                <w:rFonts w:ascii="仿宋_GB2312" w:hAnsi="仿宋_GB2312" w:cs="仿宋_GB2312" w:eastAsia="仿宋_GB2312"/>
                <w:sz w:val="24"/>
                <w:color w:val="000000"/>
              </w:rPr>
              <w:t>@x</w:t>
            </w:r>
            <w:r>
              <w:rPr>
                <w:rFonts w:ascii="仿宋_GB2312" w:hAnsi="仿宋_GB2312" w:cs="仿宋_GB2312" w:eastAsia="仿宋_GB2312"/>
                <w:sz w:val="24"/>
                <w:color w:val="000000"/>
              </w:rPr>
              <w:t>复分主题</w:t>
            </w:r>
            <w:r>
              <w:rPr>
                <w:rFonts w:ascii="仿宋_GB2312" w:hAnsi="仿宋_GB2312" w:cs="仿宋_GB2312" w:eastAsia="仿宋_GB2312"/>
                <w:sz w:val="24"/>
                <w:color w:val="000000"/>
              </w:rPr>
              <w:t>@y</w:t>
            </w:r>
            <w:r>
              <w:rPr>
                <w:rFonts w:ascii="仿宋_GB2312" w:hAnsi="仿宋_GB2312" w:cs="仿宋_GB2312" w:eastAsia="仿宋_GB2312"/>
                <w:sz w:val="24"/>
                <w:color w:val="000000"/>
              </w:rPr>
              <w:t>地区主题</w:t>
            </w:r>
            <w:r>
              <w:rPr>
                <w:rFonts w:ascii="仿宋_GB2312" w:hAnsi="仿宋_GB2312" w:cs="仿宋_GB2312" w:eastAsia="仿宋_GB2312"/>
                <w:sz w:val="24"/>
                <w:color w:val="000000"/>
              </w:rPr>
              <w:t>@z</w:t>
            </w:r>
            <w:r>
              <w:rPr>
                <w:rFonts w:ascii="仿宋_GB2312" w:hAnsi="仿宋_GB2312" w:cs="仿宋_GB2312" w:eastAsia="仿宋_GB2312"/>
                <w:sz w:val="24"/>
                <w:color w:val="000000"/>
              </w:rPr>
              <w:t>时代主题</w:t>
            </w:r>
          </w:p>
          <w:p>
            <w:pPr>
              <w:pStyle w:val="null3"/>
              <w:ind w:left="360"/>
            </w:pPr>
            <w:r>
              <w:rPr>
                <w:rFonts w:ascii="仿宋_GB2312" w:hAnsi="仿宋_GB2312" w:cs="仿宋_GB2312" w:eastAsia="仿宋_GB2312"/>
                <w:sz w:val="24"/>
                <w:color w:val="000000"/>
              </w:rPr>
              <w:t>690      @a</w:t>
            </w:r>
            <w:r>
              <w:rPr>
                <w:rFonts w:ascii="仿宋_GB2312" w:hAnsi="仿宋_GB2312" w:cs="仿宋_GB2312" w:eastAsia="仿宋_GB2312"/>
                <w:sz w:val="24"/>
                <w:color w:val="000000"/>
              </w:rPr>
              <w:t>中图分类号</w:t>
            </w:r>
            <w:r>
              <w:rPr>
                <w:rFonts w:ascii="仿宋_GB2312" w:hAnsi="仿宋_GB2312" w:cs="仿宋_GB2312" w:eastAsia="仿宋_GB2312"/>
                <w:sz w:val="24"/>
                <w:color w:val="000000"/>
              </w:rPr>
              <w:t>@v5</w:t>
            </w:r>
          </w:p>
          <w:p>
            <w:pPr>
              <w:pStyle w:val="null3"/>
              <w:ind w:left="360"/>
            </w:pPr>
            <w:r>
              <w:rPr>
                <w:rFonts w:ascii="仿宋_GB2312" w:hAnsi="仿宋_GB2312" w:cs="仿宋_GB2312" w:eastAsia="仿宋_GB2312"/>
                <w:sz w:val="24"/>
                <w:color w:val="000000"/>
              </w:rPr>
              <w:t>701  #0  @a</w:t>
            </w:r>
            <w:r>
              <w:rPr>
                <w:rFonts w:ascii="仿宋_GB2312" w:hAnsi="仿宋_GB2312" w:cs="仿宋_GB2312" w:eastAsia="仿宋_GB2312"/>
                <w:sz w:val="24"/>
                <w:color w:val="000000"/>
              </w:rPr>
              <w:t>第一作者名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国别</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责任方式（西方作者指示符为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702  #0  @a</w:t>
            </w:r>
            <w:r>
              <w:rPr>
                <w:rFonts w:ascii="仿宋_GB2312" w:hAnsi="仿宋_GB2312" w:cs="仿宋_GB2312" w:eastAsia="仿宋_GB2312"/>
                <w:sz w:val="24"/>
                <w:color w:val="000000"/>
              </w:rPr>
              <w:t>第二作者名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国别</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责任方式（西方作者指示符为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711  01  @a</w:t>
            </w:r>
            <w:r>
              <w:rPr>
                <w:rFonts w:ascii="仿宋_GB2312" w:hAnsi="仿宋_GB2312" w:cs="仿宋_GB2312" w:eastAsia="仿宋_GB2312"/>
                <w:sz w:val="24"/>
                <w:color w:val="000000"/>
              </w:rPr>
              <w:t>团体责任者</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责任方式（会议责任者指示符为</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712  01  @a</w:t>
            </w:r>
            <w:r>
              <w:rPr>
                <w:rFonts w:ascii="仿宋_GB2312" w:hAnsi="仿宋_GB2312" w:cs="仿宋_GB2312" w:eastAsia="仿宋_GB2312"/>
                <w:sz w:val="24"/>
                <w:color w:val="000000"/>
              </w:rPr>
              <w:t>第二团体责任者</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责任方式（会议责任者指示符为</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b/>
                <w:color w:val="000000"/>
              </w:rPr>
              <w:t>注：以上著录字段为基本大项，编目员可根据图书情况灵活掌握。对于系统自动生成的字段，请保留。</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color w:val="000000"/>
              </w:rPr>
              <w:t>六、图书物理加工要求</w:t>
            </w:r>
          </w:p>
          <w:p>
            <w:pPr>
              <w:pStyle w:val="null3"/>
              <w:ind w:firstLine="480"/>
              <w:jc w:val="both"/>
            </w:pPr>
            <w:r>
              <w:rPr>
                <w:rFonts w:ascii="仿宋_GB2312" w:hAnsi="仿宋_GB2312" w:cs="仿宋_GB2312" w:eastAsia="仿宋_GB2312"/>
                <w:sz w:val="24"/>
                <w:color w:val="000000"/>
              </w:rPr>
              <w:t>中标人须免费提供到馆编目、加工服务，具体要求如下：</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、中标人须对其所供的每册图书粘贴条形码，条形码一码二张，一张贴在图书扉页下三分之一内，另一张贴在图书最末有效文字页眉上正中空白处。条形码式样由采购人确定，保证能够被识别。</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、中标人须对其所供的每册图书粘贴钴基复合可充消磁磁条，</w:t>
            </w:r>
            <w:r>
              <w:rPr>
                <w:rFonts w:ascii="仿宋_GB2312" w:hAnsi="仿宋_GB2312" w:cs="仿宋_GB2312" w:eastAsia="仿宋_GB2312"/>
                <w:sz w:val="24"/>
                <w:color w:val="000000"/>
              </w:rPr>
              <w:t>300</w:t>
            </w:r>
            <w:r>
              <w:rPr>
                <w:rFonts w:ascii="仿宋_GB2312" w:hAnsi="仿宋_GB2312" w:cs="仿宋_GB2312" w:eastAsia="仿宋_GB2312"/>
                <w:sz w:val="24"/>
                <w:color w:val="000000"/>
              </w:rPr>
              <w:t>页以上和精装图书须装</w:t>
            </w:r>
            <w:r>
              <w:rPr>
                <w:rFonts w:ascii="仿宋_GB2312" w:hAnsi="仿宋_GB2312" w:cs="仿宋_GB2312" w:eastAsia="仿宋_GB2312"/>
                <w:sz w:val="24"/>
                <w:color w:val="000000"/>
              </w:rPr>
              <w:t>2</w:t>
            </w:r>
            <w:r>
              <w:rPr>
                <w:rFonts w:ascii="仿宋_GB2312" w:hAnsi="仿宋_GB2312" w:cs="仿宋_GB2312" w:eastAsia="仿宋_GB2312"/>
                <w:sz w:val="24"/>
                <w:color w:val="000000"/>
              </w:rPr>
              <w:t>根磁条，磁条长度应在</w:t>
            </w:r>
            <w:r>
              <w:rPr>
                <w:rFonts w:ascii="仿宋_GB2312" w:hAnsi="仿宋_GB2312" w:cs="仿宋_GB2312" w:eastAsia="仿宋_GB2312"/>
                <w:sz w:val="24"/>
                <w:color w:val="000000"/>
              </w:rPr>
              <w:t>16cm</w:t>
            </w:r>
            <w:r>
              <w:rPr>
                <w:rFonts w:ascii="仿宋_GB2312" w:hAnsi="仿宋_GB2312" w:cs="仿宋_GB2312" w:eastAsia="仿宋_GB2312"/>
                <w:sz w:val="24"/>
                <w:color w:val="000000"/>
              </w:rPr>
              <w:t>±</w:t>
            </w:r>
            <w:r>
              <w:rPr>
                <w:rFonts w:ascii="仿宋_GB2312" w:hAnsi="仿宋_GB2312" w:cs="仿宋_GB2312" w:eastAsia="仿宋_GB2312"/>
                <w:sz w:val="24"/>
                <w:color w:val="000000"/>
              </w:rPr>
              <w:t>0.5cm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、中标人须对其所供的每册图书加盖馆藏章，要求：①每一本图书盖</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个馆藏章，第一个章盖在书名页上（版权页），第二个章盖在图书书籍正对面的书边上；②盖章应当工整，不得倒印或竖印。</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、中标人须对其所供的每册图书粘贴色标，每册书在书脊上端加贴色标一枚。</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、随书配送的光盘、录音带等非书资料：中标人必须进行非书资料编目（增加</w:t>
            </w:r>
            <w:r>
              <w:rPr>
                <w:rFonts w:ascii="仿宋_GB2312" w:hAnsi="仿宋_GB2312" w:cs="仿宋_GB2312" w:eastAsia="仿宋_GB2312"/>
                <w:sz w:val="24"/>
                <w:color w:val="000000"/>
              </w:rPr>
              <w:t>215</w:t>
            </w:r>
            <w:r>
              <w:rPr>
                <w:rFonts w:ascii="仿宋_GB2312" w:hAnsi="仿宋_GB2312" w:cs="仿宋_GB2312" w:eastAsia="仿宋_GB2312"/>
                <w:sz w:val="24"/>
                <w:color w:val="000000"/>
              </w:rPr>
              <w:t>等相关字段），编目数据要独立打包，随图书编目数据一起免费配送。</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、中标人须保证每册图书按采购人的要求提供免费到馆加工、著录等服务。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color w:val="000000"/>
              </w:rPr>
              <w:t>七、其他要求</w:t>
            </w:r>
          </w:p>
          <w:p>
            <w:pPr>
              <w:pStyle w:val="null3"/>
            </w:pPr>
            <w:r>
              <w:rPr>
                <w:rFonts w:ascii="仿宋_GB2312" w:hAnsi="仿宋_GB2312" w:cs="仿宋_GB2312" w:eastAsia="仿宋_GB2312"/>
                <w:sz w:val="24"/>
                <w:color w:val="000000"/>
              </w:rPr>
              <w:t>采购人向中标人发出零采订单，中标人不得以各种理由推脱；零采订单按实时市场价进行结算，中标人应当在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个工作日内完成图书配送。</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b/>
                <w:color w:val="000000"/>
              </w:rPr>
              <w:t>八、结算方式</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、本项目采用“先送货，后结算”的结算方式，中标人随书提供标准格式的送书清单，经采购人验收无误、办妥差、错、退换手续、经双方确认验收结果后，方可结算；</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、结算价格</w:t>
            </w:r>
            <w:r>
              <w:rPr>
                <w:rFonts w:ascii="仿宋_GB2312" w:hAnsi="仿宋_GB2312" w:cs="仿宋_GB2312" w:eastAsia="仿宋_GB2312"/>
                <w:sz w:val="24"/>
                <w:color w:val="000000"/>
              </w:rPr>
              <w:t>=</w:t>
            </w:r>
            <w:r>
              <w:rPr>
                <w:rFonts w:ascii="仿宋_GB2312" w:hAnsi="仿宋_GB2312" w:cs="仿宋_GB2312" w:eastAsia="仿宋_GB2312"/>
                <w:sz w:val="24"/>
                <w:color w:val="000000"/>
              </w:rPr>
              <w:t>图书标价</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折扣率）；</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、中标人必须提供国家税务部门监制的正式发票、中标人的账户信息（包括中标人全称、开户银行、账户等）</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、结算单位：采购人结算。在付款前，中标人须开具等额发票给采购人。</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5.1</w:t>
            </w:r>
            <w:r>
              <w:rPr>
                <w:rFonts w:ascii="仿宋_GB2312" w:hAnsi="仿宋_GB2312" w:cs="仿宋_GB2312" w:eastAsia="仿宋_GB2312"/>
                <w:sz w:val="24"/>
                <w:color w:val="000000"/>
              </w:rPr>
              <w:t>以实际供书实洋核算；</w:t>
            </w:r>
          </w:p>
          <w:p>
            <w:pPr>
              <w:pStyle w:val="null3"/>
              <w:ind w:firstLine="480"/>
              <w:jc w:val="both"/>
            </w:pPr>
            <w:r>
              <w:rPr>
                <w:rFonts w:ascii="仿宋_GB2312" w:hAnsi="仿宋_GB2312" w:cs="仿宋_GB2312" w:eastAsia="仿宋_GB2312"/>
                <w:sz w:val="24"/>
                <w:color w:val="000000"/>
              </w:rPr>
              <w:t>5.2</w:t>
            </w:r>
            <w:r>
              <w:rPr>
                <w:rFonts w:ascii="仿宋_GB2312" w:hAnsi="仿宋_GB2312" w:cs="仿宋_GB2312" w:eastAsia="仿宋_GB2312"/>
                <w:sz w:val="24"/>
                <w:color w:val="000000"/>
              </w:rPr>
              <w:t>遇到寒暑假及年底冻结资金，付款顺延。遇到学校因特殊情况资金紧张时，中标人有垫付半年的能力。采购人所订书籍到馆后，经开包验收合格、完成加工入库后，达到付款条件起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b/>
                <w:color w:val="000000"/>
              </w:rPr>
              <w:t>九、违规、违约赔偿规定</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、中标人在服务过程中，发现产品质量问题，应在规定时间内无条件调换，调换不能解决的应无条件退货，由此造成的损失由投标人负责，若投标人拒绝配合，采购人有权单方面终止合同。</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、中标人单批到馆图书（种数）的不合格率不得高于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；年供书中，批图书的不合格率超过</w:t>
            </w:r>
            <w:r>
              <w:rPr>
                <w:rFonts w:ascii="仿宋_GB2312" w:hAnsi="仿宋_GB2312" w:cs="仿宋_GB2312" w:eastAsia="仿宋_GB2312"/>
                <w:sz w:val="24"/>
                <w:color w:val="000000"/>
              </w:rPr>
              <w:t>2</w:t>
            </w:r>
            <w:r>
              <w:rPr>
                <w:rFonts w:ascii="仿宋_GB2312" w:hAnsi="仿宋_GB2312" w:cs="仿宋_GB2312" w:eastAsia="仿宋_GB2312"/>
                <w:sz w:val="24"/>
                <w:color w:val="000000"/>
              </w:rPr>
              <w:t>批以上的，采购人可将中标人视为故意挟带其他图书或无供书能力而单方终止合同，并视情况严重程度从履约保证金中扣除一定金额（注：此处“不合格图书”指非我馆订购的图书和重复发送的图书）。</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、中标人不得擅自配书，采购人将严格按照采购订单进行验收，对所有非预定的图书一律退还中标人，造成的经济损失由中标人承担。如需采购人代办邮寄业务，中标人须支付交通运输费、误工费人民币</w:t>
            </w:r>
            <w:r>
              <w:rPr>
                <w:rFonts w:ascii="仿宋_GB2312" w:hAnsi="仿宋_GB2312" w:cs="仿宋_GB2312" w:eastAsia="仿宋_GB2312"/>
                <w:sz w:val="24"/>
                <w:color w:val="000000"/>
              </w:rPr>
              <w:t>200</w:t>
            </w:r>
            <w:r>
              <w:rPr>
                <w:rFonts w:ascii="仿宋_GB2312" w:hAnsi="仿宋_GB2312" w:cs="仿宋_GB2312" w:eastAsia="仿宋_GB2312"/>
                <w:sz w:val="24"/>
                <w:color w:val="000000"/>
              </w:rPr>
              <w:t>元，邮寄费按实际金额支付。</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如果中标人提供有盗版图书，采购人有权单方终止购书合同、扣除履约保证金，所引发的法律责任全部由中标人承担。如印刷、装订有问题的图书（无论是否盖章、加工），中标人必须给予调换，并承担由此造成的采购人经济损失。</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、中标人在合同期内不得以任何理由（不可抗力除外）单方终止服务合同，否则，采购人将扣留未支付书款的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作为违约金。</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、中标人在履行协议过程中，如有违反国家法律的其他行为并引发法律责任，采购人将立即终止合同，所有责任及损失由中标人承担。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 现采图书经采购人确认书单后，中标人应当在10个工作日内完成图书配送，到货率不低于95%； 预定图书（订单配书）自中标人确认收到订单后，20个工作日内应当完成送货，到货率不低于90%； 合同履约期限：合同签订后一年。 质保期：自验收合格之日起3年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 现采图书经采购人确认书单后，中标人应当在10个工作日内完成图书配送，到货率不低于95%； 预定图书（订单配书）自中标人确认收到订单后，20个工作日内应当完成送货，到货率不低于90%； 合同履约期限：合同签订后一年。 质保期：自验收合格之日起3年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遇到寒暑假及年底冻结资金，付款顺延。遇到学校因特殊情况资金紧张时，中标人有垫付半年的能力。采购人所订书籍到馆后，经开包验收合格、完成加工入库后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遇到寒暑假及年底冻结资金，付款顺延。遇到学校因特殊情况资金紧张时，中标人有垫付半年的能力。采购人所订书籍到馆后，经开包验收合格、完成加工入库后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采购方以实际发出的订单为准，按订单批次进行信息化精准验收，出具初验报告；国资处于项目执行结束时进行项目总体验收。 1、中标人所供图书必须是合法出版物，一旦发现有盗版图书，立即取消供书资格，并承担因此而因起的一切损失和法律责任。 2、中标人须保证所配送图书是采购人选订的，且没有污染、图文不清、缺页、倒页、缺附件等质量问题；不合格的图书，无论编目加工与否，采购人均可无条件退回。 3、对单册码洋200元以上、开本小于14cm的图书以及散页、线装、挂图、练习册、实验报告册和非当年出版的考试用书，以及分册三册以上的套书，必须经采购人二次确认方可供书；否则，采购人可以视为中标人自行配书。 4、所供图书必须在64开本以上、8开以下，且不得散页或活页装订。 5、图书配送到馆后，采购人组织人员按实际发出订单对到书进行信息化精准验收、并对到书内容、装帧等进行复审，对不适合馆藏的图书，中标人须免费提供退回、调换服务。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采购方以实际发出的订单为准，按订单批次进行信息化精准验收，出具初验报告；国资处于项目执行结束时进行项目总体验收。 1、中标人所供图书必须是合法出版物，一旦发现有盗版图书，立即取消供书资格，并承担因此而因起的一切损失和法律责任。 2、中标人须保证所配送图书是采购人选订的，且没有污染、图文不清、缺页、倒页、缺附件等质量问题；不合格的图书，无论编目加工与否，采购人均可无条件退回。 3、对单册码洋200元以上、开本小于14cm的图书以及散页、线装、挂图、练习册、实验报告册和非当年出版的考试用书，以及分册三册以上的套书，必须经采购人二次确认方可供书；否则，采购人可以视为中标人自行配书。 4、所供图书必须在64开本以上、8开以下，且不得散页或活页装订。 5、图书配送到馆后，采购人组织人员按实际发出订单对到书进行信息化精准验收、并对到书内容、装帧等进行复审，对不适合馆藏的图书，中标人须免费提供退回、调换服务。</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证项目顺利实施，投标人可以参与多个标段，但1、2、3标段的投标人只能承担一个标段的采购内容。（1标段中标人不进入2、3标段中标候选人排序，2标段中标人不进入3标段中标候选人排序；按照综合评审顺延至三家投标人进入候选人排序； 2、报价及结算说明： ①码洋：图书定价 ②实洋：码洋打折后采购人实际支付订购图书的金额。(实洋=码洋×(1-折扣率)) ③折扣：码洋×折扣率 ④折扣率（折扣除以码洋乘100%） ⑤采购人按图书实洋与中标人结算 3、本项目折扣率中标。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法定代表人授权书及被授权人身份证复印件。（法定代表人直接投标只须提交其身份证复印件）。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投标人须具有省级以上（含省级）新闻出版局颁发的出版物经营许可证</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法定代表人授权书及被授权人身份证复印件。（法定代表人直接投标只须提交其身份证复印件）。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投标人须具有省级以上（含省级）新闻出版局颁发的出版物经营许可证</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⑩本项目非专门面向中小微企业采购。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⑩本项目非专门面向中小微企业采购。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采购内容及服务要求完全符合招标文件要求，没有负偏离的计10分；每负偏离一项扣1分，扣完为止。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采购需求提供具体的服务方案，①提供项目实施的具体工作部署、②时间进度计划、③图书的供货、加工及服务方案、④采访、编目数据方案、⑤验收方案等。每有一项缺项扣3分，每有一项内容中有缺陷，指项目需求不匹配或不能满足项目实施要求及其他不利于项目实施的扣1.5分；此项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提供图书发行计划</w:t>
            </w:r>
          </w:p>
        </w:tc>
        <w:tc>
          <w:tcPr>
            <w:tcW w:type="dxa" w:w="2492"/>
          </w:tcPr>
          <w:p>
            <w:pPr>
              <w:pStyle w:val="null3"/>
            </w:pPr>
            <w:r>
              <w:rPr>
                <w:rFonts w:ascii="仿宋_GB2312" w:hAnsi="仿宋_GB2312" w:cs="仿宋_GB2312" w:eastAsia="仿宋_GB2312"/>
              </w:rPr>
              <w:t>提供图书发行计划，随时向采购人提供图书市场动态信息、其公司运营情况及市场图书发行计划，以便采购人及时安排、调整图书采购需求和计划。 方案科学合理，可实施性较强，完全满足项目需求计5分； 方案合理，能够保证项目顺利实施计3分； 方案完整，仅满足部分项目需求计1分；未提供的不计分。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详细评审---提供图书发行计划.docx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的图书配送质量保证,提供详细的服务承诺及保障措施。承诺出版物为全新的国家批准的正式的最新出版物、无知识产权纠纷，无盗版。承诺合理可行，措施科学完善计5分；承诺合理，措施符合项目实际情况计3分；有基本服务承诺，但承诺及措施简单，只列出框架内容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突发问题（如天气、车辆故障等）的应对处理，有切合实际的措施和执行方法。应急预案及解决办法切合实际、考虑充分计5分；应急预案及解决办法基本切合实际，满足项目需求计3分；应急预案简单，只提供相应大纲，不利于项目实施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详细评审---应急预案.docx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1、提供与各大出版社的合作证明文件（不限于销售协议或代理协议或有效期内的原厂授权等），每提供1份计1分，满分4分，未提供的不计分； 2、提供专业固定从业人员、库房规格及物流配送车辆等相关证明材料。响应内容可实施性较强，完全满足项目需求计3分；内容简单，仅满足部分项目需求计1分；未提供的不计分； 3、投标人具有固定的营业场所，具有可供现采的现货库房或者样本库（须提供房产证明或房屋租赁合同复印件），计2分。 4、具有组织现场订货会的能力，按组织次数、规模等综合评审，计0-2分。（投标人应尽可能多的提供证明材料，未提供不计分。）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详细评审---履约能力.docx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项目采购需求提供售后服务保障措施及售后服务承诺，内容包括但不限于：①售后服务保障措施；②图书装订或印刷质量有问题，如缺页、倒装、模糊不清、折页、开线、开胶、污损等；图书种类册数与对应清单不符等问题的调换、补缺或退货方案；③承诺所有调换、补缺或退货所产生的全部费用，由投标人承担；④售后服务响应时效（需承诺调换、补缺投标人须在接到通知后规定的工作日内完成。）；每有一项缺项扣2分，每有一项内容中有缺陷，指项目需求不匹配或不能满足项目实施要求及其他不利于项目实施的扣1分；此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投标人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提供投标人的2022年6月1日至今（以签订日期为准）同类项目业绩合同，每提供一份计2分，满分10分。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采购内容及服务要求完全符合招标文件要求，没有负偏离的计10分；每负偏离一项扣1分，扣完为止。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采购需求提供具体的服务方案，①提供项目实施的具体工作部署、②时间进度计划、③图书的供货、加工及服务方案、④采访、编目数据方案、⑤验收方案等。每有一项缺项扣3分，每有一项内容中有缺陷，指项目需求不匹配或不能满足项目实施要求及其他不利于项目实施的扣1.5分；此项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提供图书发行计划</w:t>
            </w:r>
          </w:p>
        </w:tc>
        <w:tc>
          <w:tcPr>
            <w:tcW w:type="dxa" w:w="2492"/>
          </w:tcPr>
          <w:p>
            <w:pPr>
              <w:pStyle w:val="null3"/>
            </w:pPr>
            <w:r>
              <w:rPr>
                <w:rFonts w:ascii="仿宋_GB2312" w:hAnsi="仿宋_GB2312" w:cs="仿宋_GB2312" w:eastAsia="仿宋_GB2312"/>
              </w:rPr>
              <w:t>提供图书发行计划，随时向采购人提供图书市场动态信息、其公司运营情况及市场图书发行计划，以便采购人及时安排、调整图书采购需求和计划。 方案科学合理，可实施性较强，完全满足项目需求计5分； 方案合理，能够保证项目顺利实施计3分； 方案完整，仅满足部分项目需求计1分；未提供的不计分。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详细评审---提供图书发行计划.docx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的图书配送质量保证,提供详细的服务承诺及保障措施。承诺出版物为全新的国家批准的正式的最新出版物、无知识产权纠纷，无盗版。承诺合理可行，措施科学完善计5分；承诺合理，措施符合项目实际情况计3分；有基本服务承诺，但承诺及措施简单，只列出框架内容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突发问题（如天气、车辆故障等）的应对处理，有切合实际的措施和执行方法。应急预案及解决办法切合实际、考虑充分计5分；应急预案及解决办法基本切合实际，满足项目需求计3分；应急预案简单，只提供相应大纲，不利于项目实施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详细评审---应急预案.docx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1、提供与各大出版社的合作证明文件（不限于销售协议或代理协议或有效期内的原厂授权等），每提供1份计1分，满分4分，未提供的不计分； 2、提供专业固定从业人员、库房规格及物流配送车辆等相关证明材料。响应内容可实施性较强，完全满足项目需求计3分；内容简单，仅满足部分项目需求计1分；未提供的不计分； 3、投标人具有固定的营业场所，具有可供现采的现货库房或者样本库（须提供房产证明或房屋租赁合同复印件），计2分。 4、具有组织现场订货会的能力，按组织次数、规模等综合评审，计0-2分。（投标人应尽可能多的提供证明材料，未提供不计分。）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详细评审---履约能力.docx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项目采购需求提供售后服务保障措施及售后服务承诺，内容包括但不限于：①售后服务保障措施；②图书装订或印刷质量有问题，如缺页、倒装、模糊不清、折页、开线、开胶、污损等；图书种类册数与对应清单不符等问题的调换、补缺或退货方案；③承诺所有调换、补缺或退货所产生的全部费用，由投标人承担；④售后服务响应时效（需承诺调换、补缺投标人须在接到通知后规定的工作日内完成。）；每有一项缺项扣2分，每有一项内容中有缺陷，指项目需求不匹配或不能满足项目实施要求及其他不利于项目实施的扣1分；此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投标人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提供投标人的2022年6月1日至今（以签订日期为准）同类项目业绩合同，每提供一份计2分，满分10分。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详见附件：详细评审---提供图书发行计划.docx</w:t>
      </w:r>
    </w:p>
    <w:p>
      <w:pPr>
        <w:pStyle w:val="null3"/>
        <w:ind w:firstLine="960"/>
      </w:pPr>
      <w:r>
        <w:rPr>
          <w:rFonts w:ascii="仿宋_GB2312" w:hAnsi="仿宋_GB2312" w:cs="仿宋_GB2312" w:eastAsia="仿宋_GB2312"/>
        </w:rPr>
        <w:t>详见附件：详细评审---质量保障措施.docx</w:t>
      </w:r>
    </w:p>
    <w:p>
      <w:pPr>
        <w:pStyle w:val="null3"/>
        <w:ind w:firstLine="960"/>
      </w:pPr>
      <w:r>
        <w:rPr>
          <w:rFonts w:ascii="仿宋_GB2312" w:hAnsi="仿宋_GB2312" w:cs="仿宋_GB2312" w:eastAsia="仿宋_GB2312"/>
        </w:rPr>
        <w:t>详见附件：详细评审---应急预案.docx</w:t>
      </w:r>
    </w:p>
    <w:p>
      <w:pPr>
        <w:pStyle w:val="null3"/>
        <w:ind w:firstLine="960"/>
      </w:pPr>
      <w:r>
        <w:rPr>
          <w:rFonts w:ascii="仿宋_GB2312" w:hAnsi="仿宋_GB2312" w:cs="仿宋_GB2312" w:eastAsia="仿宋_GB2312"/>
        </w:rPr>
        <w:t>详见附件：详细评审---履约能力.docx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详见附件：详细评审---提供图书发行计划.docx</w:t>
      </w:r>
    </w:p>
    <w:p>
      <w:pPr>
        <w:pStyle w:val="null3"/>
        <w:ind w:firstLine="960"/>
      </w:pPr>
      <w:r>
        <w:rPr>
          <w:rFonts w:ascii="仿宋_GB2312" w:hAnsi="仿宋_GB2312" w:cs="仿宋_GB2312" w:eastAsia="仿宋_GB2312"/>
        </w:rPr>
        <w:t>详见附件：详细评审---质量保障措施.docx</w:t>
      </w:r>
    </w:p>
    <w:p>
      <w:pPr>
        <w:pStyle w:val="null3"/>
        <w:ind w:firstLine="960"/>
      </w:pPr>
      <w:r>
        <w:rPr>
          <w:rFonts w:ascii="仿宋_GB2312" w:hAnsi="仿宋_GB2312" w:cs="仿宋_GB2312" w:eastAsia="仿宋_GB2312"/>
        </w:rPr>
        <w:t>详见附件：详细评审---应急预案.docx</w:t>
      </w:r>
    </w:p>
    <w:p>
      <w:pPr>
        <w:pStyle w:val="null3"/>
        <w:ind w:firstLine="960"/>
      </w:pPr>
      <w:r>
        <w:rPr>
          <w:rFonts w:ascii="仿宋_GB2312" w:hAnsi="仿宋_GB2312" w:cs="仿宋_GB2312" w:eastAsia="仿宋_GB2312"/>
        </w:rPr>
        <w:t>详见附件：详细评审---履约能力.docx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