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D8EE61">
      <w:pPr>
        <w:jc w:val="center"/>
        <w:rPr>
          <w:rFonts w:hint="eastAsia"/>
          <w:b/>
          <w:bCs/>
          <w:sz w:val="32"/>
          <w:szCs w:val="28"/>
        </w:rPr>
      </w:pPr>
      <w:r>
        <w:rPr>
          <w:rFonts w:hint="eastAsia"/>
          <w:b/>
          <w:bCs/>
          <w:sz w:val="32"/>
          <w:szCs w:val="28"/>
        </w:rPr>
        <w:t>陕西新材料产业海外知识产权预警研究</w:t>
      </w:r>
      <w:r>
        <w:rPr>
          <w:rFonts w:hint="eastAsia"/>
          <w:b/>
          <w:bCs/>
          <w:sz w:val="32"/>
          <w:szCs w:val="28"/>
          <w:lang w:val="en-US" w:eastAsia="zh-CN"/>
        </w:rPr>
        <w:t>项目</w:t>
      </w:r>
      <w:r>
        <w:rPr>
          <w:rFonts w:hint="eastAsia"/>
          <w:b/>
          <w:bCs/>
          <w:sz w:val="32"/>
          <w:szCs w:val="28"/>
        </w:rPr>
        <w:t>合同书</w:t>
      </w:r>
    </w:p>
    <w:p w14:paraId="75DE3EE8">
      <w:pPr>
        <w:rPr>
          <w:rFonts w:hint="eastAsia"/>
        </w:rPr>
      </w:pPr>
    </w:p>
    <w:p w14:paraId="72CDBAE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甲方(采购人全称)</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p>
    <w:p w14:paraId="0BDAC91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rPr>
      </w:pPr>
      <w:r>
        <w:rPr>
          <w:rFonts w:hint="eastAsia" w:ascii="宋体" w:hAnsi="宋体" w:eastAsia="宋体" w:cs="宋体"/>
          <w:sz w:val="28"/>
          <w:szCs w:val="28"/>
        </w:rPr>
        <w:t>乙方(供应商全称)</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p>
    <w:p w14:paraId="49840B3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根据</w:t>
      </w:r>
      <w:r>
        <w:rPr>
          <w:rFonts w:hint="eastAsia" w:ascii="宋体" w:hAnsi="宋体" w:eastAsia="宋体" w:cs="宋体"/>
          <w:sz w:val="28"/>
          <w:szCs w:val="28"/>
          <w:u w:val="single"/>
          <w:lang w:val="en-US" w:eastAsia="zh-CN"/>
        </w:rPr>
        <w:t xml:space="preserve">  陕西新材料产业海外知识产权预警研究项目  </w:t>
      </w:r>
      <w:r>
        <w:rPr>
          <w:rFonts w:hint="eastAsia" w:ascii="宋体" w:hAnsi="宋体" w:eastAsia="宋体" w:cs="宋体"/>
          <w:sz w:val="28"/>
          <w:szCs w:val="28"/>
        </w:rPr>
        <w:t>竞争性</w:t>
      </w:r>
      <w:r>
        <w:rPr>
          <w:rFonts w:hint="eastAsia" w:ascii="宋体" w:hAnsi="宋体" w:eastAsia="宋体" w:cs="宋体"/>
          <w:sz w:val="28"/>
          <w:szCs w:val="28"/>
          <w:lang w:val="en-US" w:eastAsia="zh-CN"/>
        </w:rPr>
        <w:t>磋商</w:t>
      </w:r>
      <w:r>
        <w:rPr>
          <w:rFonts w:hint="eastAsia" w:ascii="宋体" w:hAnsi="宋体" w:eastAsia="宋体" w:cs="宋体"/>
          <w:sz w:val="28"/>
          <w:szCs w:val="28"/>
        </w:rPr>
        <w:t>的采购结果，根据《中华人民共和国民法典》及其他有关法律、法规，遵循平等、自愿、公平和诚信的原则，双方就下述项目范围与相关服务事项协商一致，订立本合同。</w:t>
      </w:r>
    </w:p>
    <w:p w14:paraId="65CA28C9">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一、项目概况</w:t>
      </w:r>
    </w:p>
    <w:p w14:paraId="7E7212A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u w:val="single"/>
          <w:lang w:eastAsia="zh-CN"/>
        </w:rPr>
      </w:pPr>
      <w:r>
        <w:rPr>
          <w:rFonts w:hint="eastAsia" w:ascii="宋体" w:hAnsi="宋体" w:eastAsia="宋体" w:cs="宋体"/>
          <w:sz w:val="28"/>
          <w:szCs w:val="28"/>
        </w:rPr>
        <w:t>1、项目名称:</w:t>
      </w:r>
      <w:r>
        <w:rPr>
          <w:rFonts w:hint="eastAsia" w:ascii="宋体" w:hAnsi="宋体" w:eastAsia="宋体" w:cs="宋体"/>
          <w:sz w:val="28"/>
          <w:szCs w:val="28"/>
          <w:u w:val="single"/>
        </w:rPr>
        <w:t>陕西新材料产业海外知识产权预警研究</w:t>
      </w:r>
      <w:r>
        <w:rPr>
          <w:rFonts w:hint="eastAsia" w:ascii="宋体" w:hAnsi="宋体" w:eastAsia="宋体" w:cs="宋体"/>
          <w:sz w:val="28"/>
          <w:szCs w:val="28"/>
          <w:u w:val="single"/>
          <w:lang w:val="en-US" w:eastAsia="zh-CN"/>
        </w:rPr>
        <w:t>项目</w:t>
      </w:r>
      <w:r>
        <w:rPr>
          <w:rFonts w:hint="eastAsia" w:ascii="宋体" w:hAnsi="宋体" w:eastAsia="宋体" w:cs="宋体"/>
          <w:sz w:val="28"/>
          <w:szCs w:val="28"/>
          <w:u w:val="single"/>
          <w:lang w:eastAsia="zh-CN"/>
        </w:rPr>
        <w:t>；</w:t>
      </w:r>
    </w:p>
    <w:p w14:paraId="1E34459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u w:val="single"/>
          <w:lang w:val="en-US" w:eastAsia="zh-CN"/>
        </w:rPr>
      </w:pPr>
      <w:r>
        <w:rPr>
          <w:rFonts w:hint="eastAsia" w:ascii="宋体" w:hAnsi="宋体" w:eastAsia="宋体" w:cs="宋体"/>
          <w:sz w:val="28"/>
          <w:szCs w:val="28"/>
        </w:rPr>
        <w:t>2、项目地点:</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p>
    <w:p w14:paraId="275F601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u w:val="single"/>
          <w:lang w:val="en-US" w:eastAsia="zh-CN"/>
        </w:rPr>
      </w:pPr>
      <w:r>
        <w:rPr>
          <w:rFonts w:hint="eastAsia" w:ascii="宋体" w:hAnsi="宋体" w:eastAsia="宋体" w:cs="宋体"/>
          <w:sz w:val="28"/>
          <w:szCs w:val="28"/>
        </w:rPr>
        <w:t>3、服务期限:</w:t>
      </w:r>
      <w:r>
        <w:rPr>
          <w:rFonts w:hint="eastAsia" w:ascii="宋体" w:hAnsi="宋体" w:eastAsia="宋体" w:cs="宋体"/>
          <w:sz w:val="28"/>
          <w:szCs w:val="28"/>
          <w:u w:val="single"/>
          <w:lang w:val="en-US" w:eastAsia="zh-CN"/>
        </w:rPr>
        <w:t xml:space="preserve">                                  </w:t>
      </w:r>
    </w:p>
    <w:p w14:paraId="731600D3">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二、组成本合同的文件</w:t>
      </w:r>
    </w:p>
    <w:p w14:paraId="4A1A9461">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1、成交通知书、响应文件、采购文件、澄清、补充文件(或委托书);</w:t>
      </w:r>
    </w:p>
    <w:p w14:paraId="717F8E3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2、相关服务建议书;</w:t>
      </w:r>
    </w:p>
    <w:p w14:paraId="266A6028">
      <w:pPr>
        <w:keepNext w:val="0"/>
        <w:keepLines w:val="0"/>
        <w:pageBreakBefore w:val="0"/>
        <w:widowControl w:val="0"/>
        <w:kinsoku/>
        <w:wordWrap/>
        <w:overflowPunct/>
        <w:topLinePunct w:val="0"/>
        <w:autoSpaceDE/>
        <w:autoSpaceDN/>
        <w:bidi w:val="0"/>
        <w:adjustRightInd/>
        <w:snapToGrid/>
        <w:spacing w:line="360" w:lineRule="auto"/>
        <w:ind w:left="480" w:leftChars="200" w:firstLine="0" w:firstLineChars="0"/>
        <w:textAlignment w:val="auto"/>
        <w:rPr>
          <w:rFonts w:hint="eastAsia" w:ascii="宋体" w:hAnsi="宋体" w:eastAsia="宋体" w:cs="宋体"/>
          <w:b/>
          <w:bCs/>
          <w:sz w:val="28"/>
          <w:szCs w:val="28"/>
        </w:rPr>
      </w:pPr>
      <w:r>
        <w:rPr>
          <w:rFonts w:hint="eastAsia" w:ascii="宋体" w:hAnsi="宋体" w:eastAsia="宋体" w:cs="宋体"/>
          <w:sz w:val="28"/>
          <w:szCs w:val="28"/>
        </w:rPr>
        <w:t>3、本合同签订后，双方依法签订的补充协议也是本合同文件的组成部分。</w:t>
      </w:r>
      <w:r>
        <w:rPr>
          <w:rFonts w:hint="eastAsia" w:ascii="宋体" w:hAnsi="宋体" w:eastAsia="宋体" w:cs="宋体"/>
          <w:b/>
          <w:bCs/>
          <w:sz w:val="28"/>
          <w:szCs w:val="28"/>
        </w:rPr>
        <w:t>三、合同总价及付款:</w:t>
      </w:r>
    </w:p>
    <w:p w14:paraId="072AB90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1、合同总价</w:t>
      </w:r>
      <w:r>
        <w:rPr>
          <w:rFonts w:hint="eastAsia" w:ascii="宋体" w:hAnsi="宋体" w:eastAsia="宋体" w:cs="宋体"/>
          <w:sz w:val="28"/>
          <w:szCs w:val="28"/>
          <w:u w:val="single"/>
        </w:rPr>
        <w:t>(大写):</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元整(￥</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元);</w:t>
      </w:r>
    </w:p>
    <w:p w14:paraId="11DDF3D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合同总价即成交价，合同总价一次包死，不受市场价变化或实际工作量变化的影响。合同价格为含税价，供应商提供服务发生的一切税(包括增值税)费等都已包含于合同价款中。</w:t>
      </w:r>
    </w:p>
    <w:p w14:paraId="2D77124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附分项清单:</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0"/>
        <w:gridCol w:w="1420"/>
        <w:gridCol w:w="1420"/>
        <w:gridCol w:w="1420"/>
        <w:gridCol w:w="1421"/>
        <w:gridCol w:w="1421"/>
      </w:tblGrid>
      <w:tr w14:paraId="42DC0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14:paraId="50527D4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序号</w:t>
            </w:r>
          </w:p>
        </w:tc>
        <w:tc>
          <w:tcPr>
            <w:tcW w:w="1420" w:type="dxa"/>
          </w:tcPr>
          <w:p w14:paraId="63C2225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名称</w:t>
            </w:r>
          </w:p>
        </w:tc>
        <w:tc>
          <w:tcPr>
            <w:tcW w:w="1420" w:type="dxa"/>
          </w:tcPr>
          <w:p w14:paraId="2A4C73C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单价（万元）</w:t>
            </w:r>
          </w:p>
        </w:tc>
        <w:tc>
          <w:tcPr>
            <w:tcW w:w="1420" w:type="dxa"/>
          </w:tcPr>
          <w:p w14:paraId="5C600B4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数量（个）</w:t>
            </w:r>
          </w:p>
        </w:tc>
        <w:tc>
          <w:tcPr>
            <w:tcW w:w="1421" w:type="dxa"/>
          </w:tcPr>
          <w:p w14:paraId="68EDD60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总额（万元）</w:t>
            </w:r>
          </w:p>
        </w:tc>
        <w:tc>
          <w:tcPr>
            <w:tcW w:w="1421" w:type="dxa"/>
          </w:tcPr>
          <w:p w14:paraId="3B662EA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备注</w:t>
            </w:r>
          </w:p>
        </w:tc>
      </w:tr>
      <w:tr w14:paraId="426D6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14:paraId="5C30326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w:t>
            </w:r>
          </w:p>
        </w:tc>
        <w:tc>
          <w:tcPr>
            <w:tcW w:w="1420" w:type="dxa"/>
          </w:tcPr>
          <w:p w14:paraId="021ED5A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lang w:val="en-US" w:eastAsia="zh-CN"/>
              </w:rPr>
            </w:pPr>
          </w:p>
        </w:tc>
        <w:tc>
          <w:tcPr>
            <w:tcW w:w="1420" w:type="dxa"/>
          </w:tcPr>
          <w:p w14:paraId="3E0F928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lang w:val="en-US" w:eastAsia="zh-CN"/>
              </w:rPr>
            </w:pPr>
          </w:p>
        </w:tc>
        <w:tc>
          <w:tcPr>
            <w:tcW w:w="1420" w:type="dxa"/>
          </w:tcPr>
          <w:p w14:paraId="0ACBD85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lang w:val="en-US" w:eastAsia="zh-CN"/>
              </w:rPr>
            </w:pPr>
          </w:p>
        </w:tc>
        <w:tc>
          <w:tcPr>
            <w:tcW w:w="1421" w:type="dxa"/>
          </w:tcPr>
          <w:p w14:paraId="7AE3159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lang w:val="en-US" w:eastAsia="zh-CN"/>
              </w:rPr>
            </w:pPr>
          </w:p>
        </w:tc>
        <w:tc>
          <w:tcPr>
            <w:tcW w:w="1421" w:type="dxa"/>
          </w:tcPr>
          <w:p w14:paraId="4377C05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lang w:val="en-US" w:eastAsia="zh-CN"/>
              </w:rPr>
            </w:pPr>
          </w:p>
        </w:tc>
      </w:tr>
      <w:tr w14:paraId="528D5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14:paraId="66CC922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lang w:val="en-US" w:eastAsia="zh-CN"/>
              </w:rPr>
            </w:pPr>
          </w:p>
        </w:tc>
        <w:tc>
          <w:tcPr>
            <w:tcW w:w="1420" w:type="dxa"/>
          </w:tcPr>
          <w:p w14:paraId="139E467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lang w:val="en-US" w:eastAsia="zh-CN"/>
              </w:rPr>
            </w:pPr>
          </w:p>
        </w:tc>
        <w:tc>
          <w:tcPr>
            <w:tcW w:w="1420" w:type="dxa"/>
          </w:tcPr>
          <w:p w14:paraId="61020A3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lang w:val="en-US" w:eastAsia="zh-CN"/>
              </w:rPr>
            </w:pPr>
          </w:p>
        </w:tc>
        <w:tc>
          <w:tcPr>
            <w:tcW w:w="1420" w:type="dxa"/>
          </w:tcPr>
          <w:p w14:paraId="74C31B5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lang w:val="en-US" w:eastAsia="zh-CN"/>
              </w:rPr>
            </w:pPr>
          </w:p>
        </w:tc>
        <w:tc>
          <w:tcPr>
            <w:tcW w:w="1421" w:type="dxa"/>
          </w:tcPr>
          <w:p w14:paraId="1BB90B0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lang w:val="en-US" w:eastAsia="zh-CN"/>
              </w:rPr>
            </w:pPr>
          </w:p>
        </w:tc>
        <w:tc>
          <w:tcPr>
            <w:tcW w:w="1421" w:type="dxa"/>
          </w:tcPr>
          <w:p w14:paraId="15BC038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lang w:val="en-US" w:eastAsia="zh-CN"/>
              </w:rPr>
            </w:pPr>
          </w:p>
        </w:tc>
      </w:tr>
      <w:tr w14:paraId="2886A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14:paraId="4C9E926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lang w:val="en-US" w:eastAsia="zh-CN"/>
              </w:rPr>
            </w:pPr>
          </w:p>
        </w:tc>
        <w:tc>
          <w:tcPr>
            <w:tcW w:w="1420" w:type="dxa"/>
          </w:tcPr>
          <w:p w14:paraId="52F7CB2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lang w:val="en-US" w:eastAsia="zh-CN"/>
              </w:rPr>
            </w:pPr>
          </w:p>
        </w:tc>
        <w:tc>
          <w:tcPr>
            <w:tcW w:w="1420" w:type="dxa"/>
          </w:tcPr>
          <w:p w14:paraId="7041AFC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lang w:val="en-US" w:eastAsia="zh-CN"/>
              </w:rPr>
            </w:pPr>
          </w:p>
        </w:tc>
        <w:tc>
          <w:tcPr>
            <w:tcW w:w="1420" w:type="dxa"/>
          </w:tcPr>
          <w:p w14:paraId="79A84D0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lang w:val="en-US" w:eastAsia="zh-CN"/>
              </w:rPr>
            </w:pPr>
          </w:p>
        </w:tc>
        <w:tc>
          <w:tcPr>
            <w:tcW w:w="1421" w:type="dxa"/>
          </w:tcPr>
          <w:p w14:paraId="5633B8D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lang w:val="en-US" w:eastAsia="zh-CN"/>
              </w:rPr>
            </w:pPr>
          </w:p>
        </w:tc>
        <w:tc>
          <w:tcPr>
            <w:tcW w:w="1421" w:type="dxa"/>
          </w:tcPr>
          <w:p w14:paraId="0402B4F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lang w:val="en-US" w:eastAsia="zh-CN"/>
              </w:rPr>
            </w:pPr>
          </w:p>
        </w:tc>
      </w:tr>
      <w:tr w14:paraId="3B873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14:paraId="6BABFA8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lang w:val="en-US" w:eastAsia="zh-CN"/>
              </w:rPr>
            </w:pPr>
          </w:p>
        </w:tc>
        <w:tc>
          <w:tcPr>
            <w:tcW w:w="1420" w:type="dxa"/>
          </w:tcPr>
          <w:p w14:paraId="6A622CF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lang w:val="en-US" w:eastAsia="zh-CN"/>
              </w:rPr>
            </w:pPr>
          </w:p>
        </w:tc>
        <w:tc>
          <w:tcPr>
            <w:tcW w:w="1420" w:type="dxa"/>
          </w:tcPr>
          <w:p w14:paraId="286D09E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lang w:val="en-US" w:eastAsia="zh-CN"/>
              </w:rPr>
            </w:pPr>
          </w:p>
        </w:tc>
        <w:tc>
          <w:tcPr>
            <w:tcW w:w="1420" w:type="dxa"/>
          </w:tcPr>
          <w:p w14:paraId="0313D5B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lang w:val="en-US" w:eastAsia="zh-CN"/>
              </w:rPr>
            </w:pPr>
          </w:p>
        </w:tc>
        <w:tc>
          <w:tcPr>
            <w:tcW w:w="1421" w:type="dxa"/>
          </w:tcPr>
          <w:p w14:paraId="7093D78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lang w:val="en-US" w:eastAsia="zh-CN"/>
              </w:rPr>
            </w:pPr>
          </w:p>
        </w:tc>
        <w:tc>
          <w:tcPr>
            <w:tcW w:w="1421" w:type="dxa"/>
          </w:tcPr>
          <w:p w14:paraId="69A2F35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lang w:val="en-US" w:eastAsia="zh-CN"/>
              </w:rPr>
            </w:pPr>
          </w:p>
        </w:tc>
      </w:tr>
      <w:tr w14:paraId="58543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14:paraId="161C8CF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合计</w:t>
            </w:r>
          </w:p>
        </w:tc>
        <w:tc>
          <w:tcPr>
            <w:tcW w:w="7102" w:type="dxa"/>
            <w:gridSpan w:val="5"/>
          </w:tcPr>
          <w:p w14:paraId="514A454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 xml:space="preserve">大写:     元整      小写:      </w:t>
            </w:r>
          </w:p>
        </w:tc>
      </w:tr>
      <w:tr w14:paraId="01ACA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14:paraId="1764E8F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备注</w:t>
            </w:r>
          </w:p>
        </w:tc>
        <w:tc>
          <w:tcPr>
            <w:tcW w:w="7102" w:type="dxa"/>
            <w:gridSpan w:val="5"/>
          </w:tcPr>
          <w:p w14:paraId="08D8458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保留小数点后两位。</w:t>
            </w:r>
          </w:p>
        </w:tc>
      </w:tr>
    </w:tbl>
    <w:p w14:paraId="5AFC8E9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2、付款方式:①自本合同签订生效之日起 30 日内支付合同总价款的 80%,所有工作完成，提交成果文件并经甲方验收通过之日起30日内支付合同总价款20%;</w:t>
      </w:r>
    </w:p>
    <w:p w14:paraId="3E73A19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②供应商应根据采购人需要提供等额正规发票给采购人:</w:t>
      </w:r>
    </w:p>
    <w:p w14:paraId="0283D6D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③如因供应商责任而造成延期交付，每超过一天按合同总价款的1%支付采购人误期赔偿金;</w:t>
      </w:r>
    </w:p>
    <w:p w14:paraId="2797718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④支付方式:银行转账。</w:t>
      </w:r>
    </w:p>
    <w:p w14:paraId="564BA915">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四、服务要求</w:t>
      </w:r>
    </w:p>
    <w:p w14:paraId="7405F87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交付的服务内容与响应文件、文件等所指明的，或者与本合同所指明的服务内容相一致。</w:t>
      </w:r>
    </w:p>
    <w:p w14:paraId="65E1F103">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lang w:val="en-US" w:eastAsia="zh-CN"/>
        </w:rPr>
        <w:t>五、</w:t>
      </w:r>
      <w:r>
        <w:rPr>
          <w:rFonts w:hint="eastAsia" w:ascii="宋体" w:hAnsi="宋体" w:eastAsia="宋体" w:cs="宋体"/>
          <w:b/>
          <w:bCs/>
          <w:sz w:val="28"/>
          <w:szCs w:val="28"/>
        </w:rPr>
        <w:t>质量保证</w:t>
      </w:r>
    </w:p>
    <w:p w14:paraId="203D6D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质量标准:符合国家相关标准及采购人要求。</w:t>
      </w:r>
    </w:p>
    <w:p w14:paraId="728C55F5">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六、知识产权</w:t>
      </w:r>
    </w:p>
    <w:p w14:paraId="0E871BB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乙方应保证所提供的服务或其任何一部分均不会侵犯任何第三方的专利权商标权或著作权。因乙方原因导致对其他任何权利的侵犯，应由乙方自行承担全部责任，甲方不承担任何责任。如因乙方原因导致甲方被追诉的，乙方应承担因此给甲方造成的一切损失包括但不限于甲方为此支付的律师费、案件受理费、仲裁费、保险费、执行费、鉴定费及公证费等。申方利用乙方提交的技术服务工作成果所完成的新的技术成果，归甲方所有。</w:t>
      </w:r>
    </w:p>
    <w:p w14:paraId="2FF2638B">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七、保密条款</w:t>
      </w:r>
    </w:p>
    <w:p w14:paraId="54BB6CB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甲、乙双方对本合同履行过程中获得的对方的资料数据、商业技术信息等承担保密责任。未经对方事先书面同意，任何一方不得以任何形式向第三方泄露其相关内容。本合同的解除或终止，不免除双方对本保密条款的遵守。</w:t>
      </w:r>
    </w:p>
    <w:p w14:paraId="64954A44">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八、无产权瑕疵条款</w:t>
      </w:r>
    </w:p>
    <w:p w14:paraId="6B9BD01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乙方保证所提供的服务的所有权完全属于乙方且无任何抵押、查封等产权瑕疵。如有产权瑕疵的，视为乙方违约。乙方应负担由此而产生的一切损失。</w:t>
      </w:r>
    </w:p>
    <w:p w14:paraId="384AAEA8">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九、 甲方的权利和义务</w:t>
      </w:r>
    </w:p>
    <w:p w14:paraId="3B28181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1、甲方有权对合同规定范围内乙方的服务行为进行监督和检查，拥有监管权。有权定期核对乙方提供服务所配备的人员数量。对甲方认为不合理的部分有</w:t>
      </w:r>
    </w:p>
    <w:p w14:paraId="4D8D58C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权下达整改通知书，并要求乙方限期整改</w:t>
      </w:r>
    </w:p>
    <w:p w14:paraId="3170BAE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2、甲方有权对乙方提供的服务进行定期考评。当考评结果未达到标准时，甲方有权要求乙方限期整改;若乙方整改依旧无法通过考评，则甲方有权要求赔偿。</w:t>
      </w:r>
    </w:p>
    <w:p w14:paraId="711D5C41">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3、负责检查监督乙方管理工作的实施及制度的执行情况。</w:t>
      </w:r>
    </w:p>
    <w:p w14:paraId="7BFE79C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4、根据本合同规定，按时向乙方支付应付服务费用。</w:t>
      </w:r>
    </w:p>
    <w:p w14:paraId="4B1BAA4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5、甲方应配合乙方要求及时向乙方提供相关资料,协助乙方办理有关事宜</w:t>
      </w:r>
      <w:r>
        <w:rPr>
          <w:rFonts w:hint="eastAsia" w:ascii="宋体" w:hAnsi="宋体" w:eastAsia="宋体" w:cs="宋体"/>
          <w:sz w:val="28"/>
          <w:szCs w:val="28"/>
          <w:lang w:eastAsia="zh-CN"/>
        </w:rPr>
        <w:t>。</w:t>
      </w:r>
    </w:p>
    <w:p w14:paraId="15FE222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6、甲方迟延提供技术资料或所提供的技术资料有严重缺陷影响乙方工作进度和质量的，相应后果由甲方承担。</w:t>
      </w:r>
    </w:p>
    <w:p w14:paraId="3C879D0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7、对合同条款及所知悉的乙方商业秘密负有保密义务。</w:t>
      </w:r>
    </w:p>
    <w:p w14:paraId="29B049E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8、国家法律、法规所规定由甲方承担的其它责任。</w:t>
      </w:r>
    </w:p>
    <w:p w14:paraId="6360E1EC">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十、乙方的权利和义务</w:t>
      </w:r>
    </w:p>
    <w:p w14:paraId="15BD070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1、对本合同规定的委托服务范围肉的项目享有管理权及服务义务。</w:t>
      </w:r>
    </w:p>
    <w:p w14:paraId="20CE183D">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2、根据本合同的规定向甲方收取相关服务费用，并有权在本项目管理范围内管理及合理使用。</w:t>
      </w:r>
    </w:p>
    <w:p w14:paraId="6412C45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3、及时向甲方通告木项目服务范围内有关服务的重大事项,及时配合处理。</w:t>
      </w:r>
    </w:p>
    <w:p w14:paraId="34A3F40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4、乙方应保护甲方提供的相关资料。未经甲方同意不得擅自修改、复制或向第三人转让或用于术合同外的项目，如发生以上情况，乙方应负法律责任，甲方有权向乙方提出索赔。</w:t>
      </w:r>
    </w:p>
    <w:p w14:paraId="330884A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5、乙方在中途需更换所指派的项目负贵人，应事先征得甲方同意。</w:t>
      </w:r>
    </w:p>
    <w:p w14:paraId="238195F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6、接受项目行业管理部门及政府有关部门的指导，接受甲方的监督。</w:t>
      </w:r>
    </w:p>
    <w:p w14:paraId="01EF8E3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7、乙方应接受甲方的监督、管理,对于甲方提出的整改、质疑等,需要在 48小时内进行响应，如乙方提出明确整改意见的，乙方须按照甲方要求进行整改。</w:t>
      </w:r>
    </w:p>
    <w:p w14:paraId="3BC3B131">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8、国家法律、法规所规定由乙方承担的其它责任。</w:t>
      </w:r>
    </w:p>
    <w:p w14:paraId="66D1E53D">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十一、违约责任</w:t>
      </w:r>
    </w:p>
    <w:p w14:paraId="34BCB89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1、甲乙双方必须遵守本合同并执行合同中的各项规定，保证本合同的正常履行。</w:t>
      </w:r>
    </w:p>
    <w:p w14:paraId="71C74DC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14B1C43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3、未按合同要求进行项目的实施或实施不能满足技术要求，采购人有权终止合同和对中标供应商违约行为进行追究，同时按政府采购法的有关规定进行相应的处罚。</w:t>
      </w:r>
    </w:p>
    <w:p w14:paraId="20510CA7">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十二、不可抗力事件处理</w:t>
      </w:r>
    </w:p>
    <w:p w14:paraId="5C8FB3B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1、在合同有效期内，任何一方因不可抗力事件导致不能履行合同，则合同履行期可延长，其延长期与不可抗力影响期相同。</w:t>
      </w:r>
    </w:p>
    <w:p w14:paraId="7610F1E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2、不可抗力事件发生后，应立即通知对方，报告所发生的不可抗力并提供有关部门的证明文件。</w:t>
      </w:r>
    </w:p>
    <w:p w14:paraId="0B57CC2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3、不可抗力事件延续15天以上，双方应通过友好协商，确定是否继续行合同。</w:t>
      </w:r>
    </w:p>
    <w:p w14:paraId="356AA64E">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十三、解决合同纠纷的方式</w:t>
      </w:r>
    </w:p>
    <w:p w14:paraId="4F4A349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在执行本合同中发生的或与本合同有关的争端，双方应通过友好协商解决，经协商在7天内不能达成协议时，则采取向</w:t>
      </w:r>
      <w:r>
        <w:rPr>
          <w:rFonts w:hint="eastAsia" w:ascii="宋体" w:hAnsi="宋体" w:eastAsia="宋体" w:cs="宋体"/>
          <w:sz w:val="28"/>
          <w:szCs w:val="28"/>
          <w:u w:val="single"/>
        </w:rPr>
        <w:t>甲方所在地</w:t>
      </w:r>
      <w:r>
        <w:rPr>
          <w:rFonts w:hint="eastAsia" w:ascii="宋体" w:hAnsi="宋体" w:eastAsia="宋体" w:cs="宋体"/>
          <w:sz w:val="28"/>
          <w:szCs w:val="28"/>
        </w:rPr>
        <w:t>有管辖权的人民法院提起诉讼方式解决争议:</w:t>
      </w:r>
    </w:p>
    <w:p w14:paraId="0BFC93EF">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十四、合同生效及其他</w:t>
      </w:r>
    </w:p>
    <w:p w14:paraId="51B22C1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1、合同经双方法定代表人或授权委托代理人签字并加盖单位公章后生效。</w:t>
      </w:r>
    </w:p>
    <w:p w14:paraId="0C0DF0C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2、本合同一式</w:t>
      </w:r>
      <w:r>
        <w:rPr>
          <w:rFonts w:hint="eastAsia" w:ascii="宋体" w:hAnsi="宋体" w:eastAsia="宋体" w:cs="宋体"/>
          <w:sz w:val="28"/>
          <w:szCs w:val="28"/>
          <w:u w:val="single"/>
          <w:lang w:val="en-US" w:eastAsia="zh-CN"/>
        </w:rPr>
        <w:t xml:space="preserve"> 柒 </w:t>
      </w:r>
      <w:r>
        <w:rPr>
          <w:rFonts w:hint="eastAsia" w:ascii="宋体" w:hAnsi="宋体" w:eastAsia="宋体" w:cs="宋体"/>
          <w:sz w:val="28"/>
          <w:szCs w:val="28"/>
        </w:rPr>
        <w:t>份，自双方签章之日起起效。甲方</w:t>
      </w:r>
      <w:r>
        <w:rPr>
          <w:rFonts w:hint="eastAsia" w:ascii="宋体" w:hAnsi="宋体" w:eastAsia="宋体" w:cs="宋体"/>
          <w:sz w:val="28"/>
          <w:szCs w:val="28"/>
          <w:u w:val="single"/>
          <w:lang w:val="en-US" w:eastAsia="zh-CN"/>
        </w:rPr>
        <w:t xml:space="preserve">叁  </w:t>
      </w:r>
      <w:r>
        <w:rPr>
          <w:rFonts w:hint="eastAsia" w:ascii="宋体" w:hAnsi="宋体" w:eastAsia="宋体" w:cs="宋体"/>
          <w:sz w:val="28"/>
          <w:szCs w:val="28"/>
        </w:rPr>
        <w:t>份，乙方</w:t>
      </w:r>
      <w:r>
        <w:rPr>
          <w:rFonts w:hint="eastAsia" w:ascii="宋体" w:hAnsi="宋体" w:eastAsia="宋体" w:cs="宋体"/>
          <w:i/>
          <w:iCs/>
          <w:sz w:val="28"/>
          <w:szCs w:val="28"/>
          <w:u w:val="single"/>
          <w:lang w:val="en-US" w:eastAsia="zh-CN"/>
        </w:rPr>
        <w:t xml:space="preserve"> </w:t>
      </w:r>
      <w:r>
        <w:rPr>
          <w:rFonts w:hint="eastAsia" w:ascii="宋体" w:hAnsi="宋体" w:eastAsia="宋体" w:cs="宋体"/>
          <w:i w:val="0"/>
          <w:iCs w:val="0"/>
          <w:sz w:val="28"/>
          <w:szCs w:val="28"/>
          <w:u w:val="single"/>
          <w:lang w:val="en-US" w:eastAsia="zh-CN"/>
        </w:rPr>
        <w:t>叁</w:t>
      </w:r>
      <w:r>
        <w:rPr>
          <w:rFonts w:hint="eastAsia" w:ascii="宋体" w:hAnsi="宋体" w:eastAsia="宋体" w:cs="宋体"/>
          <w:i/>
          <w:iCs/>
          <w:sz w:val="28"/>
          <w:szCs w:val="28"/>
          <w:u w:val="single"/>
          <w:lang w:val="en-US" w:eastAsia="zh-CN"/>
        </w:rPr>
        <w:t xml:space="preserve"> </w:t>
      </w:r>
      <w:r>
        <w:rPr>
          <w:rFonts w:hint="eastAsia" w:ascii="宋体" w:hAnsi="宋体" w:eastAsia="宋体" w:cs="宋体"/>
          <w:sz w:val="28"/>
          <w:szCs w:val="28"/>
        </w:rPr>
        <w:t>份，同级财政部门备案</w:t>
      </w:r>
      <w:r>
        <w:rPr>
          <w:rFonts w:hint="eastAsia" w:ascii="宋体" w:hAnsi="宋体" w:eastAsia="宋体" w:cs="宋体"/>
          <w:sz w:val="28"/>
          <w:szCs w:val="28"/>
          <w:u w:val="single"/>
          <w:lang w:val="en-US" w:eastAsia="zh-CN"/>
        </w:rPr>
        <w:t xml:space="preserve"> 壹 </w:t>
      </w:r>
      <w:r>
        <w:rPr>
          <w:rFonts w:hint="eastAsia" w:ascii="宋体" w:hAnsi="宋体" w:eastAsia="宋体" w:cs="宋体"/>
          <w:sz w:val="28"/>
          <w:szCs w:val="28"/>
        </w:rPr>
        <w:t>份，具有同等法律效力。</w:t>
      </w:r>
    </w:p>
    <w:p w14:paraId="71961265">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十五、附件</w:t>
      </w:r>
    </w:p>
    <w:p w14:paraId="24EF1DC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1、采购文件</w:t>
      </w:r>
      <w:bookmarkStart w:id="0" w:name="_GoBack"/>
      <w:bookmarkEnd w:id="0"/>
    </w:p>
    <w:p w14:paraId="06CD985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2、修改澄清文件(若有)</w:t>
      </w:r>
    </w:p>
    <w:p w14:paraId="182DA70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3、响应文件</w:t>
      </w:r>
    </w:p>
    <w:p w14:paraId="09E56A7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4、成交通知书</w:t>
      </w:r>
    </w:p>
    <w:p w14:paraId="1A64942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5、其他</w:t>
      </w:r>
    </w:p>
    <w:p w14:paraId="60C22BA2">
      <w:p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br w:type="page"/>
      </w:r>
    </w:p>
    <w:p w14:paraId="6C7F383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甲方：        （盖章）            甲方：        （盖章）</w:t>
      </w:r>
    </w:p>
    <w:p w14:paraId="47986D0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法定代表人（授权代表签字）：       法定代表人（授权代表</w:t>
      </w:r>
    </w:p>
    <w:p w14:paraId="37C3A76D">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 xml:space="preserve">                    签字）：              </w:t>
      </w:r>
    </w:p>
    <w:p w14:paraId="315E38F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 xml:space="preserve">地址：                            地址：                </w:t>
      </w:r>
    </w:p>
    <w:p w14:paraId="182CFC5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 xml:space="preserve">开户银行：                        开户银行：            </w:t>
      </w:r>
    </w:p>
    <w:p w14:paraId="25FDFAA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 xml:space="preserve">账号：                            账号：                </w:t>
      </w:r>
    </w:p>
    <w:p w14:paraId="5136688D">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 xml:space="preserve">电话：                           电话：                 </w:t>
      </w:r>
    </w:p>
    <w:p w14:paraId="499E778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 xml:space="preserve">传真：                           传真：                 </w:t>
      </w:r>
    </w:p>
    <w:p w14:paraId="19A17208">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签约日期：   年  月  日          签约日期：   年  月  日 </w:t>
      </w:r>
    </w:p>
    <w:p w14:paraId="6D1B88F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p>
    <w:p w14:paraId="7D1F63C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4E440C"/>
    <w:rsid w:val="27E93563"/>
    <w:rsid w:val="2D4E440C"/>
    <w:rsid w:val="532F46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2"/>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2386</Words>
  <Characters>2405</Characters>
  <Lines>0</Lines>
  <Paragraphs>0</Paragraphs>
  <TotalTime>1</TotalTime>
  <ScaleCrop>false</ScaleCrop>
  <LinksUpToDate>false</LinksUpToDate>
  <CharactersWithSpaces>2781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2025-05-26T06:04:00Z</dcterms:created>
  <dc:creator>向阳</dc:creator>
  <cp:lastModifiedBy>向阳</cp:lastModifiedBy>
  <dcterms:modified xsi:type="dcterms:W3CDTF">2025-05-26T07:51:30Z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1834BEB04DE14FAABA337AC5EFEC7379_11</vt:lpwstr>
  </property>
  <property fmtid="{D5CDD505-2E9C-101B-9397-08002B2CF9AE}" pid="4" name="KSOTemplateDocerSaveRecord">
    <vt:lpwstr>eyJoZGlkIjoiNzk1ZTU4YjNjOGI3MzhhYTkxZmI3NzRmY2VhYmU5MTIiLCJ1c2VySWQiOiI5MDUwMzI5NTYifQ==</vt:lpwstr>
  </property>
</Properties>
</file>