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版本号：SXXZ-CS-202505011.1B220250709001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陕西新材料产业海外知识产权预警研究(三次)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SXXZ-CS-202505011.1B2</w:t>
      </w:r>
      <w:r>
        <w:br/>
      </w:r>
      <w:r>
        <w:br/>
      </w:r>
      <w:r>
        <w:br/>
      </w:r>
    </w:p>
    <w:p>
      <w:pPr>
        <w:pStyle w:val="null3"/>
        <w:jc w:val="center"/>
        <w:outlineLvl w:val="2"/>
      </w:pPr>
      <w:r>
        <w:rPr>
          <w:rFonts w:ascii="仿宋_GB2312" w:hAnsi="仿宋_GB2312" w:cs="仿宋_GB2312" w:eastAsia="仿宋_GB2312"/>
          <w:sz w:val="28"/>
          <w:b/>
        </w:rPr>
        <w:t>陕西省知识产权保护中心</w:t>
      </w:r>
    </w:p>
    <w:p>
      <w:pPr>
        <w:pStyle w:val="null3"/>
        <w:jc w:val="center"/>
        <w:outlineLvl w:val="2"/>
      </w:pPr>
      <w:r>
        <w:rPr>
          <w:rFonts w:ascii="仿宋_GB2312" w:hAnsi="仿宋_GB2312" w:cs="仿宋_GB2312" w:eastAsia="仿宋_GB2312"/>
          <w:sz w:val="28"/>
          <w:b/>
        </w:rPr>
        <w:t>陕西晓筑项目管理有限公司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陕西晓筑项目管理有限公司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陕西省知识产权保护中心</w:t>
      </w:r>
      <w:r>
        <w:rPr>
          <w:rFonts w:ascii="仿宋_GB2312" w:hAnsi="仿宋_GB2312" w:cs="仿宋_GB2312" w:eastAsia="仿宋_GB2312"/>
        </w:rPr>
        <w:t>委托，拟对</w:t>
      </w:r>
      <w:r>
        <w:rPr>
          <w:rFonts w:ascii="仿宋_GB2312" w:hAnsi="仿宋_GB2312" w:cs="仿宋_GB2312" w:eastAsia="仿宋_GB2312"/>
        </w:rPr>
        <w:t>陕西新材料产业海外知识产权预警研究(三次)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SXXZ-CS-202505011.1B2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陕西新材料产业海外知识产权预警研究(三次)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开展陕西新材料产业领域海外知识产权预警分析，结合政策支持导向和产业发展实际，对国内外新材料产业内关键技术领域的专利进行预警分析，排查陕西省重点企业、链主企业相关产品存在的风险点，推动企业自主知识产权产品研发进程。对国外龙头企业在中国专利布局进行分析。 2.开展陕西新材料产业领域知识产权海外布局研究，结合陕西省新材料产业技术布局现状和技术发展情况，制定陕西新材料产业领域知识产权海外布局方案，推动形成一批市场发展前景好、竞争力强的高价值发明专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采购包1（陕西新材料产业海外知识产权预警研究）：属于专门面向中小企业采购。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pPr>
        <w:pStyle w:val="null3"/>
      </w:pPr>
      <w:r>
        <w:rPr>
          <w:rFonts w:ascii="仿宋_GB2312" w:hAnsi="仿宋_GB2312" w:cs="仿宋_GB2312" w:eastAsia="仿宋_GB2312"/>
        </w:rPr>
        <w:t>2、信誉：投标人不得列入“中国执行信息公开网”网站被列为失 信被执行人、“信用中国”网站重大税收违法失信主体及“中国政府采购网”（http://www.ccgp.gov.cn/）政府采购严重违法失信行为记录名单。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西安市未央区沣东自贸新天地2A座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029-85719689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陕西晓筑项目管理有限公司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陕西省西安市曲江新区翠华路275号电信科学技术第四研究所院内30栋1层101室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02989549424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国家发展改革委员会办公厅颁发的《关于招标代理服务收费有关问题的通知》（发改办价格[2003]857号）的标准收取，本项目最低收费8000.00元，不足捌仟按捌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陕西省知识产权保护中心</w:t>
      </w:r>
      <w:r>
        <w:rPr>
          <w:rFonts w:ascii="仿宋_GB2312" w:hAnsi="仿宋_GB2312" w:cs="仿宋_GB2312" w:eastAsia="仿宋_GB2312"/>
        </w:rPr>
        <w:t>和</w:t>
      </w:r>
      <w:r>
        <w:rPr>
          <w:rFonts w:ascii="仿宋_GB2312" w:hAnsi="仿宋_GB2312" w:cs="仿宋_GB2312" w:eastAsia="仿宋_GB2312"/>
        </w:rPr>
        <w:t>陕西晓筑项目管理有限公司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陕西晓筑项目管理有限公司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陕西晓筑项目管理有限公司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联系人：刘帅</w:t>
      </w:r>
    </w:p>
    <w:p>
      <w:pPr>
        <w:pStyle w:val="null3"/>
      </w:pPr>
      <w:r>
        <w:rPr>
          <w:rFonts w:ascii="仿宋_GB2312" w:hAnsi="仿宋_GB2312" w:cs="仿宋_GB2312" w:eastAsia="仿宋_GB2312"/>
        </w:rPr>
        <w:t>联系电话：029-89549424</w:t>
      </w:r>
    </w:p>
    <w:p>
      <w:pPr>
        <w:pStyle w:val="null3"/>
      </w:pPr>
      <w:r>
        <w:rPr>
          <w:rFonts w:ascii="仿宋_GB2312" w:hAnsi="仿宋_GB2312" w:cs="仿宋_GB2312" w:eastAsia="仿宋_GB2312"/>
        </w:rPr>
        <w:t>地址：陕西省西安市曲江新区275号电信科学技术第四研究所内30栋1层101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开展陕西新材料产业领域海外知识产权预警分析，结合政策支持导向和产业发展实际，对国内外新材料产业内关键技术领域的专利进行预警分析，排查陕西省重点企业、链主企业相关产品存在的风险点，推动企业自主知识产权产品研发进程。对国外龙头企业在中国专利布局进行分析。 2.开展陕西新材料产业领域知识产权海外布局研究，结合陕西省新材料产业技术布局现状和技术发展情况，制定陕西新材料产业领域知识产权海外布局方案，推动形成一批市场发展前景好、竞争力强的高价值发明专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陕西新材料产业海外知识产权预警研究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标的名称：陕西新材料产业海外知识产权预警研究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（一）项目内容</w:t>
            </w:r>
          </w:p>
          <w:p>
            <w:pPr>
              <w:pStyle w:val="null3"/>
            </w:pPr>
            <w:r>
              <w:rPr>
                <w:rFonts w:ascii="仿宋_GB2312" w:hAnsi="仿宋_GB2312" w:cs="仿宋_GB2312" w:eastAsia="仿宋_GB2312"/>
              </w:rPr>
              <w:t>1.</w:t>
            </w:r>
            <w:r>
              <w:rPr>
                <w:rFonts w:ascii="仿宋_GB2312" w:hAnsi="仿宋_GB2312" w:cs="仿宋_GB2312" w:eastAsia="仿宋_GB2312"/>
              </w:rPr>
              <w:t>开展陕西新材料产业领域海外知识产权预警分析，结合政策支持导向和产业发展实际，对国内外新材料产业内关键技术领域的专利进行预警分析，排查陕西省重点企业、链主企业相关产品存在的风险点，推动企业自主知识产权产品研发进程。对国外龙头企业在中国专利布局进行分析。</w:t>
            </w:r>
          </w:p>
          <w:p>
            <w:pPr>
              <w:pStyle w:val="null3"/>
            </w:pPr>
            <w:r>
              <w:rPr>
                <w:rFonts w:ascii="仿宋_GB2312" w:hAnsi="仿宋_GB2312" w:cs="仿宋_GB2312" w:eastAsia="仿宋_GB2312"/>
              </w:rPr>
              <w:t>2.</w:t>
            </w:r>
            <w:r>
              <w:rPr>
                <w:rFonts w:ascii="仿宋_GB2312" w:hAnsi="仿宋_GB2312" w:cs="仿宋_GB2312" w:eastAsia="仿宋_GB2312"/>
              </w:rPr>
              <w:t>开展陕西新材料产业领域知识产权海外布局研究，结合陕西省新材料产业技术布局现状和技术发展情况，制定陕西新材料产业领域知识产权海外布局方案，推动形成一批市场发展前景好、竞争力强的高价值发明专利。</w:t>
            </w:r>
          </w:p>
          <w:p>
            <w:pPr>
              <w:pStyle w:val="null3"/>
            </w:pPr>
            <w:r>
              <w:rPr>
                <w:rFonts w:ascii="仿宋_GB2312" w:hAnsi="仿宋_GB2312" w:cs="仿宋_GB2312" w:eastAsia="仿宋_GB2312"/>
              </w:rPr>
              <w:t>（二）预期成果</w:t>
            </w:r>
          </w:p>
          <w:p>
            <w:pPr>
              <w:pStyle w:val="null3"/>
            </w:pPr>
            <w:r>
              <w:rPr>
                <w:rFonts w:ascii="仿宋_GB2312" w:hAnsi="仿宋_GB2312" w:cs="仿宋_GB2312" w:eastAsia="仿宋_GB2312"/>
              </w:rPr>
              <w:t>完成陕西新材料产业海外知识产权预警研究，内容包括：</w:t>
            </w:r>
          </w:p>
          <w:p>
            <w:pPr>
              <w:pStyle w:val="null3"/>
            </w:pPr>
            <w:r>
              <w:rPr>
                <w:rFonts w:ascii="仿宋_GB2312" w:hAnsi="仿宋_GB2312" w:cs="仿宋_GB2312" w:eastAsia="仿宋_GB2312"/>
              </w:rPr>
              <w:t>《陕西新材料产业海外知识产权预警分析报告》</w:t>
            </w:r>
          </w:p>
          <w:p>
            <w:pPr>
              <w:pStyle w:val="null3"/>
            </w:pPr>
            <w:r>
              <w:rPr>
                <w:rFonts w:ascii="仿宋_GB2312" w:hAnsi="仿宋_GB2312" w:cs="仿宋_GB2312" w:eastAsia="仿宋_GB2312"/>
              </w:rPr>
              <w:t>《陕西新材料产业海外知识产权布局方案》</w:t>
            </w:r>
          </w:p>
          <w:p>
            <w:pPr>
              <w:pStyle w:val="null3"/>
            </w:pPr>
            <w:r>
              <w:rPr>
                <w:rFonts w:ascii="仿宋_GB2312" w:hAnsi="仿宋_GB2312" w:cs="仿宋_GB2312" w:eastAsia="仿宋_GB2312"/>
              </w:rPr>
              <w:t>陕西新材料产业海外知识产权风险专利可视化监测预警系统。（每月维护及更新）</w:t>
            </w:r>
          </w:p>
          <w:p>
            <w:pPr>
              <w:pStyle w:val="null3"/>
            </w:pPr>
            <w:r>
              <w:rPr>
                <w:rFonts w:ascii="仿宋_GB2312" w:hAnsi="仿宋_GB2312" w:cs="仿宋_GB2312" w:eastAsia="仿宋_GB2312"/>
              </w:rPr>
              <w:t>在项目实施期间提供至少3期《新材料产业主要国家和地区知识产权诉讼动态监控简报》，主要内容包括：1、知识产权相关法律法规修改动态；2、知识产权保护政策调整动态；3、典型知识产权诉讼案例及判例动态</w:t>
            </w:r>
          </w:p>
          <w:p>
            <w:pPr>
              <w:pStyle w:val="null3"/>
            </w:pPr>
            <w:r>
              <w:rPr>
                <w:rFonts w:ascii="仿宋_GB2312" w:hAnsi="仿宋_GB2312" w:cs="仿宋_GB2312" w:eastAsia="仿宋_GB2312"/>
              </w:rPr>
              <w:t>（三）项目要求</w:t>
            </w:r>
          </w:p>
          <w:p>
            <w:pPr>
              <w:pStyle w:val="null3"/>
            </w:pPr>
            <w:r>
              <w:rPr>
                <w:rFonts w:ascii="仿宋_GB2312" w:hAnsi="仿宋_GB2312" w:cs="仿宋_GB2312" w:eastAsia="仿宋_GB2312"/>
              </w:rPr>
              <w:t>1.</w:t>
            </w:r>
            <w:r>
              <w:rPr>
                <w:rFonts w:ascii="仿宋_GB2312" w:hAnsi="仿宋_GB2312" w:cs="仿宋_GB2312" w:eastAsia="仿宋_GB2312"/>
              </w:rPr>
              <w:t>质量要求</w:t>
            </w:r>
          </w:p>
          <w:p>
            <w:pPr>
              <w:pStyle w:val="null3"/>
            </w:pPr>
            <w:r>
              <w:rPr>
                <w:rFonts w:ascii="仿宋_GB2312" w:hAnsi="仿宋_GB2312" w:cs="仿宋_GB2312" w:eastAsia="仿宋_GB2312"/>
              </w:rPr>
              <w:t>严格按照国家法律法规或技术标准的规定要求，专业、全面、深入开展相关工作。</w:t>
            </w:r>
          </w:p>
          <w:p>
            <w:pPr>
              <w:pStyle w:val="null3"/>
            </w:pPr>
            <w:r>
              <w:rPr>
                <w:rFonts w:ascii="仿宋_GB2312" w:hAnsi="仿宋_GB2312" w:cs="仿宋_GB2312" w:eastAsia="仿宋_GB2312"/>
              </w:rPr>
              <w:t>2.</w:t>
            </w:r>
            <w:r>
              <w:rPr>
                <w:rFonts w:ascii="仿宋_GB2312" w:hAnsi="仿宋_GB2312" w:cs="仿宋_GB2312" w:eastAsia="仿宋_GB2312"/>
              </w:rPr>
              <w:t>安全要求</w:t>
            </w:r>
          </w:p>
          <w:p>
            <w:pPr>
              <w:pStyle w:val="null3"/>
            </w:pPr>
            <w:r>
              <w:rPr>
                <w:rFonts w:ascii="仿宋_GB2312" w:hAnsi="仿宋_GB2312" w:cs="仿宋_GB2312" w:eastAsia="仿宋_GB2312"/>
              </w:rPr>
              <w:t>项目所涉相关信息需严格保密。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有完善的项目管理团队，整个项目的实施组织机构、人员安排有具体方案，配置齐全、分工合理、责任明确，项目实施人员具备工作经验等。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2025年11月30日之前完成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交付的服务内容与响应文件、竞争性磋商文件等所指明的，或者与本合同所指明的服务内容相一致。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产品及服务，质量不能满足采购要求，乙方必须无条件更换，否则，甲方会同鉴证方有权终止合同，并对乙方的违约行为进行追究，同时按《政府采购法》和陕西省政府采购供应商管理办法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（1）投标人合法注册的法人或其他组织的营业执照等证明文件，自然人的身份证明 。（2）具有良好的商业信誉和健全的财务会计制度的证明材料（须提供 2023 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)。（3）社会保障资金缴纳证明：提供截止至磋商时间前六个月内任一个月份的社会保障资金缴存单据或社保机构开具的社会保险参保缴费情况证明，依法不需要缴纳社会保障资金的单位应提供相关证明材料。 （4）税收缴纳证明：提供截止至磋商时间前六个月内任一个月份的纳税证明或完税证明，纳税证明或完税证明上应有代收机构或税务机关的公章或业务专用章。依法免税的供应商应提供相关文件证明。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 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对本项目理解从现状及发展目标分析出发，理解的准确、分析到位，深刻，切实可行得完全满足采购人需求得 [7-10]分； 对本项目理解深度一般，分析基本到位，满足采购人需求得 [3-7）分； 对项目分析理解一般，基本满足采购人需求得[0-3）分；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服务方案完整性可操作性包括： 服务方案先进、方案周密、思路清晰合理、可操作性、科学性强，任务明确，得[7-10]分； 总体服务方案完整、具有可操作性、科学性，任务较为明确、得[3-7）分； 总体服务方案一般、具有一定的操作性、科学性较弱，任务不明确、得[0-3）分； 服务方案较差，有重大缺陷的不得分。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供应商针对本项目的工作计划有合理的阶段划分，各阶段有明确的工作目标和可行的时间进度安排，可以确保工作优质、高效、如期完成，根据供应商提供的方案进行综合评分。内容详细、合理、满足采购需求根据响应程度得分，优良：[4-5]分，较好：[2-4）分，一般：[0-2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供应商在响应文件中提供针对本项目的质量保障方案，能够提出全面可行的安全保障措施。 保障方案能够完全满足采购需求中的要求，得[7-10]分； 保障方案能够基本满足采购需求中的要求，得[3-7）分； 保障方案一般，得[1-3）分；未提供不得分。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供应商提供针对本项目服务团队组织架构、人员构成、服务经验、服务能力等。 1.团队负责人具备正高级职称，或具备5年及以上专利导航经验，得4分； 2.团队人员持有专利代理师资格证的，每人得1分，最高得4分； 3.团队人员参与国家标准制定工作，得4分； 4.团队人员的专业领域包括化学、机械、物理三种专业类型得3分，包括两种专业类型得2分，仅包括一种专业类型得1分，最高得3分；提供证明材料，未提供不得分。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拟派人员一览表.docx</w:t>
            </w:r>
          </w:p>
          <w:p>
            <w:pPr>
              <w:pStyle w:val="null3"/>
            </w:pPr>
            <w:r>
              <w:rPr>
                <w:rFonts w:ascii="仿宋_GB2312" w:hAnsi="仿宋_GB2312" w:cs="仿宋_GB2312" w:eastAsia="仿宋_GB2312"/>
              </w:rPr>
              <w:t>项目负责人简历表.docx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为本项目制定完整可行的安全保密措施，具备完善的内部保密制度、保密措施。 制度完善，措施合理可行，把控严格得 [4-5]分； 制度完整，措施可行得 [2-4）分； 保密制度和措施简单得[0-2）分；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根据各供应商的响应文件中提出创新、创优等合理化建议等相关内容按差别计分，优计[4-5]分，良计[2-4），一般计[1-2）分。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供应商能够完成本项目工作的服务承诺，包括不限于优惠承诺、无条件修改调整方案承诺、服务保证承诺、工作效率承诺等，服务承诺内容详尽、描述清晰；评标委员会自主赋分1-10分。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供应商提供近三年（2022年1月至今，以合同签订时间为准）的同类型服务采购类似业绩，每提供一个计5分，满分10分。（须在竞争性磋商响应文件格式中提供合同的复印件加盖公章，否则不计分。）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企业荣誉和评价</w:t>
            </w:r>
          </w:p>
        </w:tc>
        <w:tc>
          <w:tcPr>
            <w:tcW w:type="dxa" w:w="2492"/>
          </w:tcPr>
          <w:p>
            <w:pPr>
              <w:pStyle w:val="null3"/>
            </w:pPr>
            <w:r>
              <w:rPr>
                <w:rFonts w:ascii="仿宋_GB2312" w:hAnsi="仿宋_GB2312" w:cs="仿宋_GB2312" w:eastAsia="仿宋_GB2312"/>
              </w:rPr>
              <w:t>1.获得省级及以上政府部门或者行业协会颁布的知识产权服务相关荣誉奖项，每个得2分，最高得6分；2.得到用户好评，并提供有用户好评证明文件；每个得2分，最高得4分; 提供证明材料，未提供不得分。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因本项目为专门面向中小企业采购项目，不再享受价格评审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详见附件：项目负责人简历表.docx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详见附件：陕西新材料产业海外知识产权预警研究项目合同书2025.5.26.docx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