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版本号：THXZB2025—104120250709001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陕西省全民健康信息平台基础资源环境年度运维项目(二次)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THXZB2025—1041</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陕西省全民健康信息平台基础资源环境年度运维项目(二次)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陕西省全民健康信息平台基础资源环境年度运维项目(二次)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要求完成以下服务：省级全民健康信息平台基础环境运维及技术支持，为全民健康信息平台提供国家、省、市、区县四级互联互通提供网络技术支持工作，为全民健康信息平台硬件资产提供质保和维修服务，为VPN专网提供运维服务工作，为三秦数字健康公众服务提供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采购包1（陕西省全民健康信息平台基础资源环境年度运维项目）：属于专门面向中小企业采购。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法定代表人证明书，法定代表人授权代表参加投标的，须出具法定代表人证明书及授权书、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要求供应商提供查询截图，以磋商当天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13572251701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30%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要求完成以下服务：省级全民健康信息平台基础环境运维及技术支持，为全民健康信息平台提供国家、省、市、区县四级互联互通提供网络技术支持工作，为全民健康信息平台硬件资产提供质保和维修服务，为VPN专网提供运维服务工作，为三秦数字健康公众服务提供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基础资源环境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标的名称：基础资源环境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项目目标</w:t>
            </w:r>
          </w:p>
          <w:p>
            <w:pPr>
              <w:pStyle w:val="null3"/>
              <w:ind w:firstLine="480"/>
              <w:jc w:val="both"/>
            </w:pPr>
            <w:r>
              <w:rPr>
                <w:rFonts w:ascii="仿宋_GB2312" w:hAnsi="仿宋_GB2312" w:cs="仿宋_GB2312" w:eastAsia="仿宋_GB2312"/>
                <w:sz w:val="24"/>
              </w:rPr>
              <w:t>1、陕西省全民健康信息平台相关的主机设备、操作系统、数据库和存储设备的运行维护服务，保证用户现有的平台及各个业务系统的正常运行，降低整体管理成本。提高平台及业务系统的整体服务水平。</w:t>
            </w:r>
          </w:p>
          <w:p>
            <w:pPr>
              <w:pStyle w:val="null3"/>
              <w:ind w:firstLine="480"/>
              <w:jc w:val="both"/>
            </w:pPr>
            <w:r>
              <w:rPr>
                <w:rFonts w:ascii="仿宋_GB2312" w:hAnsi="仿宋_GB2312" w:cs="仿宋_GB2312" w:eastAsia="仿宋_GB2312"/>
                <w:sz w:val="24"/>
              </w:rPr>
              <w:t>2、根据日常维护的数据和记录，提供整体建设规划和建议，更好的为用户的信息化发展提供有力的保障。</w:t>
            </w:r>
          </w:p>
          <w:p>
            <w:pPr>
              <w:pStyle w:val="null3"/>
              <w:ind w:firstLine="480"/>
              <w:jc w:val="both"/>
            </w:pPr>
            <w:r>
              <w:rPr>
                <w:rFonts w:ascii="仿宋_GB2312" w:hAnsi="仿宋_GB2312" w:cs="仿宋_GB2312" w:eastAsia="仿宋_GB2312"/>
                <w:sz w:val="24"/>
              </w:rPr>
              <w:t>3、省平台的组成主要可分为两类：硬件设备和软件系统。硬件设备包括网络设备、安全设备、主机设备、存储设备等；软件系统可分为系统软件、业务应用软件；系统软件指：操作系统软件、典型应用软件（如：数据库软件、中间件软件等）、业务应用软件指医疗服务、公共卫生、妇幼健康、老龄健康、疾病预防、综合管理等方面业务信息系统。</w:t>
            </w:r>
          </w:p>
          <w:p>
            <w:pPr>
              <w:pStyle w:val="null3"/>
              <w:ind w:firstLine="480"/>
              <w:jc w:val="both"/>
            </w:pPr>
            <w:r>
              <w:rPr>
                <w:rFonts w:ascii="仿宋_GB2312" w:hAnsi="仿宋_GB2312" w:cs="仿宋_GB2312" w:eastAsia="仿宋_GB2312"/>
                <w:sz w:val="24"/>
              </w:rPr>
              <w:t>4、通过运行维护服务的有效管理来提升省平台的服务效率，协调各业务应用系统的内部运作，改善管理部门与业务部门的沟通，提高服务质量。结合用户现有的环境、组织结构、IT资源和管理流程的特点，从流程、人员和技术三方面来规划用户的的结构。将用户的运行目标、业务需求与IT服务的相协调一致。</w:t>
            </w:r>
          </w:p>
          <w:p>
            <w:pPr>
              <w:pStyle w:val="null3"/>
              <w:ind w:firstLine="480"/>
              <w:jc w:val="both"/>
            </w:pPr>
            <w:r>
              <w:rPr>
                <w:rFonts w:ascii="仿宋_GB2312" w:hAnsi="仿宋_GB2312" w:cs="仿宋_GB2312" w:eastAsia="仿宋_GB2312"/>
                <w:sz w:val="24"/>
              </w:rPr>
              <w:t>5、对用户现有的省平台基础资源进行监控和管理，及时掌握省平台系统资源现状和配置信息，反映省平台基础资源的可用性情况和健康状况，创建一个可知可控的IT环境，从而保证用户信息系统的各类业务应用系统的可靠、高效、持续、安全运行。</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、项目原则</w:t>
            </w:r>
          </w:p>
          <w:p>
            <w:pPr>
              <w:pStyle w:val="null3"/>
              <w:ind w:firstLine="480"/>
              <w:jc w:val="both"/>
            </w:pPr>
            <w:r>
              <w:rPr>
                <w:rFonts w:ascii="仿宋_GB2312" w:hAnsi="仿宋_GB2312" w:cs="仿宋_GB2312" w:eastAsia="仿宋_GB2312"/>
                <w:sz w:val="24"/>
              </w:rPr>
              <w:t>“保重点、保基础、促发展”原则，即：保证省平台重点业务业务系统正常运行；保证省级平台基础</w:t>
            </w:r>
            <w:r>
              <w:rPr>
                <w:rFonts w:ascii="仿宋_GB2312" w:hAnsi="仿宋_GB2312" w:cs="仿宋_GB2312" w:eastAsia="仿宋_GB2312"/>
                <w:sz w:val="24"/>
              </w:rPr>
              <w:t>环境</w:t>
            </w:r>
            <w:r>
              <w:rPr>
                <w:rFonts w:ascii="仿宋_GB2312" w:hAnsi="仿宋_GB2312" w:cs="仿宋_GB2312" w:eastAsia="仿宋_GB2312"/>
                <w:sz w:val="24"/>
              </w:rPr>
              <w:t>、数据互联互通、平台对接、</w:t>
            </w:r>
            <w:r>
              <w:rPr>
                <w:rFonts w:ascii="仿宋_GB2312" w:hAnsi="仿宋_GB2312" w:cs="仿宋_GB2312" w:eastAsia="仿宋_GB2312"/>
                <w:sz w:val="24"/>
              </w:rPr>
              <w:t>VPN专网</w:t>
            </w:r>
            <w:r>
              <w:rPr>
                <w:rFonts w:ascii="仿宋_GB2312" w:hAnsi="仿宋_GB2312" w:cs="仿宋_GB2312" w:eastAsia="仿宋_GB2312"/>
                <w:sz w:val="24"/>
              </w:rPr>
              <w:t>、</w:t>
            </w:r>
            <w:r>
              <w:rPr>
                <w:rFonts w:ascii="仿宋_GB2312" w:hAnsi="仿宋_GB2312" w:cs="仿宋_GB2312" w:eastAsia="仿宋_GB2312"/>
                <w:sz w:val="24"/>
              </w:rPr>
              <w:t>三秦数字健康公众服务等</w:t>
            </w:r>
            <w:r>
              <w:rPr>
                <w:rFonts w:ascii="仿宋_GB2312" w:hAnsi="仿宋_GB2312" w:cs="仿宋_GB2312" w:eastAsia="仿宋_GB2312"/>
                <w:sz w:val="24"/>
              </w:rPr>
              <w:t>基础性运维开展；促进互联网</w:t>
            </w:r>
            <w:r>
              <w:rPr>
                <w:rFonts w:ascii="仿宋_GB2312" w:hAnsi="仿宋_GB2312" w:cs="仿宋_GB2312" w:eastAsia="仿宋_GB2312"/>
                <w:sz w:val="24"/>
              </w:rPr>
              <w:t>+医疗健康便民惠民和县域远程医疗服务等重大事项贯彻落实。</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、项目范围</w:t>
            </w:r>
          </w:p>
          <w:p>
            <w:pPr>
              <w:pStyle w:val="null3"/>
              <w:ind w:firstLine="480"/>
              <w:jc w:val="both"/>
            </w:pPr>
            <w:r>
              <w:rPr>
                <w:rFonts w:ascii="仿宋_GB2312" w:hAnsi="仿宋_GB2312" w:cs="仿宋_GB2312" w:eastAsia="仿宋_GB2312"/>
                <w:sz w:val="24"/>
              </w:rPr>
              <w:t>为保障全民健康信息平台稳定运行，提供安全、可靠的基础资源环境，保障平台软硬件及业务系统的安全稳定运行，遵循</w:t>
            </w:r>
            <w:r>
              <w:rPr>
                <w:rFonts w:ascii="仿宋_GB2312" w:hAnsi="仿宋_GB2312" w:cs="仿宋_GB2312" w:eastAsia="仿宋_GB2312"/>
                <w:sz w:val="24"/>
              </w:rPr>
              <w:t>IT运维服务管理的国际最佳实践和ISO20000、ISO27001的标准，按照统一的服务管理流程，为全民健康信息平台提供专业、高效、及时、统一的运维服务。省平台的运维范围包含：硬件设备和软件系统。硬件设备包括网络设备、安全设备、主机设备、存储设备等；软件系统可分为系统软件、业务应用软件；系统软件指：操作系统软件、典型应用软件（如：数据库软件、中间件软件等）、业务应用软件指医疗服务、公共卫生、妇幼健康、老龄健康、疾病预防、综合管理等方面业务信息系统。</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、项目内容</w:t>
            </w:r>
          </w:p>
          <w:p>
            <w:pPr>
              <w:pStyle w:val="null3"/>
              <w:ind w:firstLine="480"/>
              <w:jc w:val="both"/>
            </w:pPr>
            <w:r>
              <w:rPr>
                <w:rFonts w:ascii="仿宋_GB2312" w:hAnsi="仿宋_GB2312" w:cs="仿宋_GB2312" w:eastAsia="仿宋_GB2312"/>
                <w:sz w:val="24"/>
              </w:rPr>
              <w:t>1、陕西省全民健康信息平台的运行维护及数据互联互通工作。</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1）陕西省全民健康信息系统的运行维护信息资产统计服务：帮助对用户现有的信息资产情况进行了解，更好的提供系统的运行维护服务。服务内容包括：</w:t>
            </w:r>
          </w:p>
          <w:p>
            <w:pPr>
              <w:pStyle w:val="null3"/>
              <w:ind w:firstLine="480"/>
              <w:jc w:val="both"/>
            </w:pPr>
            <w:r>
              <w:rPr>
                <w:rFonts w:ascii="仿宋_GB2312" w:hAnsi="仿宋_GB2312" w:cs="仿宋_GB2312" w:eastAsia="仿宋_GB2312"/>
                <w:sz w:val="24"/>
              </w:rPr>
              <w:t>a、硬件设备型号、数量、版本等信息统计记录</w:t>
            </w:r>
          </w:p>
          <w:p>
            <w:pPr>
              <w:pStyle w:val="null3"/>
              <w:ind w:firstLine="480"/>
              <w:jc w:val="both"/>
            </w:pPr>
            <w:r>
              <w:rPr>
                <w:rFonts w:ascii="仿宋_GB2312" w:hAnsi="仿宋_GB2312" w:cs="仿宋_GB2312" w:eastAsia="仿宋_GB2312"/>
                <w:sz w:val="24"/>
              </w:rPr>
              <w:t>b、软件产品型号、版本和补丁等信息统计记录</w:t>
            </w:r>
          </w:p>
          <w:p>
            <w:pPr>
              <w:pStyle w:val="null3"/>
              <w:ind w:firstLine="480"/>
              <w:jc w:val="both"/>
            </w:pPr>
            <w:r>
              <w:rPr>
                <w:rFonts w:ascii="仿宋_GB2312" w:hAnsi="仿宋_GB2312" w:cs="仿宋_GB2312" w:eastAsia="仿宋_GB2312"/>
                <w:sz w:val="24"/>
              </w:rPr>
              <w:t>c、网络结构、网络路由、网络IP地址统计记录</w:t>
            </w:r>
          </w:p>
          <w:p>
            <w:pPr>
              <w:pStyle w:val="null3"/>
              <w:ind w:firstLine="480"/>
              <w:jc w:val="both"/>
            </w:pPr>
            <w:r>
              <w:rPr>
                <w:rFonts w:ascii="仿宋_GB2312" w:hAnsi="仿宋_GB2312" w:cs="仿宋_GB2312" w:eastAsia="仿宋_GB2312"/>
                <w:sz w:val="24"/>
              </w:rPr>
              <w:t>d、综合布线系统结构图的绘制</w:t>
            </w:r>
          </w:p>
          <w:p>
            <w:pPr>
              <w:pStyle w:val="null3"/>
              <w:ind w:firstLine="480"/>
              <w:jc w:val="both"/>
            </w:pPr>
            <w:r>
              <w:rPr>
                <w:rFonts w:ascii="仿宋_GB2312" w:hAnsi="仿宋_GB2312" w:cs="仿宋_GB2312" w:eastAsia="仿宋_GB2312"/>
                <w:sz w:val="24"/>
              </w:rPr>
              <w:t>网络、安全系统运维服务：从网络的连通性、网络的性能、网络的监控管理三个方面实现对网络系统的运维管理。基本服务内容：现场备件安装、现场软件升级、现场故障诊断、电话远程技术支持、问题管理系统。</w:t>
            </w:r>
          </w:p>
          <w:p>
            <w:pPr>
              <w:pStyle w:val="null3"/>
              <w:jc w:val="both"/>
            </w:pPr>
            <w:r>
              <w:rPr>
                <w:rFonts w:ascii="仿宋_GB2312" w:hAnsi="仿宋_GB2312" w:cs="仿宋_GB2312" w:eastAsia="仿宋_GB2312"/>
                <w:sz w:val="24"/>
              </w:rPr>
              <w:t>主机、存储系统运维服务：主机、存储设备的日常监控，设备的运行状态监控，故障技术支持等内容。</w:t>
            </w:r>
          </w:p>
          <w:p>
            <w:pPr>
              <w:pStyle w:val="null3"/>
              <w:ind w:firstLine="480"/>
              <w:jc w:val="both"/>
            </w:pPr>
            <w:r>
              <w:rPr>
                <w:rFonts w:ascii="仿宋_GB2312" w:hAnsi="仿宋_GB2312" w:cs="仿宋_GB2312" w:eastAsia="仿宋_GB2312"/>
                <w:sz w:val="24"/>
              </w:rPr>
              <w:t>数据库系统运维服务：为数据库系统提供技术支持服务，管理数据库的日常运行状态，识别数据库的性能问题，主动地预防可能发生的问题。数据库运行维护服务还包括快速发现、诊断和解决性能问题，在出现问题时，及时找出性能瓶颈，解决数据库性能问题，维护高效的应用系统。</w:t>
            </w:r>
          </w:p>
          <w:p>
            <w:pPr>
              <w:pStyle w:val="null3"/>
              <w:ind w:firstLine="480"/>
              <w:jc w:val="both"/>
            </w:pPr>
            <w:r>
              <w:rPr>
                <w:rFonts w:ascii="仿宋_GB2312" w:hAnsi="仿宋_GB2312" w:cs="仿宋_GB2312" w:eastAsia="仿宋_GB2312"/>
                <w:sz w:val="24"/>
              </w:rPr>
              <w:t>中间件运维服务：中间件运维服务是指对</w:t>
            </w:r>
            <w:r>
              <w:rPr>
                <w:rFonts w:ascii="仿宋_GB2312" w:hAnsi="仿宋_GB2312" w:cs="仿宋_GB2312" w:eastAsia="仿宋_GB2312"/>
                <w:sz w:val="24"/>
              </w:rPr>
              <w:t>BEA Weblogic、MQ等中间件的日常技术支持服务和监控工作，确保中间件平台持续稳定运行。中间件运维指标包括配置信息管理、故障健康、性能监控。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2）陕西省全民健康信息平台数据互联互通基础资源运维</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保证区域卫生信息平台完成省市县数据互联互通，省级平台与国家基层综管平台对接工作以及与省政务平台数据对接。</w:t>
            </w:r>
          </w:p>
          <w:p>
            <w:pPr>
              <w:pStyle w:val="null3"/>
              <w:ind w:firstLine="480"/>
              <w:jc w:val="both"/>
            </w:pPr>
            <w:r>
              <w:rPr>
                <w:rFonts w:ascii="仿宋_GB2312" w:hAnsi="仿宋_GB2312" w:cs="仿宋_GB2312" w:eastAsia="仿宋_GB2312"/>
                <w:sz w:val="24"/>
              </w:rPr>
              <w:t>数据交换服务：应采用主流的数据集成中间件，建设与维护省级数据库，应支持同种数据库（同构）和不同种数据库（异构）的数据交换。通过对省级数据库已采集数据的清洗、转换后按照要求的数据标准集中至省中间临时库中。</w:t>
            </w:r>
          </w:p>
          <w:p>
            <w:pPr>
              <w:pStyle w:val="null3"/>
              <w:ind w:firstLine="480"/>
              <w:jc w:val="both"/>
            </w:pPr>
            <w:r>
              <w:rPr>
                <w:rFonts w:ascii="仿宋_GB2312" w:hAnsi="仿宋_GB2312" w:cs="仿宋_GB2312" w:eastAsia="仿宋_GB2312"/>
                <w:sz w:val="24"/>
              </w:rPr>
              <w:t>任务调度监控服务：可设置周期性任务，数据处理过程可以定时周期性自动对任务进行调度，完成数据抽取、转换以及装载。可配置任务告警提示，根据危险级别，生成不同的告警动作。</w:t>
            </w:r>
          </w:p>
          <w:p>
            <w:pPr>
              <w:pStyle w:val="null3"/>
              <w:ind w:firstLine="480"/>
              <w:jc w:val="both"/>
            </w:pPr>
            <w:r>
              <w:rPr>
                <w:rFonts w:ascii="仿宋_GB2312" w:hAnsi="仿宋_GB2312" w:cs="仿宋_GB2312" w:eastAsia="仿宋_GB2312"/>
                <w:sz w:val="24"/>
              </w:rPr>
              <w:t>异构数据库服务：数据采集交换应支持多种主流数据库，包括：</w:t>
            </w:r>
            <w:r>
              <w:rPr>
                <w:rFonts w:ascii="仿宋_GB2312" w:hAnsi="仿宋_GB2312" w:cs="仿宋_GB2312" w:eastAsia="仿宋_GB2312"/>
                <w:sz w:val="24"/>
              </w:rPr>
              <w:t>Oracle、MS SQL Server、MYSQL等；支持多种主流数据库作为数据交换的源库、目标库。</w:t>
            </w:r>
          </w:p>
          <w:p>
            <w:pPr>
              <w:pStyle w:val="null3"/>
              <w:ind w:firstLine="480"/>
              <w:jc w:val="both"/>
            </w:pPr>
            <w:r>
              <w:rPr>
                <w:rFonts w:ascii="仿宋_GB2312" w:hAnsi="仿宋_GB2312" w:cs="仿宋_GB2312" w:eastAsia="仿宋_GB2312"/>
                <w:sz w:val="24"/>
              </w:rPr>
              <w:t>服务要求：应按照《国家基层医疗卫生综合管理平台省级系统联通技术方案》要求，完成与国家平台的对接工作，按要求上传清洗转换后的数据至省中间临时库中。</w:t>
            </w:r>
          </w:p>
          <w:p>
            <w:pPr>
              <w:pStyle w:val="null3"/>
              <w:ind w:firstLine="480"/>
              <w:jc w:val="both"/>
            </w:pPr>
            <w:r>
              <w:rPr>
                <w:rFonts w:ascii="仿宋_GB2312" w:hAnsi="仿宋_GB2312" w:cs="仿宋_GB2312" w:eastAsia="仿宋_GB2312"/>
                <w:sz w:val="24"/>
              </w:rPr>
              <w:t>数据质量要求：数据集中至中间库后，根据国家平台反馈的数据质控报告内容，检查数据、分析原因，并从数据源头解决问题。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陕西省全民健康信息平台</w:t>
            </w:r>
            <w:r>
              <w:rPr>
                <w:rFonts w:ascii="仿宋_GB2312" w:hAnsi="仿宋_GB2312" w:cs="仿宋_GB2312" w:eastAsia="仿宋_GB2312"/>
                <w:sz w:val="24"/>
              </w:rPr>
              <w:t>硬件</w:t>
            </w:r>
            <w:r>
              <w:rPr>
                <w:rFonts w:ascii="仿宋_GB2312" w:hAnsi="仿宋_GB2312" w:cs="仿宋_GB2312" w:eastAsia="仿宋_GB2312"/>
                <w:sz w:val="24"/>
              </w:rPr>
              <w:t>资源</w:t>
            </w:r>
            <w:r>
              <w:rPr>
                <w:rFonts w:ascii="仿宋_GB2312" w:hAnsi="仿宋_GB2312" w:cs="仿宋_GB2312" w:eastAsia="仿宋_GB2312"/>
                <w:sz w:val="24"/>
              </w:rPr>
              <w:t>提供硬件维保服务</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7×24（即每周7天、每天24小时）对</w:t>
            </w:r>
            <w:r>
              <w:rPr>
                <w:rFonts w:ascii="仿宋_GB2312" w:hAnsi="仿宋_GB2312" w:cs="仿宋_GB2312" w:eastAsia="仿宋_GB2312"/>
                <w:sz w:val="24"/>
              </w:rPr>
              <w:t>陕西省全民健康信息平台所有硬件资源提供不少于两次</w:t>
            </w:r>
            <w:r>
              <w:rPr>
                <w:rFonts w:ascii="仿宋_GB2312" w:hAnsi="仿宋_GB2312" w:cs="仿宋_GB2312" w:eastAsia="仿宋_GB2312"/>
                <w:sz w:val="24"/>
              </w:rPr>
              <w:t>现场巡检服务</w:t>
            </w:r>
            <w:r>
              <w:rPr>
                <w:rFonts w:ascii="仿宋_GB2312" w:hAnsi="仿宋_GB2312" w:cs="仿宋_GB2312" w:eastAsia="仿宋_GB2312"/>
                <w:sz w:val="24"/>
              </w:rPr>
              <w:t>，</w:t>
            </w:r>
            <w:r>
              <w:rPr>
                <w:rFonts w:ascii="仿宋_GB2312" w:hAnsi="仿宋_GB2312" w:cs="仿宋_GB2312" w:eastAsia="仿宋_GB2312"/>
                <w:sz w:val="24"/>
              </w:rPr>
              <w:t>发现红灯、蜂鸣声、异味等告警信息，及时上报，并启动应急响应措施。共享备品备件资源库，以便故障设备能及时更换配件或备品，</w:t>
            </w:r>
            <w:r>
              <w:rPr>
                <w:rFonts w:ascii="仿宋_GB2312" w:hAnsi="仿宋_GB2312" w:cs="仿宋_GB2312" w:eastAsia="仿宋_GB2312"/>
                <w:sz w:val="24"/>
              </w:rPr>
              <w:t>硬件故障恢复要求：影响业务恢复期限小于</w:t>
            </w:r>
            <w:r>
              <w:rPr>
                <w:rFonts w:ascii="仿宋_GB2312" w:hAnsi="仿宋_GB2312" w:cs="仿宋_GB2312" w:eastAsia="仿宋_GB2312"/>
                <w:sz w:val="24"/>
              </w:rPr>
              <w:t>24小时。提供必要的硬件版本补丁升级服务（做好升级计划，对业务无影响或影响最小化）</w:t>
            </w:r>
          </w:p>
          <w:p>
            <w:pPr>
              <w:pStyle w:val="null3"/>
              <w:ind w:firstLine="480"/>
              <w:jc w:val="both"/>
            </w:pPr>
            <w:r>
              <w:rPr>
                <w:rFonts w:ascii="仿宋_GB2312" w:hAnsi="仿宋_GB2312" w:cs="仿宋_GB2312" w:eastAsia="仿宋_GB2312"/>
                <w:sz w:val="24"/>
              </w:rPr>
              <w:t>2、VPN</w:t>
            </w:r>
            <w:r>
              <w:rPr>
                <w:rFonts w:ascii="仿宋_GB2312" w:hAnsi="仿宋_GB2312" w:cs="仿宋_GB2312" w:eastAsia="仿宋_GB2312"/>
                <w:sz w:val="24"/>
              </w:rPr>
              <w:t>专网及</w:t>
            </w:r>
            <w:r>
              <w:rPr>
                <w:rFonts w:ascii="仿宋_GB2312" w:hAnsi="仿宋_GB2312" w:cs="仿宋_GB2312" w:eastAsia="仿宋_GB2312"/>
                <w:sz w:val="24"/>
              </w:rPr>
              <w:t>硬件设备运维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1）维护范围</w:t>
            </w:r>
          </w:p>
          <w:p>
            <w:pPr>
              <w:pStyle w:val="null3"/>
              <w:ind w:firstLine="480"/>
              <w:jc w:val="both"/>
            </w:pPr>
            <w:r>
              <w:rPr>
                <w:rFonts w:ascii="仿宋_GB2312" w:hAnsi="仿宋_GB2312" w:cs="仿宋_GB2312" w:eastAsia="仿宋_GB2312"/>
                <w:sz w:val="24"/>
              </w:rPr>
              <w:t>VPN</w:t>
            </w:r>
            <w:r>
              <w:rPr>
                <w:rFonts w:ascii="仿宋_GB2312" w:hAnsi="仿宋_GB2312" w:cs="仿宋_GB2312" w:eastAsia="仿宋_GB2312"/>
                <w:sz w:val="24"/>
              </w:rPr>
              <w:t>设备型号产品</w:t>
            </w:r>
            <w:r>
              <w:rPr>
                <w:rFonts w:ascii="仿宋_GB2312" w:hAnsi="仿宋_GB2312" w:cs="仿宋_GB2312" w:eastAsia="仿宋_GB2312"/>
                <w:sz w:val="24"/>
              </w:rPr>
              <w:t>PN码TV-61330-VONE</w:t>
            </w:r>
            <w:r>
              <w:rPr>
                <w:rFonts w:ascii="仿宋_GB2312" w:hAnsi="仿宋_GB2312" w:cs="仿宋_GB2312" w:eastAsia="仿宋_GB2312"/>
                <w:sz w:val="24"/>
              </w:rPr>
              <w:t>（</w:t>
            </w:r>
            <w:r>
              <w:rPr>
                <w:rFonts w:ascii="仿宋_GB2312" w:hAnsi="仿宋_GB2312" w:cs="仿宋_GB2312" w:eastAsia="仿宋_GB2312"/>
                <w:sz w:val="24"/>
              </w:rPr>
              <w:t>序列号</w:t>
            </w:r>
            <w:r>
              <w:rPr>
                <w:rFonts w:ascii="仿宋_GB2312" w:hAnsi="仿宋_GB2312" w:cs="仿宋_GB2312" w:eastAsia="仿宋_GB2312"/>
                <w:sz w:val="24"/>
              </w:rPr>
              <w:t>Q1606438469</w:t>
            </w:r>
            <w:r>
              <w:rPr>
                <w:rFonts w:ascii="仿宋_GB2312" w:hAnsi="仿宋_GB2312" w:cs="仿宋_GB2312" w:eastAsia="仿宋_GB2312"/>
                <w:sz w:val="24"/>
              </w:rPr>
              <w:t>）、</w:t>
            </w:r>
            <w:r>
              <w:rPr>
                <w:rFonts w:ascii="仿宋_GB2312" w:hAnsi="仿宋_GB2312" w:cs="仿宋_GB2312" w:eastAsia="仿宋_GB2312"/>
                <w:sz w:val="24"/>
              </w:rPr>
              <w:t>产品</w:t>
            </w:r>
            <w:r>
              <w:rPr>
                <w:rFonts w:ascii="仿宋_GB2312" w:hAnsi="仿宋_GB2312" w:cs="仿宋_GB2312" w:eastAsia="仿宋_GB2312"/>
                <w:sz w:val="24"/>
              </w:rPr>
              <w:t>PN码TV-61330-VONE，</w:t>
            </w:r>
            <w:r>
              <w:rPr>
                <w:rFonts w:ascii="仿宋_GB2312" w:hAnsi="仿宋_GB2312" w:cs="仿宋_GB2312" w:eastAsia="仿宋_GB2312"/>
                <w:sz w:val="24"/>
              </w:rPr>
              <w:t>（</w:t>
            </w:r>
            <w:r>
              <w:rPr>
                <w:rFonts w:ascii="仿宋_GB2312" w:hAnsi="仿宋_GB2312" w:cs="仿宋_GB2312" w:eastAsia="仿宋_GB2312"/>
                <w:sz w:val="24"/>
              </w:rPr>
              <w:t>序列号</w:t>
            </w:r>
            <w:r>
              <w:rPr>
                <w:rFonts w:ascii="仿宋_GB2312" w:hAnsi="仿宋_GB2312" w:cs="仿宋_GB2312" w:eastAsia="仿宋_GB2312"/>
                <w:sz w:val="24"/>
              </w:rPr>
              <w:t>Q1708565299</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VPN专网</w:t>
            </w:r>
            <w:r>
              <w:rPr>
                <w:rFonts w:ascii="仿宋_GB2312" w:hAnsi="仿宋_GB2312" w:cs="仿宋_GB2312" w:eastAsia="仿宋_GB2312"/>
                <w:sz w:val="24"/>
              </w:rPr>
              <w:t>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2）服务内容</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7x24小时的实时技术支持响应服务，保修、维护等技术服务，日常运维服务，确保省卫健委所有VPN硬件设备正常运行</w:t>
            </w:r>
            <w:r>
              <w:rPr>
                <w:rFonts w:ascii="仿宋_GB2312" w:hAnsi="仿宋_GB2312" w:cs="仿宋_GB2312" w:eastAsia="仿宋_GB2312"/>
                <w:sz w:val="24"/>
              </w:rPr>
              <w:t>，</w:t>
            </w:r>
            <w:r>
              <w:rPr>
                <w:rFonts w:ascii="仿宋_GB2312" w:hAnsi="仿宋_GB2312" w:cs="仿宋_GB2312" w:eastAsia="仿宋_GB2312"/>
                <w:sz w:val="24"/>
              </w:rPr>
              <w:t>并配合各地市区县做好专网异常处理工作。</w:t>
            </w:r>
          </w:p>
          <w:p>
            <w:pPr>
              <w:pStyle w:val="null3"/>
              <w:ind w:firstLine="480"/>
              <w:jc w:val="both"/>
            </w:pPr>
            <w:r>
              <w:rPr>
                <w:rFonts w:ascii="仿宋_GB2312" w:hAnsi="仿宋_GB2312" w:cs="仿宋_GB2312" w:eastAsia="仿宋_GB2312"/>
                <w:sz w:val="24"/>
              </w:rPr>
              <w:t>设备调试：软硬件的调试等</w:t>
            </w:r>
          </w:p>
          <w:p>
            <w:pPr>
              <w:pStyle w:val="null3"/>
              <w:ind w:firstLine="480"/>
              <w:jc w:val="both"/>
            </w:pPr>
            <w:r>
              <w:rPr>
                <w:rFonts w:ascii="仿宋_GB2312" w:hAnsi="仿宋_GB2312" w:cs="仿宋_GB2312" w:eastAsia="仿宋_GB2312"/>
                <w:sz w:val="24"/>
              </w:rPr>
              <w:t>硬件升级：接口类型升级、接口数量升级等</w:t>
            </w:r>
          </w:p>
          <w:p>
            <w:pPr>
              <w:pStyle w:val="null3"/>
              <w:ind w:firstLine="480"/>
              <w:jc w:val="both"/>
            </w:pPr>
            <w:r>
              <w:rPr>
                <w:rFonts w:ascii="仿宋_GB2312" w:hAnsi="仿宋_GB2312" w:cs="仿宋_GB2312" w:eastAsia="仿宋_GB2312"/>
                <w:sz w:val="24"/>
              </w:rPr>
              <w:t>软件升级：软件版本的升级、功能模块的增加等</w:t>
            </w:r>
          </w:p>
          <w:p>
            <w:pPr>
              <w:pStyle w:val="null3"/>
              <w:ind w:firstLine="480"/>
              <w:jc w:val="both"/>
            </w:pPr>
            <w:r>
              <w:rPr>
                <w:rFonts w:ascii="仿宋_GB2312" w:hAnsi="仿宋_GB2312" w:cs="仿宋_GB2312" w:eastAsia="仿宋_GB2312"/>
                <w:sz w:val="24"/>
              </w:rPr>
              <w:t>设备维护：保养维护技巧、相关资料、注意点等</w:t>
            </w:r>
          </w:p>
          <w:p>
            <w:pPr>
              <w:pStyle w:val="null3"/>
              <w:ind w:firstLine="480"/>
              <w:jc w:val="both"/>
            </w:pPr>
            <w:r>
              <w:rPr>
                <w:rFonts w:ascii="仿宋_GB2312" w:hAnsi="仿宋_GB2312" w:cs="仿宋_GB2312" w:eastAsia="仿宋_GB2312"/>
                <w:sz w:val="24"/>
              </w:rPr>
              <w:t>检测服务：定期的安全检测，及时动态的了解网络的安全状态</w:t>
            </w:r>
          </w:p>
          <w:p>
            <w:pPr>
              <w:pStyle w:val="null3"/>
              <w:ind w:firstLine="480"/>
              <w:jc w:val="both"/>
            </w:pPr>
            <w:r>
              <w:rPr>
                <w:rFonts w:ascii="仿宋_GB2312" w:hAnsi="仿宋_GB2312" w:cs="仿宋_GB2312" w:eastAsia="仿宋_GB2312"/>
                <w:sz w:val="24"/>
              </w:rPr>
              <w:t>安全政策维护：根据安全需求的变化及时调整安全控制策略</w:t>
            </w:r>
          </w:p>
          <w:p>
            <w:pPr>
              <w:pStyle w:val="null3"/>
              <w:ind w:firstLine="480"/>
              <w:jc w:val="both"/>
            </w:pPr>
            <w:r>
              <w:rPr>
                <w:rFonts w:ascii="仿宋_GB2312" w:hAnsi="仿宋_GB2312" w:cs="仿宋_GB2312" w:eastAsia="仿宋_GB2312"/>
                <w:sz w:val="24"/>
              </w:rPr>
              <w:t>安全审计：定期检查日志信息，分析网络的应用状况是否安全</w:t>
            </w:r>
          </w:p>
          <w:p>
            <w:pPr>
              <w:pStyle w:val="null3"/>
              <w:ind w:firstLine="480"/>
              <w:jc w:val="both"/>
            </w:pPr>
            <w:r>
              <w:rPr>
                <w:rFonts w:ascii="仿宋_GB2312" w:hAnsi="仿宋_GB2312" w:cs="仿宋_GB2312" w:eastAsia="仿宋_GB2312"/>
                <w:sz w:val="24"/>
              </w:rPr>
              <w:t>应急响应：紧急事件的处理、备机提供、灾难恢复等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三秦数字健康公众服务号基础资源运维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1）三秦数字健康公众统一服务平台的前置服务业务模块运维。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）对健三秦数字健康公众统一服务平台物理服务设备提供每年两次的现场巡检服务。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7×24（即每周7天、每天24小时）的远程技术服务，保障三秦数字健康公众统一服务平台应用推广工作顺利进行。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）三秦数字健康公众统一服务平台相关系统出现严重故障且远程方式无法解决时，</w:t>
            </w:r>
            <w:r>
              <w:rPr>
                <w:rFonts w:ascii="仿宋_GB2312" w:hAnsi="仿宋_GB2312" w:cs="仿宋_GB2312" w:eastAsia="仿宋_GB2312"/>
                <w:sz w:val="24"/>
              </w:rPr>
              <w:t>48小时内赶赴现场处理。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）提供三秦数字健康公众统一服务平台前置服务安全服务</w:t>
            </w:r>
          </w:p>
          <w:p>
            <w:pPr>
              <w:pStyle w:val="null3"/>
              <w:ind w:firstLine="480"/>
              <w:jc w:val="both"/>
            </w:pPr>
            <w:r>
              <w:rPr>
                <w:rFonts w:ascii="仿宋_GB2312" w:hAnsi="仿宋_GB2312" w:cs="仿宋_GB2312" w:eastAsia="仿宋_GB2312"/>
                <w:sz w:val="24"/>
              </w:rPr>
              <w:t>补丁升级：按照机房要求，按时对现有系统的操作系统补丁、应用软件补丁的升级。</w:t>
            </w:r>
          </w:p>
          <w:p>
            <w:pPr>
              <w:pStyle w:val="null3"/>
              <w:jc w:val="both"/>
            </w:pPr>
            <w:r>
              <w:rPr>
                <w:rFonts w:ascii="仿宋_GB2312" w:hAnsi="仿宋_GB2312" w:cs="仿宋_GB2312" w:eastAsia="仿宋_GB2312"/>
                <w:sz w:val="24"/>
              </w:rPr>
              <w:t>网络安全：根据</w:t>
            </w:r>
            <w:r>
              <w:rPr>
                <w:rFonts w:ascii="仿宋_GB2312" w:hAnsi="仿宋_GB2312" w:cs="仿宋_GB2312" w:eastAsia="仿宋_GB2312"/>
                <w:sz w:val="24"/>
              </w:rPr>
              <w:t>渗透、等保、态势感知等</w:t>
            </w:r>
            <w:r>
              <w:rPr>
                <w:rFonts w:ascii="仿宋_GB2312" w:hAnsi="仿宋_GB2312" w:cs="仿宋_GB2312" w:eastAsia="仿宋_GB2312"/>
                <w:sz w:val="24"/>
              </w:rPr>
              <w:t>各种安全测试结果，对软件进行安全漏洞修复。安全防范：按照</w:t>
            </w:r>
            <w:r>
              <w:rPr>
                <w:rFonts w:ascii="仿宋_GB2312" w:hAnsi="仿宋_GB2312" w:cs="仿宋_GB2312" w:eastAsia="仿宋_GB2312"/>
                <w:sz w:val="24"/>
              </w:rPr>
              <w:t>卫生健康部门</w:t>
            </w:r>
            <w:r>
              <w:rPr>
                <w:rFonts w:ascii="仿宋_GB2312" w:hAnsi="仿宋_GB2312" w:cs="仿宋_GB2312" w:eastAsia="仿宋_GB2312"/>
                <w:sz w:val="24"/>
              </w:rPr>
              <w:t>要求，及时做好防范工作。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符合相关标准及规定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签订合同后，乙方开具全额发票后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供应商需要在线提交所有通过电子化交易平台实施的政府采购项目的响应文件，同时，线下提交纸质响应文件正本壹份、副本贰份、电子版壹份（U盘壹份），所有文件密封到一起递交。线下纸质文件递交截止时间：同在线递交电子响应文件截止时间一致；线下纸质文件递交地点：陕西省西安市雁塔区雁南二路西京公司西京科创园三号楼25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半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半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供应商特定资格要求证明文件.docx 响应函 供应商承诺书.docx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供应商特定资格要求证明文件.docx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供应商针对本项目制定包含但不限于：①规范化的修复性服务方案；②定期预防性管理方案及维护方案的具体措施；③例行操作；④响应支持；⑤运维服务的应用系统7*24不间断运行的方案。 评审标准：方案各部分内容全面详细、阐述条理清晰详尽、符合本项目采购需求得10分，每缺一项内容扣2分，评审内容有缺陷的根据情况扣分，扣完为止。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磋商响应方案--服务方案1.docx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供应商针对本项目的运营维护工作必须遵循并优化现有的安全体系，提供在现有安全体制下可以确保系统安全可靠的①安全策略、②措施和③步骤。 评审标准：方案各部分内容全面详细、阐述条理清晰详尽、符合本项目采购需求得6分，每缺一项内容扣2分，评审内容有缺陷的根据情况扣分，扣完为止。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磋商响应方案--服务方案2.docx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供应商针对本项目制定①标准化服务流程、②建立完善的运营维护管理体系，③项目实施进度计划控制措施，④提供强大的运行维护管理工具与手段。 评审标准：方案各部分内容全面详细、阐述条理清晰详尽、符合本项目采购需求得8分，每缺一项内容扣2分，评审内容有缺陷的根据情况扣分，扣完为止。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磋商响应方案--服务方案3.docx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供应商针对本项目提供具体的管理制度及措施，包含但不限于：①项目管理规章制度；②项目资料管理措施；③保证服务人员的稳定、保证服务的质量、成果安全性保障措施；④软硬件投入及监测措施等。 评审标准：制度及措施各部分内容全面详细、阐述条理清晰详尽、符合本项目采购需求得8分，每缺一项内容扣2分，评审内容有缺陷的根据情况扣分，扣完为止。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磋商响应方案--服务方案4.docx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供应商针对本项目提供服务质量保证措施及方案，包括但不限于：①质量保证范围及措施；②服务水平定义保证措施；③本地化技术服务及服务协调方案等。 评审标准：措施及方案各部分内容全面详细、阐述条理清晰详尽、符合本项目采购需求得6分，每缺一项内容扣2分，评审内容有缺陷的根据情况扣分，扣完为止。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磋商响应方案--服务方案5.docx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供应商针对本项目提供风险管理方案，包括但不限于：①运维、安全、管理、业务服务等方面风险管理；②针对突发事件的应急措施和解决方案等。 评审标准：方案各部分内容全面详细、阐述条理清晰详尽、符合本项目采购需求得7分，每缺一项内容扣3.5分，评审内容有缺陷的根据情况扣分，扣完为止。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磋商响应方案--服务方案6.docx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供应商对项目采购需求提供①需求理解；②项目重难点分析及应对措施；③提供合理化建议。 评审标准：方案各部分内容全面详细、阐述条理清晰详尽、符合本项目采购需求得9分，每缺一项内容扣3分，评审内容有缺陷的根据情况扣分，扣完为止。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磋商响应方案--服务方案7.docx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供应商提供2021年1月1日至今类似项目业绩，须提供完整合同及项目验收文件复印件并加盖供应商公章，每提供1份得2分，最高得10分，未提供或证明材料不完整不计分。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1.供应商具有数据管理能力成熟度DCMM2级或以上，计1分。 2.供应商具有信息系统建设及服务能力等级证书CS2级或以上证书，计1分。 3.供应商具有质量管理体系认证证书、环境管理体系认证证书提供1个得0.5分，最高得1分。 以上证书须提供复印件并加盖供应商公章，否则不计分。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磋商响应方案--企业能力.docx</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供应商提供针对本项目拟投入人员团队说明，包括但不限于：①项目组织架构及岗位职责；②团队人员配置清单；③人员分工安排、工作经验说明；④团队管理制度及监管机制。 （拟投入人员须提供1.相关人员截止至开标时间前六个月内任意一个月的社会保险参保缴纳情况证明；2.项目团队成员证明材料（包含身份证、相关证书等），否则均不计分） 评审标准：方案各部分内容全面详细、阐述条理清晰详尽、符合本项目采购需求得8分，每缺一项内容扣2分，评审内容有缺陷的根据情况扣分，扣完为止。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磋商响应方案--人员团队.docx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项目负责人具备信息系统项目管理师（高级）资质，计3分。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磋商响应方案--项目负责人.docx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供应商针对本项目提供培训方案，内容包含但不限于：①培训目标；②培训内容及方式；③培训计划及人员安排；④培训考核方式等。 评审标准：方案各部分内容全面详细、阐述条理清晰详尽、符合本项目采购需求得8分，每缺一项内容扣2分，评审内容有缺陷的根据情况扣分，扣完为止。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供应商针对本项目提供保密方案，内容包含但不限于：①保密方案；②保密承诺等。 评审标准：方案各部分内容全面详细、阐述条理清晰详尽、符合本项目采购需求得4分，每缺一项内容扣2分，评审内容有缺陷的根据情况扣分，扣完为止。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详见附件：磋商响应方案--服务方案1.docx</w:t>
      </w:r>
    </w:p>
    <w:p>
      <w:pPr>
        <w:pStyle w:val="null3"/>
        <w:ind w:firstLine="960"/>
      </w:pPr>
      <w:r>
        <w:rPr>
          <w:rFonts w:ascii="仿宋_GB2312" w:hAnsi="仿宋_GB2312" w:cs="仿宋_GB2312" w:eastAsia="仿宋_GB2312"/>
        </w:rPr>
        <w:t>详见附件：磋商响应方案--服务方案2.docx</w:t>
      </w:r>
    </w:p>
    <w:p>
      <w:pPr>
        <w:pStyle w:val="null3"/>
        <w:ind w:firstLine="960"/>
      </w:pPr>
      <w:r>
        <w:rPr>
          <w:rFonts w:ascii="仿宋_GB2312" w:hAnsi="仿宋_GB2312" w:cs="仿宋_GB2312" w:eastAsia="仿宋_GB2312"/>
        </w:rPr>
        <w:t>详见附件：磋商响应方案--服务方案3.docx</w:t>
      </w:r>
    </w:p>
    <w:p>
      <w:pPr>
        <w:pStyle w:val="null3"/>
        <w:ind w:firstLine="960"/>
      </w:pPr>
      <w:r>
        <w:rPr>
          <w:rFonts w:ascii="仿宋_GB2312" w:hAnsi="仿宋_GB2312" w:cs="仿宋_GB2312" w:eastAsia="仿宋_GB2312"/>
        </w:rPr>
        <w:t>详见附件：磋商响应方案--服务方案4.docx</w:t>
      </w:r>
    </w:p>
    <w:p>
      <w:pPr>
        <w:pStyle w:val="null3"/>
        <w:ind w:firstLine="960"/>
      </w:pPr>
      <w:r>
        <w:rPr>
          <w:rFonts w:ascii="仿宋_GB2312" w:hAnsi="仿宋_GB2312" w:cs="仿宋_GB2312" w:eastAsia="仿宋_GB2312"/>
        </w:rPr>
        <w:t>详见附件：磋商响应方案--服务方案5.docx</w:t>
      </w:r>
    </w:p>
    <w:p>
      <w:pPr>
        <w:pStyle w:val="null3"/>
        <w:ind w:firstLine="960"/>
      </w:pPr>
      <w:r>
        <w:rPr>
          <w:rFonts w:ascii="仿宋_GB2312" w:hAnsi="仿宋_GB2312" w:cs="仿宋_GB2312" w:eastAsia="仿宋_GB2312"/>
        </w:rPr>
        <w:t>详见附件：磋商响应方案--服务方案6.docx</w:t>
      </w:r>
    </w:p>
    <w:p>
      <w:pPr>
        <w:pStyle w:val="null3"/>
        <w:ind w:firstLine="960"/>
      </w:pPr>
      <w:r>
        <w:rPr>
          <w:rFonts w:ascii="仿宋_GB2312" w:hAnsi="仿宋_GB2312" w:cs="仿宋_GB2312" w:eastAsia="仿宋_GB2312"/>
        </w:rPr>
        <w:t>详见附件：磋商响应方案--服务方案7.docx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详见附件：磋商响应方案--企业能力.docx</w:t>
      </w:r>
    </w:p>
    <w:p>
      <w:pPr>
        <w:pStyle w:val="null3"/>
        <w:ind w:firstLine="960"/>
      </w:pPr>
      <w:r>
        <w:rPr>
          <w:rFonts w:ascii="仿宋_GB2312" w:hAnsi="仿宋_GB2312" w:cs="仿宋_GB2312" w:eastAsia="仿宋_GB2312"/>
        </w:rPr>
        <w:t>详见附件：磋商响应方案--人员团队.docx</w:t>
      </w:r>
    </w:p>
    <w:p>
      <w:pPr>
        <w:pStyle w:val="null3"/>
        <w:ind w:firstLine="960"/>
      </w:pPr>
      <w:r>
        <w:rPr>
          <w:rFonts w:ascii="仿宋_GB2312" w:hAnsi="仿宋_GB2312" w:cs="仿宋_GB2312" w:eastAsia="仿宋_GB2312"/>
        </w:rPr>
        <w:t>详见附件：磋商响应方案--项目负责人.docx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