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版本号：ZMZB2025XBDX-20520250709001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继续教育学院二层阶梯教室装修改造项目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ZMZB2025XBDX-205</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继续教育学院二层阶梯教室装修改造项目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ZMZB2025XBDX-205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继续教育学院二层阶梯教室装修改造项目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西北大学继续教育学院二层阶梯教室装修改造项目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采购包1（继续教育学院二层阶梯教室装修改造项目）：属于专门面向中小企业采购。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2、财务状况证明：供应商提供2023年度或2024年度经审计完整的财务审计报告（成立时间至提交响应文件截止时间不足一年的可提供成立后任意时段的资产负债表），或其开标前三个月内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3、税收缴纳证明：提供截止磋商之日起半年内以来任意时间段的依法缴纳税收的相关凭据（时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4、社会保障资金缴纳证明：提供截止磋商之日起半年内以来任意时间段的社会保障资金缴存单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6、参加采购活动前3年内在经营活动中没有重大违法记录的书面声明：参加采购活动前3年内在经营活动中没有重大违法记录的书面声明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施工资质：具备设计行政主管部门颁发的建筑装饰装修工程专业承包二级以上（含二级）资质证书，并具备有效的安全生产许可证。拟派项目经理须具备建筑工程专业二级以上（含二级）注册建造师执业资格证（在本单位注册）及有效的安全生产考核合格证（建安B证），未担任其它在建工程的项目经理（提供承诺）</w:t>
      </w:r>
    </w:p>
    <w:p>
      <w:pPr>
        <w:pStyle w:val="null3"/>
      </w:pPr>
      <w:r>
        <w:rPr>
          <w:rFonts w:ascii="仿宋_GB2312" w:hAnsi="仿宋_GB2312" w:cs="仿宋_GB2312" w:eastAsia="仿宋_GB2312"/>
        </w:rPr>
        <w:t>9、设计资质：具备工程设计综合甲级或建筑行业工程设计乙级以上（含乙级）资质或建筑行业（建筑工程）专业设计乙级以上（含乙级）资质或建筑装饰工程设计专项乙级以上（含乙级）资质；拟派设计负责人具有二级及以上注册建筑师资格</w:t>
      </w:r>
    </w:p>
    <w:p>
      <w:pPr>
        <w:pStyle w:val="null3"/>
      </w:pPr>
      <w:r>
        <w:rPr>
          <w:rFonts w:ascii="仿宋_GB2312" w:hAnsi="仿宋_GB2312" w:cs="仿宋_GB2312" w:eastAsia="仿宋_GB2312"/>
        </w:rPr>
        <w:t>10、本项目接受联合体响应：接受联合体，属于联合体的提供联合体协议书。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踏勘时间：2025-07-17 09:30:00</w:t>
            </w:r>
          </w:p>
          <w:p>
            <w:pPr>
              <w:pStyle w:val="null3"/>
              <w:ind w:firstLine="975"/>
            </w:pPr>
            <w:r>
              <w:rPr>
                <w:rFonts w:ascii="仿宋_GB2312" w:hAnsi="仿宋_GB2312" w:cs="仿宋_GB2312" w:eastAsia="仿宋_GB2312"/>
              </w:rPr>
              <w:t>踏勘地点：西北大学继续教育学院桃园校区北门</w:t>
            </w:r>
          </w:p>
          <w:p>
            <w:pPr>
              <w:pStyle w:val="null3"/>
              <w:ind w:firstLine="975"/>
            </w:pPr>
            <w:r>
              <w:rPr>
                <w:rFonts w:ascii="仿宋_GB2312" w:hAnsi="仿宋_GB2312" w:cs="仿宋_GB2312" w:eastAsia="仿宋_GB2312"/>
              </w:rPr>
              <w:t>联系人：董菊莉 吴敉</w:t>
            </w:r>
          </w:p>
          <w:p>
            <w:pPr>
              <w:pStyle w:val="null3"/>
              <w:ind w:firstLine="975"/>
            </w:pPr>
            <w:r>
              <w:rPr>
                <w:rFonts w:ascii="仿宋_GB2312" w:hAnsi="仿宋_GB2312" w:cs="仿宋_GB2312" w:eastAsia="仿宋_GB2312"/>
              </w:rPr>
              <w:t>联系电话号码：17778966062</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一、按照采购文件、响应文件及合同条款执行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继续教育学院二层阶梯教室装修改造项目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标的名称：继续教育学院二层阶梯教室装修改造项目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采购内容</w:t>
            </w:r>
            <w:r>
              <w:rPr>
                <w:rFonts w:ascii="仿宋_GB2312" w:hAnsi="仿宋_GB2312" w:cs="仿宋_GB2312" w:eastAsia="仿宋_GB2312"/>
                <w:sz w:val="20"/>
                <w:b/>
              </w:rPr>
              <w:t>:1.基础装饰装修，吊顶、地面、暖气等；2.强弱电、网络、安防、空调、通风等；3.消防、排烟等；4.改造和增加部分教学设施； 5.软装采购、施工等；主要功能或目标:满足学院培训教学需求，兼顾灵活使用、多功能需求。需满足的要求:合理规划空间、注重功能性、美观与舒适性，确保质量，在照明设计、墙面和地面装修材料选择上须满足环保消防安全以及建筑施工安全规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施工范围及工作内容</w:t>
            </w:r>
            <w:r>
              <w:rPr>
                <w:rFonts w:ascii="仿宋_GB2312" w:hAnsi="仿宋_GB2312" w:cs="仿宋_GB2312" w:eastAsia="仿宋_GB2312"/>
                <w:sz w:val="20"/>
              </w:rPr>
              <w:t>：</w:t>
            </w:r>
            <w:r>
              <w:rPr>
                <w:rFonts w:ascii="仿宋_GB2312" w:hAnsi="仿宋_GB2312" w:cs="仿宋_GB2312" w:eastAsia="仿宋_GB2312"/>
                <w:sz w:val="20"/>
              </w:rPr>
              <w:t>在现二层阶梯教室基础上进行改造，面积约</w:t>
            </w:r>
            <w:r>
              <w:rPr>
                <w:rFonts w:ascii="仿宋_GB2312" w:hAnsi="仿宋_GB2312" w:cs="仿宋_GB2312" w:eastAsia="仿宋_GB2312"/>
                <w:sz w:val="20"/>
              </w:rPr>
              <w:t>400m²。</w:t>
            </w:r>
          </w:p>
          <w:p>
            <w:pPr>
              <w:pStyle w:val="null3"/>
              <w:ind w:firstLine="400"/>
              <w:jc w:val="both"/>
            </w:pPr>
            <w:r>
              <w:rPr>
                <w:rFonts w:ascii="仿宋_GB2312" w:hAnsi="仿宋_GB2312" w:cs="仿宋_GB2312" w:eastAsia="仿宋_GB2312"/>
                <w:sz w:val="20"/>
              </w:rPr>
              <w:t>装修改造后的二层阶梯教室，满足可容纳</w:t>
            </w:r>
            <w:r>
              <w:rPr>
                <w:rFonts w:ascii="仿宋_GB2312" w:hAnsi="仿宋_GB2312" w:cs="仿宋_GB2312" w:eastAsia="仿宋_GB2312"/>
                <w:sz w:val="20"/>
              </w:rPr>
              <w:t>80-120人培训需求的两个教室。</w:t>
            </w:r>
          </w:p>
          <w:p>
            <w:pPr>
              <w:pStyle w:val="null3"/>
              <w:ind w:firstLine="402"/>
              <w:jc w:val="both"/>
            </w:pPr>
            <w:r>
              <w:rPr>
                <w:rFonts w:ascii="仿宋_GB2312" w:hAnsi="仿宋_GB2312" w:cs="仿宋_GB2312" w:eastAsia="仿宋_GB2312"/>
                <w:sz w:val="20"/>
                <w:b/>
              </w:rPr>
              <w:t>一、设计部分：设计费最高限价：</w:t>
            </w:r>
            <w:r>
              <w:rPr>
                <w:rFonts w:ascii="仿宋_GB2312" w:hAnsi="仿宋_GB2312" w:cs="仿宋_GB2312" w:eastAsia="仿宋_GB2312"/>
                <w:sz w:val="20"/>
                <w:b/>
              </w:rPr>
              <w:t>3万元</w:t>
            </w:r>
          </w:p>
          <w:p>
            <w:pPr>
              <w:pStyle w:val="null3"/>
              <w:ind w:firstLine="400"/>
              <w:jc w:val="both"/>
            </w:pPr>
            <w:r>
              <w:rPr>
                <w:rFonts w:ascii="仿宋_GB2312" w:hAnsi="仿宋_GB2312" w:cs="仿宋_GB2312" w:eastAsia="仿宋_GB2312"/>
                <w:sz w:val="20"/>
              </w:rPr>
              <w:t>设计环节须包含：装修设计，内容包括：方案、平面图、效果图、多媒体；设计图纸、设计说明、使用材质、施工图、施工图预算后续修改更新服务等内容，体现墙体立面、地面、多媒体等。</w:t>
            </w:r>
          </w:p>
          <w:p>
            <w:pPr>
              <w:pStyle w:val="null3"/>
              <w:ind w:firstLine="400"/>
              <w:jc w:val="both"/>
            </w:pPr>
            <w:r>
              <w:rPr>
                <w:rFonts w:ascii="仿宋_GB2312" w:hAnsi="仿宋_GB2312" w:cs="仿宋_GB2312" w:eastAsia="仿宋_GB2312"/>
                <w:sz w:val="20"/>
              </w:rPr>
              <w:t>设计依据：</w:t>
            </w:r>
            <w:r>
              <w:rPr>
                <w:rFonts w:ascii="仿宋_GB2312" w:hAnsi="仿宋_GB2312" w:cs="仿宋_GB2312" w:eastAsia="仿宋_GB2312"/>
                <w:sz w:val="20"/>
              </w:rPr>
              <w:t>贯彻执行国家及陕西省有关工程建设的政策和法令。</w:t>
            </w:r>
          </w:p>
          <w:p>
            <w:pPr>
              <w:pStyle w:val="null3"/>
              <w:ind w:firstLine="400"/>
              <w:jc w:val="both"/>
            </w:pPr>
            <w:r>
              <w:rPr>
                <w:rFonts w:ascii="仿宋_GB2312" w:hAnsi="仿宋_GB2312" w:cs="仿宋_GB2312" w:eastAsia="仿宋_GB2312"/>
                <w:sz w:val="20"/>
              </w:rPr>
              <w:t>(1)《住宅装饰装修工程施工规范》GB50327-2001;</w:t>
            </w:r>
          </w:p>
          <w:p>
            <w:pPr>
              <w:pStyle w:val="null3"/>
              <w:ind w:firstLine="400"/>
              <w:jc w:val="both"/>
            </w:pPr>
            <w:r>
              <w:rPr>
                <w:rFonts w:ascii="仿宋_GB2312" w:hAnsi="仿宋_GB2312" w:cs="仿宋_GB2312" w:eastAsia="仿宋_GB2312"/>
                <w:sz w:val="20"/>
              </w:rPr>
              <w:t>(2)《建筑装饰工程施工及验收规范》GB50210-2018;</w:t>
            </w:r>
          </w:p>
          <w:p>
            <w:pPr>
              <w:pStyle w:val="null3"/>
              <w:ind w:firstLine="400"/>
              <w:jc w:val="both"/>
            </w:pPr>
            <w:r>
              <w:rPr>
                <w:rFonts w:ascii="仿宋_GB2312" w:hAnsi="仿宋_GB2312" w:cs="仿宋_GB2312" w:eastAsia="仿宋_GB2312"/>
                <w:sz w:val="20"/>
              </w:rPr>
              <w:t>(3)建设部、国家工商行政管理局、国家技术监督局《施工现场安全防护 用具及机械设备使用监督管理规定》;</w:t>
            </w:r>
          </w:p>
          <w:p>
            <w:pPr>
              <w:pStyle w:val="null3"/>
              <w:ind w:firstLine="400"/>
              <w:jc w:val="both"/>
            </w:pPr>
            <w:r>
              <w:rPr>
                <w:rFonts w:ascii="仿宋_GB2312" w:hAnsi="仿宋_GB2312" w:cs="仿宋_GB2312" w:eastAsia="仿宋_GB2312"/>
                <w:sz w:val="20"/>
              </w:rPr>
              <w:t>(4)《安全防范工程技术规范》GB50348-2004;</w:t>
            </w:r>
          </w:p>
          <w:p>
            <w:pPr>
              <w:pStyle w:val="null3"/>
              <w:ind w:firstLine="400"/>
              <w:jc w:val="both"/>
            </w:pPr>
            <w:r>
              <w:rPr>
                <w:rFonts w:ascii="仿宋_GB2312" w:hAnsi="仿宋_GB2312" w:cs="仿宋_GB2312" w:eastAsia="仿宋_GB2312"/>
                <w:sz w:val="20"/>
              </w:rPr>
              <w:t>(5)《施工企业安全生产评价标准》JGJ/T77-2003;</w:t>
            </w:r>
          </w:p>
          <w:p>
            <w:pPr>
              <w:pStyle w:val="null3"/>
              <w:ind w:firstLine="400"/>
              <w:jc w:val="both"/>
            </w:pPr>
            <w:r>
              <w:rPr>
                <w:rFonts w:ascii="仿宋_GB2312" w:hAnsi="仿宋_GB2312" w:cs="仿宋_GB2312" w:eastAsia="仿宋_GB2312"/>
                <w:sz w:val="20"/>
              </w:rPr>
              <w:t>(6)《建设工程施工现场供用电安全规范》GB  50194-2014;</w:t>
            </w:r>
          </w:p>
          <w:p>
            <w:pPr>
              <w:pStyle w:val="null3"/>
              <w:ind w:firstLine="400"/>
              <w:jc w:val="both"/>
            </w:pPr>
            <w:r>
              <w:rPr>
                <w:rFonts w:ascii="仿宋_GB2312" w:hAnsi="仿宋_GB2312" w:cs="仿宋_GB2312" w:eastAsia="仿宋_GB2312"/>
                <w:sz w:val="20"/>
              </w:rPr>
              <w:t>(7)《建设工程施工现场消防安全技术规范》 GB 50720-2011;</w:t>
            </w:r>
          </w:p>
          <w:p>
            <w:pPr>
              <w:pStyle w:val="null3"/>
              <w:ind w:firstLine="400"/>
              <w:jc w:val="both"/>
            </w:pPr>
            <w:r>
              <w:rPr>
                <w:rFonts w:ascii="仿宋_GB2312" w:hAnsi="仿宋_GB2312" w:cs="仿宋_GB2312" w:eastAsia="仿宋_GB2312"/>
                <w:sz w:val="20"/>
              </w:rPr>
              <w:t>设计原则：</w:t>
            </w:r>
          </w:p>
          <w:p>
            <w:pPr>
              <w:pStyle w:val="null3"/>
              <w:ind w:firstLine="400"/>
              <w:jc w:val="both"/>
            </w:pPr>
            <w:r>
              <w:rPr>
                <w:rFonts w:ascii="仿宋_GB2312" w:hAnsi="仿宋_GB2312" w:cs="仿宋_GB2312" w:eastAsia="仿宋_GB2312"/>
                <w:sz w:val="20"/>
              </w:rPr>
              <w:t>1设计方案要具有创新性，体现培训教学特性，注重新的设计理念及手法 。</w:t>
            </w:r>
          </w:p>
          <w:p>
            <w:pPr>
              <w:pStyle w:val="null3"/>
              <w:ind w:firstLine="400"/>
              <w:jc w:val="both"/>
            </w:pPr>
            <w:r>
              <w:rPr>
                <w:rFonts w:ascii="仿宋_GB2312" w:hAnsi="仿宋_GB2312" w:cs="仿宋_GB2312" w:eastAsia="仿宋_GB2312"/>
                <w:sz w:val="20"/>
              </w:rPr>
              <w:t>2满足功能需求，合理组织教室功能规划，注意材料的环保，同时改估算造价不得突破限额要求。</w:t>
            </w:r>
          </w:p>
          <w:p>
            <w:pPr>
              <w:pStyle w:val="null3"/>
              <w:ind w:firstLine="400"/>
              <w:jc w:val="both"/>
            </w:pPr>
            <w:r>
              <w:rPr>
                <w:rFonts w:ascii="仿宋_GB2312" w:hAnsi="仿宋_GB2312" w:cs="仿宋_GB2312" w:eastAsia="仿宋_GB2312"/>
                <w:sz w:val="20"/>
              </w:rPr>
              <w:t>3设计方案合理利用现有结构、场地。</w:t>
            </w:r>
          </w:p>
          <w:p>
            <w:pPr>
              <w:pStyle w:val="null3"/>
              <w:ind w:firstLine="400"/>
              <w:jc w:val="both"/>
            </w:pPr>
            <w:r>
              <w:rPr>
                <w:rFonts w:ascii="仿宋_GB2312" w:hAnsi="仿宋_GB2312" w:cs="仿宋_GB2312" w:eastAsia="仿宋_GB2312"/>
                <w:sz w:val="20"/>
              </w:rPr>
              <w:t>技术要求：</w:t>
            </w:r>
          </w:p>
          <w:p>
            <w:pPr>
              <w:pStyle w:val="null3"/>
              <w:ind w:firstLine="400"/>
              <w:jc w:val="both"/>
            </w:pPr>
            <w:r>
              <w:rPr>
                <w:rFonts w:ascii="仿宋_GB2312" w:hAnsi="仿宋_GB2312" w:cs="仿宋_GB2312" w:eastAsia="仿宋_GB2312"/>
                <w:sz w:val="20"/>
              </w:rPr>
              <w:t>1整体方案设计：设计方案须符教学培训要求，体现时代感、大气、美观为主要风格；设计理念先进，有前瞻性。总体设计方案包括设计思想、结构和布局等效果图。</w:t>
            </w:r>
          </w:p>
          <w:p>
            <w:pPr>
              <w:pStyle w:val="null3"/>
              <w:ind w:firstLine="400"/>
              <w:jc w:val="both"/>
            </w:pPr>
            <w:r>
              <w:rPr>
                <w:rFonts w:ascii="仿宋_GB2312" w:hAnsi="仿宋_GB2312" w:cs="仿宋_GB2312" w:eastAsia="仿宋_GB2312"/>
                <w:sz w:val="20"/>
              </w:rPr>
              <w:t>2设计要求：要求构思新颖，具备现代气息，材料环保空间利用合理。</w:t>
            </w:r>
          </w:p>
          <w:p>
            <w:pPr>
              <w:pStyle w:val="null3"/>
              <w:ind w:firstLine="400"/>
              <w:jc w:val="both"/>
            </w:pPr>
            <w:r>
              <w:rPr>
                <w:rFonts w:ascii="仿宋_GB2312" w:hAnsi="仿宋_GB2312" w:cs="仿宋_GB2312" w:eastAsia="仿宋_GB2312"/>
                <w:sz w:val="20"/>
              </w:rPr>
              <w:t>3设计流线要求：教室布局顺畅，避免出现人流拥堵。</w:t>
            </w:r>
          </w:p>
          <w:p>
            <w:pPr>
              <w:pStyle w:val="null3"/>
              <w:ind w:firstLine="400"/>
              <w:jc w:val="both"/>
            </w:pPr>
            <w:r>
              <w:rPr>
                <w:rFonts w:ascii="仿宋_GB2312" w:hAnsi="仿宋_GB2312" w:cs="仿宋_GB2312" w:eastAsia="仿宋_GB2312"/>
                <w:sz w:val="20"/>
              </w:rPr>
              <w:t>设计成果要求</w:t>
            </w:r>
          </w:p>
          <w:p>
            <w:pPr>
              <w:pStyle w:val="null3"/>
              <w:ind w:firstLine="400"/>
              <w:jc w:val="both"/>
            </w:pPr>
            <w:r>
              <w:rPr>
                <w:rFonts w:ascii="仿宋_GB2312" w:hAnsi="仿宋_GB2312" w:cs="仿宋_GB2312" w:eastAsia="仿宋_GB2312"/>
                <w:sz w:val="20"/>
              </w:rPr>
              <w:t>1总平面图；</w:t>
            </w:r>
          </w:p>
          <w:p>
            <w:pPr>
              <w:pStyle w:val="null3"/>
              <w:ind w:firstLine="400"/>
              <w:jc w:val="both"/>
            </w:pPr>
            <w:r>
              <w:rPr>
                <w:rFonts w:ascii="仿宋_GB2312" w:hAnsi="仿宋_GB2312" w:cs="仿宋_GB2312" w:eastAsia="仿宋_GB2312"/>
                <w:sz w:val="20"/>
              </w:rPr>
              <w:t>2效果图若干；</w:t>
            </w:r>
          </w:p>
          <w:p>
            <w:pPr>
              <w:pStyle w:val="null3"/>
              <w:ind w:firstLine="400"/>
              <w:jc w:val="both"/>
            </w:pPr>
            <w:r>
              <w:rPr>
                <w:rFonts w:ascii="仿宋_GB2312" w:hAnsi="仿宋_GB2312" w:cs="仿宋_GB2312" w:eastAsia="仿宋_GB2312"/>
                <w:sz w:val="20"/>
              </w:rPr>
              <w:t>3施工图及施工图预算；</w:t>
            </w:r>
          </w:p>
          <w:p>
            <w:pPr>
              <w:pStyle w:val="null3"/>
              <w:ind w:firstLine="400"/>
              <w:jc w:val="both"/>
            </w:pPr>
            <w:r>
              <w:rPr>
                <w:rFonts w:ascii="仿宋_GB2312" w:hAnsi="仿宋_GB2312" w:cs="仿宋_GB2312" w:eastAsia="仿宋_GB2312"/>
                <w:sz w:val="20"/>
              </w:rPr>
              <w:t>设计时间要求</w:t>
            </w:r>
          </w:p>
          <w:p>
            <w:pPr>
              <w:pStyle w:val="null3"/>
              <w:ind w:firstLine="400"/>
              <w:jc w:val="both"/>
            </w:pPr>
            <w:r>
              <w:rPr>
                <w:rFonts w:ascii="仿宋_GB2312" w:hAnsi="仿宋_GB2312" w:cs="仿宋_GB2312" w:eastAsia="仿宋_GB2312"/>
                <w:sz w:val="20"/>
              </w:rPr>
              <w:t>自项目启动</w:t>
            </w:r>
            <w:r>
              <w:rPr>
                <w:rFonts w:ascii="仿宋_GB2312" w:hAnsi="仿宋_GB2312" w:cs="仿宋_GB2312" w:eastAsia="仿宋_GB2312"/>
                <w:sz w:val="20"/>
              </w:rPr>
              <w:t>7个工作日完成设计成果1-3项要求。</w:t>
            </w:r>
          </w:p>
          <w:p>
            <w:pPr>
              <w:pStyle w:val="null3"/>
              <w:ind w:firstLine="402"/>
              <w:jc w:val="both"/>
            </w:pPr>
            <w:r>
              <w:rPr>
                <w:rFonts w:ascii="仿宋_GB2312" w:hAnsi="仿宋_GB2312" w:cs="仿宋_GB2312" w:eastAsia="仿宋_GB2312"/>
                <w:sz w:val="20"/>
                <w:b/>
              </w:rPr>
              <w:t>二、工程部分：建筑安装工程施工费最高限价：</w:t>
            </w:r>
            <w:r>
              <w:rPr>
                <w:rFonts w:ascii="仿宋_GB2312" w:hAnsi="仿宋_GB2312" w:cs="仿宋_GB2312" w:eastAsia="仿宋_GB2312"/>
                <w:sz w:val="20"/>
                <w:b/>
              </w:rPr>
              <w:t>42万元</w:t>
            </w:r>
          </w:p>
          <w:p>
            <w:pPr>
              <w:pStyle w:val="null3"/>
              <w:ind w:firstLine="400"/>
              <w:jc w:val="both"/>
            </w:pPr>
            <w:r>
              <w:rPr>
                <w:rFonts w:ascii="仿宋_GB2312" w:hAnsi="仿宋_GB2312" w:cs="仿宋_GB2312" w:eastAsia="仿宋_GB2312"/>
                <w:sz w:val="20"/>
              </w:rPr>
              <w:t>施工环节须包含：室内精装修，包括墙面装饰装修、墙面造型、地面改造、吊顶隔断建设、电工电料、旧桌椅拆除及垃圾清运，室外墙地面粉刷等。</w:t>
            </w:r>
          </w:p>
          <w:p>
            <w:pPr>
              <w:pStyle w:val="null3"/>
              <w:ind w:firstLine="400"/>
              <w:jc w:val="both"/>
            </w:pPr>
            <w:r>
              <w:rPr>
                <w:rFonts w:ascii="仿宋_GB2312" w:hAnsi="仿宋_GB2312" w:cs="仿宋_GB2312" w:eastAsia="仿宋_GB2312"/>
                <w:sz w:val="20"/>
              </w:rPr>
              <w:t>施工标准：本工程的施工过程和成果必须符合国家有关工程建设标准强制性条文和国家或有关部门关于工程施工方面现行的标准、规范、规程、定额、</w:t>
            </w:r>
            <w:r>
              <w:rPr>
                <w:rFonts w:ascii="仿宋_GB2312" w:hAnsi="仿宋_GB2312" w:cs="仿宋_GB2312" w:eastAsia="仿宋_GB2312"/>
                <w:sz w:val="20"/>
              </w:rPr>
              <w:t>办法、示例，以及陕西省关于工程施工方面的文件、规定。</w:t>
            </w:r>
          </w:p>
          <w:p>
            <w:pPr>
              <w:pStyle w:val="null3"/>
              <w:ind w:firstLine="400"/>
              <w:jc w:val="both"/>
            </w:pPr>
            <w:r>
              <w:rPr>
                <w:rFonts w:ascii="仿宋_GB2312" w:hAnsi="仿宋_GB2312" w:cs="仿宋_GB2312" w:eastAsia="仿宋_GB2312"/>
                <w:sz w:val="20"/>
              </w:rPr>
              <w:t>1.承包人在施工过程中使用或参考上述标准、规范以外的技术标准、规范时，应征得业主或业主指定代表人的同意。</w:t>
            </w:r>
          </w:p>
          <w:p>
            <w:pPr>
              <w:pStyle w:val="null3"/>
              <w:ind w:firstLine="400"/>
              <w:jc w:val="both"/>
            </w:pPr>
            <w:r>
              <w:rPr>
                <w:rFonts w:ascii="仿宋_GB2312" w:hAnsi="仿宋_GB2312" w:cs="仿宋_GB2312" w:eastAsia="仿宋_GB2312"/>
                <w:sz w:val="20"/>
              </w:rPr>
              <w:t>2.在施工过程中，如果国家或有关部门颁布了新的技术标准或规范，则承包人应采用新的标准或规范进行施工。</w:t>
            </w:r>
          </w:p>
          <w:p>
            <w:pPr>
              <w:pStyle w:val="null3"/>
              <w:ind w:firstLine="400"/>
              <w:jc w:val="both"/>
            </w:pPr>
            <w:r>
              <w:rPr>
                <w:rFonts w:ascii="仿宋_GB2312" w:hAnsi="仿宋_GB2312" w:cs="仿宋_GB2312" w:eastAsia="仿宋_GB2312"/>
                <w:sz w:val="20"/>
              </w:rPr>
              <w:t>3.所选用装修材料必须确保质量，采用不燃材料，符合环保要求，材料品牌为市场主流中档及以上品牌，禁止使用劣质或知名度较差的品牌，否则采购人有权要求进行更换，同时供应商不得拒绝。</w:t>
            </w:r>
          </w:p>
          <w:p>
            <w:pPr>
              <w:pStyle w:val="null3"/>
              <w:ind w:firstLine="400"/>
              <w:jc w:val="both"/>
            </w:pPr>
            <w:r>
              <w:rPr>
                <w:rFonts w:ascii="仿宋_GB2312" w:hAnsi="仿宋_GB2312" w:cs="仿宋_GB2312" w:eastAsia="仿宋_GB2312"/>
                <w:sz w:val="20"/>
              </w:rPr>
              <w:t>4.不得改变原有主体结构，施工过程中的边角料、建筑垃圾每日清理。</w:t>
            </w:r>
          </w:p>
          <w:p>
            <w:pPr>
              <w:pStyle w:val="null3"/>
              <w:ind w:firstLine="400"/>
              <w:jc w:val="both"/>
            </w:pPr>
            <w:r>
              <w:rPr>
                <w:rFonts w:ascii="仿宋_GB2312" w:hAnsi="仿宋_GB2312" w:cs="仿宋_GB2312" w:eastAsia="仿宋_GB2312"/>
                <w:sz w:val="20"/>
              </w:rPr>
              <w:t>5.应考虑原有电路线经、负荷、回路等问题，满足基础供电需求；施工方须根据现有情况排查强电、弱电等用电安全隐患(进行线管保护),配电箱须安置合理、定期维护、检查。</w:t>
            </w:r>
          </w:p>
          <w:p>
            <w:pPr>
              <w:pStyle w:val="null3"/>
              <w:jc w:val="both"/>
            </w:pPr>
            <w:r>
              <w:rPr>
                <w:rFonts w:ascii="仿宋_GB2312" w:hAnsi="仿宋_GB2312" w:cs="仿宋_GB2312" w:eastAsia="仿宋_GB2312"/>
                <w:sz w:val="20"/>
                <w:b/>
              </w:rPr>
              <w:t>三、暂列金：</w:t>
            </w:r>
            <w:r>
              <w:rPr>
                <w:rFonts w:ascii="仿宋_GB2312" w:hAnsi="仿宋_GB2312" w:cs="仿宋_GB2312" w:eastAsia="仿宋_GB2312"/>
                <w:sz w:val="20"/>
                <w:b/>
              </w:rPr>
              <w:t>3万元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实施要求：</w:t>
            </w:r>
            <w:r>
              <w:rPr>
                <w:rFonts w:ascii="仿宋_GB2312" w:hAnsi="仿宋_GB2312" w:cs="仿宋_GB2312" w:eastAsia="仿宋_GB2312"/>
                <w:sz w:val="20"/>
              </w:rPr>
              <w:t>1.根据设计方案确定施工工程量清单；2.根据工程量清单制定施工方案，具体实施。3.本工程的施工过程和成果必须符合国家有关工程建设标准强制性条文和国家或有关部门关于工程施工方面现行的标准、规范、规程、定额、办法、示例，以及陕西省关于工程施工方面的文件、规定。4.在施工过程中，如果国家或有关部门颁布了新的技术标准或规范，则承包人应采用新的标准或规范进行施工。5.所选用装修材料必须确保质量合格，采用不燃材料，符合环保要求，材料品牌为市场主流中档及以上品牌，报警按钮、消防设施须醒目、施工改造不得遮挡；消防设施、设备不得擅自改动。6.不得改变场馆原有主体结构，施工过程中的边角料、建筑垃圾每日清理，安全标识、标牌必须清楚、明示，施工结束后对电路、管道等进行整理、标识、恢复。7.应考虑原有电路线经、负荷、回路等问题，满足基础供电需求；施工方须根现有情况排查强电、弱电等用电安全隐患（进行线管保护），配电箱定期维护、检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按照采购文件、响应文件及合同条款执行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一、商务条款要求：1、工期： 自合同签订之日起 45 日历天。2、实施地点：西北大学指定地点。3、质量保修期和缺陷责任期：本项目质保期为 2 年。4、付款方式：待工程竣工验收合格后付至合同金额的80%；经学校审计后付至审定金额的100%；前期支付金额超过审定金额的成交人应当退还；5、合同价款：本项目采用暂定总价合同。 2.成交价为暂定合同价： 暂定合同价=磋商最终设计费报价+磋商最终建筑安装工程费报价。 3.实际合同价： 实际合同价=磋商最终设计费报价+建筑安装工程费实际合同价。 （1）磋商最终设计费报价固定不变。 （2）建筑安装工程费实际合同价=发包人审核的成交供应商施工图预算价×建筑安装工程费投标报价浮动率，且确认的施工图预算必须小于磋商最终建筑安装工程费报价。 （3）投标报价浮动率=磋商最终建筑安装工程费报价/建筑安装工程费最高上限价（42 万元） 3.最终竣工建筑安装工程费结算价为经采购人审计的价格，且不得超过建筑安装工程费实际合同价的 110%，超过部分由承包人承担。6、变更、签证价款： （1）审核后的工程量清单报价中已有工程综合单价的，按已有综合单价结算； （2）审核后的工程量清单报价中只有类似工程项目的，双方可以参照同标准类似综合单价协商认可的综合单价结算； （3）审核后的工程量清单报价中没有的工程项目内容，经监理工程师、甲方代表确认后，乙方可重新组价并上报，组价依据施工图、设计变更、2025《陕西省建设工程费用规则》、2025《陕西省建筑、装饰工程消耗量定额》、2025 《陕西省安装工程消耗量定额》、《陕西省房屋建筑与装饰工程基价表》（2025）等相关规定及相应的费率，并考虑成交下浮比率，经甲方审核确认的价款 为该变更签证价款。 （4）变更费用不得超过建筑安装工程实际合同价的 10％。 注：商务条款要求为实质性响应内容，不允许出现任何负偏离。二、其他要求：1、质量保证及验收标准：供应商提供的货品、材料、服务满足校方要求，所需材料施工方须提供质检报告及样品并遵照磋商文件、响应文件及国家有关标准执行。2、违约责任：中标/成交供应商所交付工程不符合其投标承诺，存在偷工减料、以次充好情形的，采购人要求更换一次后仍不符合约定的，采购人有权解除采购合同，没收履约保证金，并将有关情况上报政府采购监管部门处理。3、为顺利推进政府采购电子化交易平台应用工作，投标人需要在线提交所有通过电子化交易平台实施的政府采购项目的投标文件，同时，线下提交纸质版投标文件，正本壹份、副本贰份(标明投标人名称，密封递交)。若线上电子投标文件与纸质投标文件不一致的， 以线上电子投标文件为准；若正本和副本不符， 以正本为准。线下递交文件截止时间:详见本项目招标公告文件递交截止时间。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供应商提供2023年度或2024年度经审计完整的财务审计报告（成立时间至提交响应文件截止时间不足一年的可提供成立后任意时段的资产负债表），或其开标前三个月内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提供截止磋商之日起半年内以来任意时间段的依法缴纳税收的相关凭据（时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提供截止磋商之日起半年内以来任意时间段的社会保障资金缴存单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参加采购活动前3年内在经营活动中没有重大违法记录的书面声明</w:t>
            </w:r>
          </w:p>
        </w:tc>
        <w:tc>
          <w:tcPr>
            <w:tcW w:type="dxa" w:w="3322"/>
          </w:tcPr>
          <w:p>
            <w:pPr>
              <w:pStyle w:val="null3"/>
            </w:pPr>
            <w:r>
              <w:rPr>
                <w:rFonts w:ascii="仿宋_GB2312" w:hAnsi="仿宋_GB2312" w:cs="仿宋_GB2312" w:eastAsia="仿宋_GB2312"/>
              </w:rPr>
              <w:t>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设计行政主管部门颁发的建筑装饰装修工程专业承包二级以上（含二级）资质证书，并具备有效的安全生产许可证。拟派项目经理须具备建筑工程专业二级以上（含二级）注册建造师执业资格证（在本单位注册）及有效的安全生产考核合格证（建安B证），未担任其它在建工程的项目经理（提供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设计资质</w:t>
            </w:r>
          </w:p>
        </w:tc>
        <w:tc>
          <w:tcPr>
            <w:tcW w:type="dxa" w:w="3322"/>
          </w:tcPr>
          <w:p>
            <w:pPr>
              <w:pStyle w:val="null3"/>
            </w:pPr>
            <w:r>
              <w:rPr>
                <w:rFonts w:ascii="仿宋_GB2312" w:hAnsi="仿宋_GB2312" w:cs="仿宋_GB2312" w:eastAsia="仿宋_GB2312"/>
              </w:rPr>
              <w:t>具备工程设计综合甲级或建筑行业工程设计乙级以上（含乙级）资质或建筑行业（建筑工程）专业设计乙级以上（含乙级）资质或建筑装饰工程设计专项乙级以上（含乙级）资质；拟派设计负责人具有二级及以上注册建筑师资格</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本项目接受联合体响应</w:t>
            </w:r>
          </w:p>
        </w:tc>
        <w:tc>
          <w:tcPr>
            <w:tcW w:type="dxa" w:w="3322"/>
          </w:tcPr>
          <w:p>
            <w:pPr>
              <w:pStyle w:val="null3"/>
            </w:pPr>
            <w:r>
              <w:rPr>
                <w:rFonts w:ascii="仿宋_GB2312" w:hAnsi="仿宋_GB2312" w:cs="仿宋_GB2312" w:eastAsia="仿宋_GB2312"/>
              </w:rPr>
              <w:t>接受联合体，属于联合体的提供联合体协议书。</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响应报价未超过采购预算或最高限价的（合格），响应报价超过采购预算或最高限价的（不合格）</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工期满足竞争性磋商文件要求（合格），工期不满足竞争性磋商文件要求（不合格）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质保期满足竞争性磋商文件要求（合格），质保期不满足竞争性磋商文件要求（不合格）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响应文件签署、盖章符合竞争性磋商文件要求（合格），响应文件签署、盖章不符合竞争性磋商文件要求（不合格）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报价函 技术服务合同条款及其他商务要求应答表 标的清单 响应函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响应文件响应有效期符合竞争性磋商文件要求的（合格），响应文件无响应有效期或有效期达不到竞争性磋商文件要求的（不合格）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未出现法律、法规和磋商文件规定的其他无效情形（合格），出现法律、法规和磋商文件规定的其他无效情形（不合格）</w:t>
            </w:r>
          </w:p>
        </w:tc>
        <w:tc>
          <w:tcPr>
            <w:tcW w:type="dxa" w:w="1661"/>
          </w:tcPr>
          <w:p>
            <w:pPr>
              <w:pStyle w:val="null3"/>
            </w:pPr>
            <w:r>
              <w:rPr>
                <w:rFonts w:ascii="仿宋_GB2312" w:hAnsi="仿宋_GB2312" w:cs="仿宋_GB2312" w:eastAsia="仿宋_GB2312"/>
              </w:rPr>
              <w:t>供应商认为有必要说明的其他问题.docx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分项报价表</w:t>
            </w:r>
          </w:p>
        </w:tc>
        <w:tc>
          <w:tcPr>
            <w:tcW w:type="dxa" w:w="3322"/>
          </w:tcPr>
          <w:p>
            <w:pPr>
              <w:pStyle w:val="null3"/>
            </w:pPr>
            <w:r>
              <w:rPr>
                <w:rFonts w:ascii="仿宋_GB2312" w:hAnsi="仿宋_GB2312" w:cs="仿宋_GB2312" w:eastAsia="仿宋_GB2312"/>
              </w:rPr>
              <w:t>应文件的分项报价表满足采购要求的（合格）响应文件的分项报价表不满足采购要求的（不合格）</w:t>
            </w:r>
          </w:p>
        </w:tc>
        <w:tc>
          <w:tcPr>
            <w:tcW w:type="dxa" w:w="1661"/>
          </w:tcPr>
          <w:p>
            <w:pPr>
              <w:pStyle w:val="null3"/>
            </w:pPr>
            <w:r>
              <w:rPr>
                <w:rFonts w:ascii="仿宋_GB2312" w:hAnsi="仿宋_GB2312" w:cs="仿宋_GB2312" w:eastAsia="仿宋_GB2312"/>
              </w:rPr>
              <w:t>分项报价表.docx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总体项目管理方案</w:t>
            </w:r>
          </w:p>
        </w:tc>
        <w:tc>
          <w:tcPr>
            <w:tcW w:type="dxa" w:w="2492"/>
          </w:tcPr>
          <w:p>
            <w:pPr>
              <w:pStyle w:val="null3"/>
            </w:pPr>
            <w:r>
              <w:rPr>
                <w:rFonts w:ascii="仿宋_GB2312" w:hAnsi="仿宋_GB2312" w:cs="仿宋_GB2312" w:eastAsia="仿宋_GB2312"/>
              </w:rPr>
              <w:t>1.能充分把握项目需求和背景，对项目重点、难点分析清晰，根据响应程度计[2-0）分；未提供不得分。2.项目管理机构构成清晰，链条完整，部门设置合理，责任分工明确，管理措施具体，根据响应程度计[2-0）分；未提供不得分。3.总承包成本管控工作思路清晰，措施具体，内容详细，能有效的控制成本降低风险，根据响应程度计[2-0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总体项目管理方案.docx</w:t>
            </w:r>
          </w:p>
        </w:tc>
      </w:tr>
      <w:tr>
        <w:tc>
          <w:tcPr>
            <w:tcW w:type="dxa" w:w="831"/>
            <w:vMerge/>
          </w:tcPr>
          <w:p/>
        </w:tc>
        <w:tc>
          <w:tcPr>
            <w:tcW w:type="dxa" w:w="1661"/>
          </w:tcPr>
          <w:p>
            <w:pPr>
              <w:pStyle w:val="null3"/>
            </w:pPr>
            <w:r>
              <w:rPr>
                <w:rFonts w:ascii="仿宋_GB2312" w:hAnsi="仿宋_GB2312" w:cs="仿宋_GB2312" w:eastAsia="仿宋_GB2312"/>
              </w:rPr>
              <w:t>方案设计</w:t>
            </w:r>
          </w:p>
        </w:tc>
        <w:tc>
          <w:tcPr>
            <w:tcW w:type="dxa" w:w="2492"/>
          </w:tcPr>
          <w:p>
            <w:pPr>
              <w:pStyle w:val="null3"/>
            </w:pPr>
            <w:r>
              <w:rPr>
                <w:rFonts w:ascii="仿宋_GB2312" w:hAnsi="仿宋_GB2312" w:cs="仿宋_GB2312" w:eastAsia="仿宋_GB2312"/>
              </w:rPr>
              <w:t>1.能充分把握项目需求和背景，充分理解设计任务书，对设计重点、难点分析清晰，根据响应程度计[1-0）分，未提供不得分。2.设计思路清晰、新颖，能较好的展现和突出项目特点和需求，针对性强，根据响应程度计[2-0）分，未提供不得分。3.设计文件完整，深度符合国家标准，内容详细，能提供系统的方案设计、平面图、效果图、多媒体设施等，根据响应程度计[2-0）分，未提供不得分。4.教室规划空间合理、风格新颖，根据响应程度计[2-0）分，不合理或未提供的不得分。 5.装修改造效果满足学院培训教学需求，效果强，根据响应程度计[1-0）分，差或未提供不得分。6.装修改造风格简洁、美观、大方，环境舒适，功能性强，根据响应程度计[2-0）分，差或未提供不得分。 7.多媒体呈现形式新颖，形式多样，能突出教学的特点，根据响应程度计[1-0）分，差或未提供不得分。 8.对工程费用的控制措施具体、有效，能有效的控制工程造价，根据响应程度计[2-0）分，差或未提供不得分。 9.施工图设计执行标准和规范明确，质量控制措施具体、进度计划衔接连贯，能有效的保证工期，根据响应程度计[2-0）分；差或未提供不得分。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1.保证工程质量的技术措施：保证工程质量的技术措施详细、完整、可行，根据响应程度计[2-0）分，差或未提供不得分。 2.工程质量的安全生产组织措施：安全生产的技术组织措施详细、明确、可行；根据响应程度计[2-0）分，差或未提供不得分。 3.施工组织方案：施工组织方案详细、各部分措施具体，与应设计方案文化，根据响应程度计[2-0）分，差或未提供不得分。 4.安全文明施工措施：安全文明施工措施及环境保护措施完整、详细、可行，根据响应程度计[2-0）分，差或未提供不得分。 5.拟派施工项目部：施工项目部组织架构清晰，责任清晰，专业作业队配置齐全、详细，根据响应程度计[2-0）分；差或未提供不得分。 6.施工机械设备配备计划：主要机械设备配备齐全、合理，根据响应程度计[2-0）分；差或未提供不得分。 7.劳动力安排计划：劳动力安排详细、合理，根据响应程度计[2-0）分；差或未提供不得分。 8.工程进度计划及措施：工期满足采购要求，提供工程进度表或施工网络图以及详细的措施，工期控制连贯、清晰、合理、规范，根据响应程度计[2-0）分；差或未提供不得分。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供应商需按设计方案提供主要材料清单（包括但不限于墙体立面、地面、多媒体等） 1.主材清单：①主材清单品目与设计方案吻合，清单描述完整清晰（包含但不限于主材规格型号、品牌、参数等），根据详细程度计［8-6）分。②主材清单品目与设计方案基本吻合，有相应的清单描述，根据完整程度和详细程度计［6-3）分。③主材清单品目与设计方案偏离较大，计［3-0）分，未提供的得0分。 2.根据供应商针对本项目上述拟采用主要材料品牌评分。主要材料为国内市场主流中档及以上品牌产品比例达到： ①90％以上计10分。 ②［70％-90％）计8分。 ③［50％-70％）计6分。 ④［30％-50％）计4分。 ⑤30％以下计2分。 注：①供应商需提供主材品牌的市场的情况说明。②主材品牌档次须全体磋商小组成员一致认定。</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主要材料选型.docx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每提供1份供应商2022年7月1日至今类似工程业绩（装修改造类，设计施工均可）计1分，最多5分。 注：①时间以合同签订时间为准。②提供合同复印件，至少包括封面、内容页、盖章页。③联合体任意一方提供的均可。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40分。其他供应商的价格分按照下列公式计算：磋商报价得分=(磋商基准价/磋商报价)×40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详见附件：方案设计.docx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详见附件：主要材料选型.docx</w:t>
      </w:r>
    </w:p>
    <w:p>
      <w:pPr>
        <w:pStyle w:val="null3"/>
        <w:ind w:firstLine="960"/>
      </w:pPr>
      <w:r>
        <w:rPr>
          <w:rFonts w:ascii="仿宋_GB2312" w:hAnsi="仿宋_GB2312" w:cs="仿宋_GB2312" w:eastAsia="仿宋_GB2312"/>
        </w:rPr>
        <w:t>详见附件：总体项目管理方案.docx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详见附件：合同版本.docx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