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版本号：RH采字【20250618】号20250710001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运动场地维修改造工程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RH采字【20250618】号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运动场地维修改造工程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RH采字【20250618】号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运动场地维修改造工程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理工大学运动场地维修改造项目。西安理工大学曲江校区（一期）羽毛球场、乒乓球场、排球场（整体一片），为水泥石子场地，地面较硬且特别光滑，不符合体育教学训练和运动锻炼要求。金花校区篮球场已使用多年，较为陈旧，且已多处破损，不仅影响体育课教学及师生锻炼活动体验，同样也存在运动风险与安全隐患。现对曲江校区（一期）羽毛球场、乒乓球场、排球场以及金花校区篮球场进行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采购包1（运动场地维修改造工程）：属于专门面向中小企业采购。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2023年或2024年度的财务报告（成立时间至递交响应文件截止时间不足一年的可提供成立后任意时段的资产负债表）或递交响应文件截止时间前六个月内银行出具的资信证明（附开户许可证或开户备案证明或基本账户信息）；其他组织和自然人提供银行出具的资信证明或财务报表。根据《财政部关于注册会计师行业统一监管平台上线运行的通知》财办〔2022〕32号文件要求，2023年或2024年的审计报告须有二维码，若审计报告未赋码视为无效。</w:t>
      </w:r>
    </w:p>
    <w:p>
      <w:pPr>
        <w:pStyle w:val="null3"/>
      </w:pPr>
      <w:r>
        <w:rPr>
          <w:rFonts w:ascii="仿宋_GB2312" w:hAnsi="仿宋_GB2312" w:cs="仿宋_GB2312" w:eastAsia="仿宋_GB2312"/>
        </w:rPr>
        <w:t>3、有依法缴纳税收的良好记录：法人提供响应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7、法定代表人授权书、法定代表人身份证明合格：提供合格的法定代表人授权书（附法定代表人、被授权人身份证复印件）或法定代表人身份证明（法定代表人直接参加的）。</w:t>
      </w:r>
    </w:p>
    <w:p>
      <w:pPr>
        <w:pStyle w:val="null3"/>
      </w:pPr>
      <w:r>
        <w:rPr>
          <w:rFonts w:ascii="仿宋_GB2312" w:hAnsi="仿宋_GB2312" w:cs="仿宋_GB2312" w:eastAsia="仿宋_GB2312"/>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pPr>
      <w:r>
        <w:rPr>
          <w:rFonts w:ascii="仿宋_GB2312" w:hAnsi="仿宋_GB2312" w:cs="仿宋_GB2312" w:eastAsia="仿宋_GB2312"/>
        </w:rPr>
        <w:t>9、供应商企业资质：具备建设行政主管部门颁发的建筑工程施工总承包三级以上（含三级）资质，并具有有效的安全生产许可证。</w:t>
      </w:r>
    </w:p>
    <w:p>
      <w:pPr>
        <w:pStyle w:val="null3"/>
      </w:pPr>
      <w:r>
        <w:rPr>
          <w:rFonts w:ascii="仿宋_GB2312" w:hAnsi="仿宋_GB2312" w:cs="仿宋_GB2312" w:eastAsia="仿宋_GB2312"/>
        </w:rPr>
        <w:t>10、拟派项目负责人资格和专业要求：具备建筑工程专业二级以上（含二级）注册建造师资格及合格的安全生产考核合格证（建安B证），须在本单位注册，且无在建项目（提供承诺）。</w:t>
      </w:r>
    </w:p>
    <w:p>
      <w:pPr>
        <w:pStyle w:val="null3"/>
      </w:pPr>
      <w:r>
        <w:rPr>
          <w:rFonts w:ascii="仿宋_GB2312" w:hAnsi="仿宋_GB2312" w:cs="仿宋_GB2312" w:eastAsia="仿宋_GB2312"/>
        </w:rPr>
        <w:t>11、外省进陕企业要求：供应商为外省进陕企业的，须提供陕西省住房和城乡建设厅官网企业库外省进陕企业信息首页截图。</w:t>
      </w:r>
    </w:p>
    <w:p>
      <w:pPr>
        <w:pStyle w:val="null3"/>
      </w:pPr>
      <w:r>
        <w:rPr>
          <w:rFonts w:ascii="仿宋_GB2312" w:hAnsi="仿宋_GB2312" w:cs="仿宋_GB2312" w:eastAsia="仿宋_GB2312"/>
        </w:rPr>
        <w:t>12、供应商建设诚信平台信誉：供应商不得在项目所在地各级建设诚信平台被列为投标受限制的行为人（提供承诺）。</w:t>
      </w:r>
    </w:p>
    <w:p>
      <w:pPr>
        <w:pStyle w:val="null3"/>
      </w:pPr>
      <w:r>
        <w:rPr>
          <w:rFonts w:ascii="仿宋_GB2312" w:hAnsi="仿宋_GB2312" w:cs="仿宋_GB2312" w:eastAsia="仿宋_GB2312"/>
        </w:rPr>
        <w:t>13、专门面向中小企业采购要求：本项目专门面向中小企业采购，承建单位（施工单位）应为中型企业或小型、微型企业或监狱企业或残疾人福利性单位。承建单位（施工单位）为中型、小型、微型企业的，供应商提供《中小企业声明函》；承建单位（施工单位）为监狱企业的，供应商应提供《监狱企业证明文件》；承建单位（施工单位）为残疾人福利性单位的，供应商应提供《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02982312371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石雨鑫、张丰利、刘菲、王倩倩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说明：成交供应商于合同签订前缴纳，缴纳金额为合同金额的5%。 缴纳方式:银行转账、支票/汇票/本票、保函/保险; 履约保证金汇款账户: 户名:西安理工大学 开户银行:中国银行西安金花南路支行 账号:102891574567 退还方式:待合同执行完毕、工程竣工验收合格后凭收据和验收单复印件无息退还。如遇下列情况之一者，合同履约保证金不予退还，作为对采购人的赔偿:(1)合同签订后不能按合同时限要求提供服务的；(2)所提供的服务与合同不符或验收不合格的；(3)不能按合同履约的。</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及（发改办价格[2011]534号）的规定，按标准的60%计费；造价咨询服务收费（编制工程量清单及计价）收费标准：按照《陕西省物价局陕西省住房和城乡建设厅关于我省工程造价咨询服务收费标准有关问题的通知》陕价行发（2014）88号文的有关规定，按标准的70%计费。 户名：瑞恒项目管理有限公司 开户行：工行西安城南科技支行 账号：3700024819200044620</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踏勘时间：2025-07-18 09:30:00</w:t>
            </w:r>
          </w:p>
          <w:p>
            <w:pPr>
              <w:pStyle w:val="null3"/>
              <w:ind w:firstLine="975"/>
            </w:pPr>
            <w:r>
              <w:rPr>
                <w:rFonts w:ascii="仿宋_GB2312" w:hAnsi="仿宋_GB2312" w:cs="仿宋_GB2312" w:eastAsia="仿宋_GB2312"/>
              </w:rPr>
              <w:t>踏勘地点：西安理工大学曲江校区东校区东门（雁翔路58号）集合，先踏勘曲江校区，曲江校区踏勘结束后踏勘金花校区。</w:t>
            </w:r>
          </w:p>
          <w:p>
            <w:pPr>
              <w:pStyle w:val="null3"/>
              <w:ind w:firstLine="975"/>
            </w:pPr>
            <w:r>
              <w:rPr>
                <w:rFonts w:ascii="仿宋_GB2312" w:hAnsi="仿宋_GB2312" w:cs="仿宋_GB2312" w:eastAsia="仿宋_GB2312"/>
              </w:rPr>
              <w:t>联系人：葛老师、张老师</w:t>
            </w:r>
          </w:p>
          <w:p>
            <w:pPr>
              <w:pStyle w:val="null3"/>
              <w:ind w:firstLine="975"/>
            </w:pPr>
            <w:r>
              <w:rPr>
                <w:rFonts w:ascii="仿宋_GB2312" w:hAnsi="仿宋_GB2312" w:cs="仿宋_GB2312" w:eastAsia="仿宋_GB2312"/>
              </w:rPr>
              <w:t>联系电话号码：029-82312752 029-82312903 13572846991</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西安理工大学</w:t>
      </w:r>
      <w:r>
        <w:rPr>
          <w:rFonts w:ascii="仿宋_GB2312" w:hAnsi="仿宋_GB2312" w:cs="仿宋_GB2312" w:eastAsia="仿宋_GB2312"/>
        </w:rPr>
        <w:t>负责解释。除上述磋商文件内容，其他内容由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详见磋商文件及合同文本。</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联系人：石雨鑫、张丰利、刘菲、王倩倩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 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2,850,000.00</w:t>
      </w:r>
    </w:p>
    <w:p>
      <w:pPr>
        <w:pStyle w:val="null3"/>
      </w:pPr>
      <w:r>
        <w:rPr>
          <w:rFonts w:ascii="仿宋_GB2312" w:hAnsi="仿宋_GB2312" w:cs="仿宋_GB2312" w:eastAsia="仿宋_GB2312"/>
        </w:rPr>
        <w:t>采购包最高限价（元）: 2,698,387.00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运动场地维修改造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2,850,000.00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标的名称：运动场地维修改造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一、项目概况：</w:t>
            </w:r>
          </w:p>
          <w:p>
            <w:pPr>
              <w:pStyle w:val="null3"/>
              <w:jc w:val="both"/>
            </w:pPr>
            <w:r>
              <w:rPr>
                <w:rFonts w:ascii="仿宋_GB2312" w:hAnsi="仿宋_GB2312" w:cs="仿宋_GB2312" w:eastAsia="仿宋_GB2312"/>
                <w:sz w:val="20"/>
              </w:rPr>
              <w:t>本项目为西安理工大学运动场地维修改造项目。西安理工大学曲江校区（一期）羽毛球场、乒乓球场、排球场（整体一片），为水泥石子场地，地面较硬且特别光滑，不符合体育教学训练和运动锻炼要求。金花校区篮球场已使用多年，较为陈旧，且已多处破损，不仅影响体育课教学及师生锻炼活动体验，同样也存在运动风险与安全隐患。现对曲江校区（一期）羽毛球场、乒乓球场、排球场以及金花校区篮球场进行改造。</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0"/>
                <w:b/>
              </w:rPr>
              <w:t>二、工程内容：</w:t>
            </w:r>
          </w:p>
          <w:p>
            <w:pPr>
              <w:pStyle w:val="null3"/>
              <w:jc w:val="left"/>
            </w:pPr>
            <w:r>
              <w:rPr>
                <w:rFonts w:ascii="仿宋_GB2312" w:hAnsi="仿宋_GB2312" w:cs="仿宋_GB2312" w:eastAsia="仿宋_GB2312"/>
                <w:sz w:val="20"/>
              </w:rPr>
              <w:t>1.曲江校区（一期）羽毛球场、乒乓球场、排球场总面积约4455㎡，球场改造工程包含基础处理和面层铺设、排水沟清理及修复、东南角沉降地面场地处理、整体新做8㎜的硅PU球场面层，并施划标识标线等；金花校区篮球场总面积约6438㎡，改造工程包括拆除老化的旧复合型塑胶、排水沟清理及修复、对基础进行打磨修复、重新铺装专用硅PU塑胶。</w:t>
            </w:r>
          </w:p>
          <w:p>
            <w:pPr>
              <w:pStyle w:val="null3"/>
              <w:jc w:val="left"/>
            </w:pPr>
            <w:r>
              <w:rPr>
                <w:rFonts w:ascii="仿宋_GB2312" w:hAnsi="仿宋_GB2312" w:cs="仿宋_GB2312" w:eastAsia="仿宋_GB2312"/>
                <w:sz w:val="20"/>
              </w:rPr>
              <w:t>2.维修改造场地内的设施拆除、搬运及恢复等。</w:t>
            </w:r>
          </w:p>
          <w:p>
            <w:pPr>
              <w:pStyle w:val="null3"/>
              <w:jc w:val="left"/>
            </w:pPr>
            <w:r>
              <w:rPr>
                <w:rFonts w:ascii="仿宋_GB2312" w:hAnsi="仿宋_GB2312" w:cs="仿宋_GB2312" w:eastAsia="仿宋_GB2312"/>
                <w:sz w:val="20"/>
              </w:rPr>
              <w:t>3.场地改造产生的建筑垃圾清运等。</w:t>
            </w:r>
          </w:p>
          <w:p>
            <w:pPr>
              <w:pStyle w:val="null3"/>
              <w:jc w:val="both"/>
            </w:pPr>
            <w:r>
              <w:rPr>
                <w:rFonts w:ascii="仿宋_GB2312" w:hAnsi="仿宋_GB2312" w:cs="仿宋_GB2312" w:eastAsia="仿宋_GB2312"/>
                <w:sz w:val="20"/>
              </w:rPr>
              <w:t>具体详见本采购文件、工程量清单、图纸等文件。</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三、工期：</w:t>
            </w:r>
            <w:r>
              <w:rPr>
                <w:rFonts w:ascii="仿宋_GB2312" w:hAnsi="仿宋_GB2312" w:cs="仿宋_GB2312" w:eastAsia="仿宋_GB2312"/>
                <w:sz w:val="20"/>
              </w:rPr>
              <w:t>合同签订后</w:t>
            </w:r>
            <w:r>
              <w:rPr>
                <w:rFonts w:ascii="仿宋_GB2312" w:hAnsi="仿宋_GB2312" w:cs="仿宋_GB2312" w:eastAsia="仿宋_GB2312"/>
                <w:sz w:val="20"/>
              </w:rPr>
              <w:t>60日历天</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b/>
              </w:rPr>
              <w:t>四、项目地点：</w:t>
            </w:r>
            <w:r>
              <w:rPr>
                <w:rFonts w:ascii="仿宋_GB2312" w:hAnsi="仿宋_GB2312" w:cs="仿宋_GB2312" w:eastAsia="仿宋_GB2312"/>
                <w:sz w:val="20"/>
              </w:rPr>
              <w:t>西安理工大学金花校区、曲江校区（一期）</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0"/>
                <w:b/>
              </w:rPr>
              <w:t>五、</w:t>
            </w:r>
            <w:r>
              <w:rPr>
                <w:rFonts w:ascii="仿宋_GB2312" w:hAnsi="仿宋_GB2312" w:cs="仿宋_GB2312" w:eastAsia="仿宋_GB2312"/>
                <w:sz w:val="20"/>
                <w:b/>
              </w:rPr>
              <w:t>质保期限：</w:t>
            </w:r>
          </w:p>
          <w:p>
            <w:pPr>
              <w:pStyle w:val="null3"/>
              <w:jc w:val="both"/>
            </w:pPr>
            <w:r>
              <w:rPr>
                <w:rFonts w:ascii="仿宋_GB2312" w:hAnsi="仿宋_GB2312" w:cs="仿宋_GB2312" w:eastAsia="仿宋_GB2312"/>
                <w:sz w:val="20"/>
              </w:rPr>
              <w:t>自验收合格之日起，材料及施工质量免费质保期不低于</w:t>
            </w:r>
            <w:r>
              <w:rPr>
                <w:rFonts w:ascii="仿宋_GB2312" w:hAnsi="仿宋_GB2312" w:cs="仿宋_GB2312" w:eastAsia="仿宋_GB2312"/>
                <w:sz w:val="20"/>
              </w:rPr>
              <w:t>2年</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0"/>
                <w:b/>
              </w:rPr>
              <w:t>六、技术要求：</w:t>
            </w:r>
          </w:p>
          <w:p>
            <w:pPr>
              <w:pStyle w:val="null3"/>
              <w:ind w:firstLine="400"/>
              <w:jc w:val="left"/>
            </w:pPr>
            <w:r>
              <w:rPr>
                <w:rFonts w:ascii="仿宋_GB2312" w:hAnsi="仿宋_GB2312" w:cs="仿宋_GB2312" w:eastAsia="仿宋_GB2312"/>
                <w:sz w:val="20"/>
              </w:rPr>
              <w:t>供应商应在已标价工程量清单及响应文件中注明主要材料选用品牌、规格型号等，要求所有建筑材料采用环保型材料，阻燃、无毒、无害、无放射性。供应商需提供主要施工材料来源渠道合法的证明文件</w:t>
            </w:r>
            <w:r>
              <w:rPr>
                <w:rFonts w:ascii="仿宋_GB2312" w:hAnsi="仿宋_GB2312" w:cs="仿宋_GB2312" w:eastAsia="仿宋_GB2312"/>
                <w:sz w:val="20"/>
              </w:rPr>
              <w:t>(包括但不限于销售协议、代理协议、原厂授权等)。</w:t>
            </w:r>
          </w:p>
          <w:p>
            <w:pPr>
              <w:pStyle w:val="null3"/>
              <w:ind w:firstLine="400"/>
              <w:jc w:val="left"/>
            </w:pPr>
            <w:r>
              <w:rPr>
                <w:rFonts w:ascii="仿宋_GB2312" w:hAnsi="仿宋_GB2312" w:cs="仿宋_GB2312" w:eastAsia="仿宋_GB2312"/>
                <w:sz w:val="20"/>
              </w:rPr>
              <w:t>所有建筑材料采用环保型，主要材料进场时（</w:t>
            </w:r>
            <w:r>
              <w:rPr>
                <w:rFonts w:ascii="仿宋_GB2312" w:hAnsi="仿宋_GB2312" w:cs="仿宋_GB2312" w:eastAsia="仿宋_GB2312"/>
              </w:rPr>
              <w:t>进场时检测材料</w:t>
            </w:r>
            <w:r>
              <w:rPr>
                <w:rFonts w:ascii="仿宋_GB2312" w:hAnsi="仿宋_GB2312" w:cs="仿宋_GB2312" w:eastAsia="仿宋_GB2312"/>
                <w:sz w:val="20"/>
              </w:rPr>
              <w:t>）和完工后</w:t>
            </w:r>
            <w:r>
              <w:rPr>
                <w:rFonts w:ascii="仿宋_GB2312" w:hAnsi="仿宋_GB2312" w:cs="仿宋_GB2312" w:eastAsia="仿宋_GB2312"/>
              </w:rPr>
              <w:t>（</w:t>
            </w:r>
            <w:r>
              <w:rPr>
                <w:rFonts w:ascii="仿宋_GB2312" w:hAnsi="仿宋_GB2312" w:cs="仿宋_GB2312" w:eastAsia="仿宋_GB2312"/>
              </w:rPr>
              <w:t>完工后整体检测</w:t>
            </w:r>
            <w:r>
              <w:rPr>
                <w:rFonts w:ascii="仿宋_GB2312" w:hAnsi="仿宋_GB2312" w:cs="仿宋_GB2312" w:eastAsia="仿宋_GB2312"/>
              </w:rPr>
              <w:t>）</w:t>
            </w:r>
            <w:r>
              <w:rPr>
                <w:rFonts w:ascii="仿宋_GB2312" w:hAnsi="仿宋_GB2312" w:cs="仿宋_GB2312" w:eastAsia="仿宋_GB2312"/>
                <w:sz w:val="20"/>
              </w:rPr>
              <w:t>由体育教学部、后勤处、实验室管理处共同</w:t>
            </w:r>
            <w:r>
              <w:rPr>
                <w:rFonts w:ascii="仿宋_GB2312" w:hAnsi="仿宋_GB2312" w:cs="仿宋_GB2312" w:eastAsia="仿宋_GB2312"/>
                <w:sz w:val="20"/>
                <w:b/>
              </w:rPr>
              <w:t>委托专业检测机构进行环保检测</w:t>
            </w:r>
            <w:r>
              <w:rPr>
                <w:rFonts w:ascii="仿宋_GB2312" w:hAnsi="仿宋_GB2312" w:cs="仿宋_GB2312" w:eastAsia="仿宋_GB2312"/>
                <w:sz w:val="20"/>
                <w:b/>
              </w:rPr>
              <w:t>(费用由乙方承担，包含在工程费中)</w:t>
            </w:r>
            <w:r>
              <w:rPr>
                <w:rFonts w:ascii="仿宋_GB2312" w:hAnsi="仿宋_GB2312" w:cs="仿宋_GB2312" w:eastAsia="仿宋_GB2312"/>
                <w:sz w:val="20"/>
              </w:rPr>
              <w:t>，因乙方施工不善或材料使用不当发生工程事故及人员伤害的，责任和由此而发生的各种费用由乙方全部承担。具体要求如下：</w:t>
            </w:r>
          </w:p>
          <w:p>
            <w:pPr>
              <w:pStyle w:val="null3"/>
              <w:jc w:val="both"/>
            </w:pPr>
            <w:r>
              <w:rPr>
                <w:rFonts w:ascii="仿宋_GB2312" w:hAnsi="仿宋_GB2312" w:cs="仿宋_GB2312" w:eastAsia="仿宋_GB2312"/>
                <w:sz w:val="20"/>
                <w:b/>
              </w:rPr>
              <w:t>（一）主材规格标准与参数要求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物理机械性能标准：</w:t>
            </w:r>
          </w:p>
          <w:tbl>
            <w:tblPr>
              <w:tblBorders>
                <w:top w:val="none" w:color="000000" w:sz="4"/>
                <w:left w:val="none" w:color="000000" w:sz="4"/>
                <w:bottom w:val="none" w:color="000000" w:sz="4"/>
                <w:right w:val="none" w:color="000000" w:sz="4"/>
                <w:insideH w:val="none"/>
                <w:insideV w:val="none"/>
              </w:tblBorders>
            </w:tblPr>
            <w:tblGrid>
              <w:gridCol w:w="574"/>
              <w:gridCol w:w="772"/>
              <w:gridCol w:w="1195"/>
            </w:tblGrid>
            <w:tr>
              <w:tc>
                <w:tcPr>
                  <w:tcW w:type="dxa" w:w="134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w:t>
                  </w:r>
                </w:p>
              </w:tc>
              <w:tc>
                <w:tcPr>
                  <w:tcW w:type="dxa" w:w="1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指标要求</w:t>
                  </w:r>
                </w:p>
              </w:tc>
            </w:tr>
            <w:tr>
              <w:tc>
                <w:tcPr>
                  <w:tcW w:type="dxa" w:w="13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厚度</w:t>
                  </w:r>
                  <w:r>
                    <w:rPr>
                      <w:rFonts w:ascii="仿宋_GB2312" w:hAnsi="仿宋_GB2312" w:cs="仿宋_GB2312" w:eastAsia="仿宋_GB2312"/>
                      <w:sz w:val="20"/>
                    </w:rPr>
                    <w:t>/mm</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8mm</w:t>
                  </w:r>
                </w:p>
              </w:tc>
            </w:tr>
            <w:tr>
              <w:tc>
                <w:tcPr>
                  <w:tcW w:type="dxa" w:w="13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冲击吸收</w:t>
                  </w:r>
                  <w:r>
                    <w:rPr>
                      <w:rFonts w:ascii="仿宋_GB2312" w:hAnsi="仿宋_GB2312" w:cs="仿宋_GB2312" w:eastAsia="仿宋_GB2312"/>
                      <w:sz w:val="20"/>
                    </w:rPr>
                    <w:t>/%</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r>
                    <w:rPr>
                      <w:rFonts w:ascii="仿宋_GB2312" w:hAnsi="仿宋_GB2312" w:cs="仿宋_GB2312" w:eastAsia="仿宋_GB2312"/>
                      <w:sz w:val="20"/>
                    </w:rPr>
                    <w:t>～</w:t>
                  </w:r>
                  <w:r>
                    <w:rPr>
                      <w:rFonts w:ascii="仿宋_GB2312" w:hAnsi="仿宋_GB2312" w:cs="仿宋_GB2312" w:eastAsia="仿宋_GB2312"/>
                      <w:sz w:val="20"/>
                    </w:rPr>
                    <w:t>50</w:t>
                  </w:r>
                </w:p>
              </w:tc>
            </w:tr>
            <w:tr>
              <w:tc>
                <w:tcPr>
                  <w:tcW w:type="dxa" w:w="13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垂直变形</w:t>
                  </w:r>
                  <w:r>
                    <w:rPr>
                      <w:rFonts w:ascii="仿宋_GB2312" w:hAnsi="仿宋_GB2312" w:cs="仿宋_GB2312" w:eastAsia="仿宋_GB2312"/>
                      <w:sz w:val="20"/>
                    </w:rPr>
                    <w:t>/mm</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0.6</w:t>
                  </w:r>
                  <w:r>
                    <w:rPr>
                      <w:rFonts w:ascii="仿宋_GB2312" w:hAnsi="仿宋_GB2312" w:cs="仿宋_GB2312" w:eastAsia="仿宋_GB2312"/>
                      <w:sz w:val="20"/>
                    </w:rPr>
                    <w:t>～</w:t>
                  </w:r>
                  <w:r>
                    <w:rPr>
                      <w:rFonts w:ascii="仿宋_GB2312" w:hAnsi="仿宋_GB2312" w:cs="仿宋_GB2312" w:eastAsia="仿宋_GB2312"/>
                      <w:sz w:val="20"/>
                    </w:rPr>
                    <w:t>3.0</w:t>
                  </w:r>
                </w:p>
              </w:tc>
            </w:tr>
            <w:tr>
              <w:tc>
                <w:tcPr>
                  <w:tcW w:type="dxa" w:w="13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抗滑值（</w:t>
                  </w:r>
                  <w:r>
                    <w:rPr>
                      <w:rFonts w:ascii="仿宋_GB2312" w:hAnsi="仿宋_GB2312" w:cs="仿宋_GB2312" w:eastAsia="仿宋_GB2312"/>
                      <w:sz w:val="20"/>
                    </w:rPr>
                    <w:t>20</w:t>
                  </w:r>
                  <w:r>
                    <w:rPr>
                      <w:rFonts w:ascii="仿宋_GB2312" w:hAnsi="仿宋_GB2312" w:cs="仿宋_GB2312" w:eastAsia="仿宋_GB2312"/>
                      <w:sz w:val="20"/>
                    </w:rPr>
                    <w:t>℃）</w:t>
                  </w:r>
                  <w:r>
                    <w:rPr>
                      <w:rFonts w:ascii="仿宋_GB2312" w:hAnsi="仿宋_GB2312" w:cs="仿宋_GB2312" w:eastAsia="仿宋_GB2312"/>
                      <w:sz w:val="20"/>
                    </w:rPr>
                    <w:t>/BPN</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r>
                    <w:rPr>
                      <w:rFonts w:ascii="仿宋_GB2312" w:hAnsi="仿宋_GB2312" w:cs="仿宋_GB2312" w:eastAsia="仿宋_GB2312"/>
                      <w:sz w:val="20"/>
                    </w:rPr>
                    <w:t>～</w:t>
                  </w:r>
                  <w:r>
                    <w:rPr>
                      <w:rFonts w:ascii="仿宋_GB2312" w:hAnsi="仿宋_GB2312" w:cs="仿宋_GB2312" w:eastAsia="仿宋_GB2312"/>
                      <w:sz w:val="20"/>
                    </w:rPr>
                    <w:t>110</w:t>
                  </w:r>
                  <w:r>
                    <w:rPr>
                      <w:rFonts w:ascii="仿宋_GB2312" w:hAnsi="仿宋_GB2312" w:cs="仿宋_GB2312" w:eastAsia="仿宋_GB2312"/>
                      <w:sz w:val="20"/>
                    </w:rPr>
                    <w:t>（干测）</w:t>
                  </w:r>
                </w:p>
              </w:tc>
            </w:tr>
            <w:tr>
              <w:tc>
                <w:tcPr>
                  <w:tcW w:type="dxa" w:w="5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拉伸强度</w:t>
                  </w:r>
                  <w:r>
                    <w:rPr>
                      <w:rFonts w:ascii="仿宋_GB2312" w:hAnsi="仿宋_GB2312" w:cs="仿宋_GB2312" w:eastAsia="仿宋_GB2312"/>
                      <w:sz w:val="20"/>
                    </w:rPr>
                    <w:t>/MPa</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渗水型面层</w:t>
                  </w:r>
                </w:p>
              </w:tc>
              <w:tc>
                <w:tcPr>
                  <w:tcW w:type="dxa" w:w="1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0.4</w:t>
                  </w:r>
                </w:p>
              </w:tc>
            </w:tr>
            <w:tr>
              <w:tc>
                <w:tcPr>
                  <w:tcW w:type="dxa" w:w="574"/>
                  <w:vMerge/>
                  <w:tcBorders>
                    <w:top w:val="none" w:color="000000" w:sz="4"/>
                    <w:left w:val="single" w:color="000000" w:sz="4"/>
                    <w:bottom w:val="single" w:color="000000" w:sz="4"/>
                    <w:right w:val="single" w:color="000000" w:sz="4"/>
                  </w:tcBorders>
                </w:tcP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非渗水型面层</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0.5</w:t>
                  </w:r>
                </w:p>
              </w:tc>
            </w:tr>
            <w:tr>
              <w:tc>
                <w:tcPr>
                  <w:tcW w:type="dxa" w:w="13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拉断伸长率</w:t>
                  </w:r>
                  <w:r>
                    <w:rPr>
                      <w:rFonts w:ascii="仿宋_GB2312" w:hAnsi="仿宋_GB2312" w:cs="仿宋_GB2312" w:eastAsia="仿宋_GB2312"/>
                      <w:sz w:val="20"/>
                    </w:rPr>
                    <w:t>/%</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40</w:t>
                  </w:r>
                </w:p>
              </w:tc>
            </w:tr>
            <w:tr>
              <w:tc>
                <w:tcPr>
                  <w:tcW w:type="dxa" w:w="13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阻燃性能</w:t>
                  </w:r>
                  <w:r>
                    <w:rPr>
                      <w:rFonts w:ascii="仿宋_GB2312" w:hAnsi="仿宋_GB2312" w:cs="仿宋_GB2312" w:eastAsia="仿宋_GB2312"/>
                      <w:sz w:val="20"/>
                    </w:rPr>
                    <w:t>/</w:t>
                  </w:r>
                  <w:r>
                    <w:rPr>
                      <w:rFonts w:ascii="仿宋_GB2312" w:hAnsi="仿宋_GB2312" w:cs="仿宋_GB2312" w:eastAsia="仿宋_GB2312"/>
                      <w:sz w:val="20"/>
                    </w:rPr>
                    <w:t>级</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w:t>
                  </w:r>
                  <w:r>
                    <w:rPr>
                      <w:rFonts w:ascii="仿宋_GB2312" w:hAnsi="仿宋_GB2312" w:cs="仿宋_GB2312" w:eastAsia="仿宋_GB2312"/>
                      <w:sz w:val="20"/>
                    </w:rPr>
                    <w:t>级</w:t>
                  </w:r>
                </w:p>
              </w:tc>
            </w:tr>
          </w:tbl>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要求：</w:t>
            </w:r>
          </w:p>
          <w:p>
            <w:pPr>
              <w:pStyle w:val="null3"/>
              <w:ind w:firstLine="400"/>
              <w:jc w:val="left"/>
            </w:pPr>
            <w:r>
              <w:rPr>
                <w:rFonts w:ascii="仿宋_GB2312" w:hAnsi="仿宋_GB2312" w:cs="仿宋_GB2312" w:eastAsia="仿宋_GB2312"/>
                <w:sz w:val="20"/>
              </w:rPr>
              <w:t>①</w:t>
            </w:r>
            <w:r>
              <w:rPr>
                <w:rFonts w:ascii="仿宋_GB2312" w:hAnsi="仿宋_GB2312" w:cs="仿宋_GB2312" w:eastAsia="仿宋_GB2312"/>
                <w:sz w:val="20"/>
              </w:rPr>
              <w:t>球场面层材料：硅</w:t>
            </w:r>
            <w:r>
              <w:rPr>
                <w:rFonts w:ascii="仿宋_GB2312" w:hAnsi="仿宋_GB2312" w:cs="仿宋_GB2312" w:eastAsia="仿宋_GB2312"/>
                <w:sz w:val="20"/>
              </w:rPr>
              <w:t>PU球场面层，厚度8mm。</w:t>
            </w:r>
          </w:p>
          <w:p>
            <w:pPr>
              <w:pStyle w:val="null3"/>
              <w:ind w:firstLine="400"/>
              <w:jc w:val="left"/>
            </w:pPr>
            <w:r>
              <w:rPr>
                <w:rFonts w:ascii="仿宋_GB2312" w:hAnsi="仿宋_GB2312" w:cs="仿宋_GB2312" w:eastAsia="仿宋_GB2312"/>
                <w:sz w:val="20"/>
              </w:rPr>
              <w:t>②</w:t>
            </w:r>
            <w:r>
              <w:rPr>
                <w:rFonts w:ascii="仿宋_GB2312" w:hAnsi="仿宋_GB2312" w:cs="仿宋_GB2312" w:eastAsia="仿宋_GB2312"/>
                <w:sz w:val="20"/>
              </w:rPr>
              <w:t>工艺：底涂层、弹性层、加强层、面漆。</w:t>
            </w:r>
          </w:p>
          <w:p>
            <w:pPr>
              <w:pStyle w:val="null3"/>
              <w:ind w:firstLine="400"/>
              <w:jc w:val="left"/>
            </w:pPr>
            <w:r>
              <w:rPr>
                <w:rFonts w:ascii="仿宋_GB2312" w:hAnsi="仿宋_GB2312" w:cs="仿宋_GB2312" w:eastAsia="仿宋_GB2312"/>
                <w:sz w:val="20"/>
              </w:rPr>
              <w:t>③</w:t>
            </w:r>
            <w:r>
              <w:rPr>
                <w:rFonts w:ascii="仿宋_GB2312" w:hAnsi="仿宋_GB2312" w:cs="仿宋_GB2312" w:eastAsia="仿宋_GB2312"/>
                <w:sz w:val="20"/>
              </w:rPr>
              <w:t>特性：原材料为桶装液态浆料，弹性层为有机硅改性聚氨酯结构，加强层为纯聚氨酯高强度结构，面漆层为双组份反应型丙烯酸类聚氨酯耐磨面层材质。</w:t>
            </w:r>
          </w:p>
          <w:p>
            <w:pPr>
              <w:pStyle w:val="null3"/>
              <w:ind w:firstLine="400"/>
              <w:jc w:val="left"/>
            </w:pPr>
            <w:r>
              <w:rPr>
                <w:rFonts w:ascii="仿宋_GB2312" w:hAnsi="仿宋_GB2312" w:cs="仿宋_GB2312" w:eastAsia="仿宋_GB2312"/>
                <w:sz w:val="20"/>
              </w:rPr>
              <w:t>④</w:t>
            </w:r>
            <w:r>
              <w:rPr>
                <w:rFonts w:ascii="仿宋_GB2312" w:hAnsi="仿宋_GB2312" w:cs="仿宋_GB2312" w:eastAsia="仿宋_GB2312"/>
                <w:sz w:val="20"/>
              </w:rPr>
              <w:t>颜色：按照供应商提供的色卡选择，常用为天蓝色、红色、绿、灰等，色牢度符合相关标准。</w:t>
            </w:r>
          </w:p>
          <w:p>
            <w:pPr>
              <w:pStyle w:val="null3"/>
              <w:jc w:val="left"/>
            </w:pPr>
            <w:r>
              <w:rPr>
                <w:rFonts w:ascii="仿宋_GB2312" w:hAnsi="仿宋_GB2312" w:cs="仿宋_GB2312" w:eastAsia="仿宋_GB2312"/>
                <w:sz w:val="20"/>
              </w:rPr>
              <w:t>3.环保要求：符合新国标GB 36246-2018检测标准。</w:t>
            </w:r>
          </w:p>
          <w:p>
            <w:pPr>
              <w:pStyle w:val="null3"/>
              <w:spacing w:before="120" w:after="120"/>
              <w:jc w:val="center"/>
            </w:pPr>
            <w:r>
              <w:rPr>
                <w:rFonts w:ascii="仿宋_GB2312" w:hAnsi="仿宋_GB2312" w:cs="仿宋_GB2312" w:eastAsia="仿宋_GB2312"/>
                <w:sz w:val="20"/>
                <w:b/>
              </w:rPr>
              <w:t>合成材料面层成品中有害物质限量及气味</w:t>
            </w:r>
          </w:p>
          <w:tbl>
            <w:tblPr>
              <w:tblInd w:type="dxa" w:w="180"/>
              <w:tblBorders>
                <w:top w:val="none" w:color="000000" w:sz="4"/>
                <w:left w:val="none" w:color="000000" w:sz="4"/>
                <w:bottom w:val="none" w:color="000000" w:sz="4"/>
                <w:right w:val="none" w:color="000000" w:sz="4"/>
                <w:insideH w:val="none"/>
                <w:insideV w:val="none"/>
              </w:tblBorders>
            </w:tblPr>
            <w:tblGrid>
              <w:gridCol w:w="249"/>
              <w:gridCol w:w="908"/>
              <w:gridCol w:w="1001"/>
              <w:gridCol w:w="383"/>
            </w:tblGrid>
            <w:tr>
              <w:tc>
                <w:tcPr>
                  <w:tcW w:type="dxa" w:w="215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w:t>
                  </w:r>
                </w:p>
              </w:tc>
              <w:tc>
                <w:tcPr>
                  <w:tcW w:type="dxa" w:w="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要求</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有</w:t>
                  </w:r>
                </w:p>
                <w:p>
                  <w:pPr>
                    <w:pStyle w:val="null3"/>
                    <w:jc w:val="center"/>
                  </w:pPr>
                  <w:r>
                    <w:rPr>
                      <w:rFonts w:ascii="仿宋_GB2312" w:hAnsi="仿宋_GB2312" w:cs="仿宋_GB2312" w:eastAsia="仿宋_GB2312"/>
                      <w:sz w:val="20"/>
                    </w:rPr>
                    <w:t>害</w:t>
                  </w:r>
                </w:p>
                <w:p>
                  <w:pPr>
                    <w:pStyle w:val="null3"/>
                    <w:jc w:val="center"/>
                  </w:pPr>
                  <w:r>
                    <w:rPr>
                      <w:rFonts w:ascii="仿宋_GB2312" w:hAnsi="仿宋_GB2312" w:cs="仿宋_GB2312" w:eastAsia="仿宋_GB2312"/>
                      <w:sz w:val="20"/>
                    </w:rPr>
                    <w:t>物</w:t>
                  </w:r>
                </w:p>
                <w:p>
                  <w:pPr>
                    <w:pStyle w:val="null3"/>
                    <w:jc w:val="center"/>
                  </w:pPr>
                  <w:r>
                    <w:rPr>
                      <w:rFonts w:ascii="仿宋_GB2312" w:hAnsi="仿宋_GB2312" w:cs="仿宋_GB2312" w:eastAsia="仿宋_GB2312"/>
                      <w:sz w:val="20"/>
                    </w:rPr>
                    <w:t>质</w:t>
                  </w:r>
                </w:p>
                <w:p>
                  <w:pPr>
                    <w:pStyle w:val="null3"/>
                    <w:jc w:val="center"/>
                  </w:pPr>
                  <w:r>
                    <w:rPr>
                      <w:rFonts w:ascii="仿宋_GB2312" w:hAnsi="仿宋_GB2312" w:cs="仿宋_GB2312" w:eastAsia="仿宋_GB2312"/>
                      <w:sz w:val="20"/>
                    </w:rPr>
                    <w:t>含</w:t>
                  </w:r>
                </w:p>
                <w:p>
                  <w:pPr>
                    <w:pStyle w:val="null3"/>
                    <w:jc w:val="center"/>
                  </w:pPr>
                  <w:r>
                    <w:rPr>
                      <w:rFonts w:ascii="仿宋_GB2312" w:hAnsi="仿宋_GB2312" w:cs="仿宋_GB2312" w:eastAsia="仿宋_GB2312"/>
                      <w:sz w:val="20"/>
                    </w:rPr>
                    <w:t>量</w:t>
                  </w:r>
                </w:p>
              </w:tc>
              <w:tc>
                <w:tcPr>
                  <w:tcW w:type="dxa" w:w="19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3种邻苯二甲酸酯类（DBP、BBP、DEHP）总和</w:t>
                  </w:r>
                  <w:r>
                    <w:rPr>
                      <w:rFonts w:ascii="仿宋_GB2312" w:hAnsi="仿宋_GB2312" w:cs="仿宋_GB2312" w:eastAsia="仿宋_GB2312"/>
                      <w:sz w:val="20"/>
                      <w:vertAlign w:val="superscript"/>
                    </w:rPr>
                    <w:t>b</w:t>
                  </w:r>
                  <w:r>
                    <w:rPr>
                      <w:rFonts w:ascii="仿宋_GB2312" w:hAnsi="仿宋_GB2312" w:cs="仿宋_GB2312" w:eastAsia="仿宋_GB2312"/>
                      <w:sz w:val="20"/>
                    </w:rPr>
                    <w:t>/（g/kg）</w:t>
                  </w:r>
                </w:p>
              </w:tc>
              <w:tc>
                <w:tcPr>
                  <w:tcW w:type="dxa" w:w="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49"/>
                  <w:vMerge/>
                  <w:tcBorders>
                    <w:top w:val="none" w:color="000000" w:sz="4"/>
                    <w:left w:val="single" w:color="000000" w:sz="4"/>
                    <w:bottom w:val="single" w:color="000000" w:sz="4"/>
                    <w:right w:val="single" w:color="000000" w:sz="4"/>
                  </w:tcBorders>
                </w:tcPr>
                <w:p/>
              </w:tc>
              <w:tc>
                <w:tcPr>
                  <w:tcW w:type="dxa" w:w="19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3种邻苯二甲酸酯类（DNOP、DINP、DIDP）总和</w:t>
                  </w:r>
                  <w:r>
                    <w:rPr>
                      <w:rFonts w:ascii="仿宋_GB2312" w:hAnsi="仿宋_GB2312" w:cs="仿宋_GB2312" w:eastAsia="仿宋_GB2312"/>
                      <w:sz w:val="20"/>
                      <w:vertAlign w:val="superscript"/>
                    </w:rPr>
                    <w:t>b</w:t>
                  </w:r>
                  <w:r>
                    <w:rPr>
                      <w:rFonts w:ascii="仿宋_GB2312" w:hAnsi="仿宋_GB2312" w:cs="仿宋_GB2312" w:eastAsia="仿宋_GB2312"/>
                      <w:sz w:val="20"/>
                    </w:rPr>
                    <w:t>/（g/kg）</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49"/>
                  <w:vMerge/>
                  <w:tcBorders>
                    <w:top w:val="none" w:color="000000" w:sz="4"/>
                    <w:left w:val="single" w:color="000000" w:sz="4"/>
                    <w:bottom w:val="single" w:color="000000" w:sz="4"/>
                    <w:right w:val="single" w:color="000000" w:sz="4"/>
                  </w:tcBorders>
                </w:tcPr>
                <w:p/>
              </w:tc>
              <w:tc>
                <w:tcPr>
                  <w:tcW w:type="dxa" w:w="90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18种多环芳烃总和/ (mg/kg)</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整体</w:t>
                  </w:r>
                </w:p>
              </w:tc>
              <w:tc>
                <w:tcPr>
                  <w:tcW w:type="dxa" w:w="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249"/>
                  <w:vMerge/>
                  <w:tcBorders>
                    <w:top w:val="none" w:color="000000" w:sz="4"/>
                    <w:left w:val="single" w:color="000000" w:sz="4"/>
                    <w:bottom w:val="single" w:color="000000" w:sz="4"/>
                    <w:right w:val="single" w:color="000000" w:sz="4"/>
                  </w:tcBorders>
                </w:tcPr>
                <w:p/>
              </w:tc>
              <w:tc>
                <w:tcPr>
                  <w:tcW w:type="dxa" w:w="908"/>
                  <w:vMerge/>
                  <w:tcBorders>
                    <w:top w:val="none" w:color="000000" w:sz="4"/>
                    <w:left w:val="none" w:color="000000" w:sz="4"/>
                    <w:bottom w:val="non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距上表面</w:t>
                  </w:r>
                  <w:r>
                    <w:rPr>
                      <w:rFonts w:ascii="仿宋_GB2312" w:hAnsi="仿宋_GB2312" w:cs="仿宋_GB2312" w:eastAsia="仿宋_GB2312"/>
                      <w:sz w:val="20"/>
                    </w:rPr>
                    <w:t>5mm 以内</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249"/>
                  <w:vMerge/>
                  <w:tcBorders>
                    <w:top w:val="none" w:color="000000" w:sz="4"/>
                    <w:left w:val="single" w:color="000000" w:sz="4"/>
                    <w:bottom w:val="single" w:color="000000" w:sz="4"/>
                    <w:right w:val="single" w:color="000000" w:sz="4"/>
                  </w:tcBorders>
                </w:tcPr>
                <w:p/>
              </w:tc>
              <w:tc>
                <w:tcPr>
                  <w:tcW w:type="dxa" w:w="19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苯并</w:t>
                  </w:r>
                  <w:r>
                    <w:rPr>
                      <w:rFonts w:ascii="仿宋_GB2312" w:hAnsi="仿宋_GB2312" w:cs="仿宋_GB2312" w:eastAsia="仿宋_GB2312"/>
                      <w:sz w:val="20"/>
                    </w:rPr>
                    <w:t>[a]芘(mg/kg)</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49"/>
                  <w:vMerge/>
                  <w:tcBorders>
                    <w:top w:val="none" w:color="000000" w:sz="4"/>
                    <w:left w:val="single" w:color="000000" w:sz="4"/>
                    <w:bottom w:val="single" w:color="000000" w:sz="4"/>
                    <w:right w:val="single" w:color="000000" w:sz="4"/>
                  </w:tcBorders>
                </w:tcPr>
                <w:p/>
              </w:tc>
              <w:tc>
                <w:tcPr>
                  <w:tcW w:type="dxa" w:w="19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短链氯化石蜡（</w:t>
                  </w:r>
                  <w:r>
                    <w:rPr>
                      <w:rFonts w:ascii="仿宋_GB2312" w:hAnsi="仿宋_GB2312" w:cs="仿宋_GB2312" w:eastAsia="仿宋_GB2312"/>
                      <w:sz w:val="20"/>
                    </w:rPr>
                    <w:t>C</w:t>
                  </w:r>
                  <w:r>
                    <w:rPr>
                      <w:rFonts w:ascii="仿宋_GB2312" w:hAnsi="仿宋_GB2312" w:cs="仿宋_GB2312" w:eastAsia="仿宋_GB2312"/>
                      <w:sz w:val="20"/>
                      <w:vertAlign w:val="subscript"/>
                    </w:rPr>
                    <w:t>10</w:t>
                  </w:r>
                  <w:r>
                    <w:rPr>
                      <w:rFonts w:ascii="仿宋_GB2312" w:hAnsi="仿宋_GB2312" w:cs="仿宋_GB2312" w:eastAsia="仿宋_GB2312"/>
                      <w:sz w:val="20"/>
                    </w:rPr>
                    <w:t>-C</w:t>
                  </w:r>
                  <w:r>
                    <w:rPr>
                      <w:rFonts w:ascii="仿宋_GB2312" w:hAnsi="仿宋_GB2312" w:cs="仿宋_GB2312" w:eastAsia="仿宋_GB2312"/>
                      <w:sz w:val="20"/>
                      <w:vertAlign w:val="subscript"/>
                    </w:rPr>
                    <w:t>13</w:t>
                  </w:r>
                  <w:r>
                    <w:rPr>
                      <w:rFonts w:ascii="仿宋_GB2312" w:hAnsi="仿宋_GB2312" w:cs="仿宋_GB2312" w:eastAsia="仿宋_GB2312"/>
                      <w:sz w:val="20"/>
                    </w:rPr>
                    <w:t>）</w:t>
                  </w:r>
                  <w:r>
                    <w:rPr>
                      <w:rFonts w:ascii="仿宋_GB2312" w:hAnsi="仿宋_GB2312" w:cs="仿宋_GB2312" w:eastAsia="仿宋_GB2312"/>
                      <w:sz w:val="20"/>
                    </w:rPr>
                    <w:t>/（g/kg）</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≤0.1</w:t>
                  </w:r>
                </w:p>
              </w:tc>
            </w:tr>
            <w:tr>
              <w:tc>
                <w:tcPr>
                  <w:tcW w:type="dxa" w:w="249"/>
                  <w:vMerge/>
                  <w:tcBorders>
                    <w:top w:val="none" w:color="000000" w:sz="4"/>
                    <w:left w:val="single" w:color="000000" w:sz="4"/>
                    <w:bottom w:val="single" w:color="000000" w:sz="4"/>
                    <w:right w:val="single" w:color="000000" w:sz="4"/>
                  </w:tcBorders>
                </w:tcPr>
                <w:p/>
              </w:tc>
              <w:tc>
                <w:tcPr>
                  <w:tcW w:type="dxa" w:w="19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4,4'-二氨基-3，3'-二氯二苯甲烷（MOCA）/（g/kg）</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w:t>
                  </w:r>
                </w:p>
              </w:tc>
            </w:tr>
            <w:tr>
              <w:tc>
                <w:tcPr>
                  <w:tcW w:type="dxa" w:w="249"/>
                  <w:vMerge/>
                  <w:tcBorders>
                    <w:top w:val="none" w:color="000000" w:sz="4"/>
                    <w:left w:val="single" w:color="000000" w:sz="4"/>
                    <w:bottom w:val="single" w:color="000000" w:sz="4"/>
                    <w:right w:val="single" w:color="000000" w:sz="4"/>
                  </w:tcBorders>
                </w:tcPr>
                <w:p/>
              </w:tc>
              <w:tc>
                <w:tcPr>
                  <w:tcW w:type="dxa" w:w="19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游离甲苯二异氰酸酯（</w:t>
                  </w:r>
                  <w:r>
                    <w:rPr>
                      <w:rFonts w:ascii="仿宋_GB2312" w:hAnsi="仿宋_GB2312" w:cs="仿宋_GB2312" w:eastAsia="仿宋_GB2312"/>
                      <w:sz w:val="20"/>
                    </w:rPr>
                    <w:t>TDI）和游离六亚甲基二异氰酸酯（HDI）总和/（g/kg）</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w:t>
                  </w:r>
                </w:p>
              </w:tc>
            </w:tr>
            <w:tr>
              <w:tc>
                <w:tcPr>
                  <w:tcW w:type="dxa" w:w="249"/>
                  <w:vMerge/>
                  <w:tcBorders>
                    <w:top w:val="none" w:color="000000" w:sz="4"/>
                    <w:left w:val="single" w:color="000000" w:sz="4"/>
                    <w:bottom w:val="single" w:color="000000" w:sz="4"/>
                    <w:right w:val="single" w:color="000000" w:sz="4"/>
                  </w:tcBorders>
                </w:tcPr>
                <w:p/>
              </w:tc>
              <w:tc>
                <w:tcPr>
                  <w:tcW w:type="dxa" w:w="19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游离二苯基甲烷二异氰酸酯（</w:t>
                  </w:r>
                  <w:r>
                    <w:rPr>
                      <w:rFonts w:ascii="仿宋_GB2312" w:hAnsi="仿宋_GB2312" w:cs="仿宋_GB2312" w:eastAsia="仿宋_GB2312"/>
                      <w:sz w:val="20"/>
                    </w:rPr>
                    <w:t>MDI）/（g/kg）</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49"/>
                  <w:vMerge/>
                  <w:tcBorders>
                    <w:top w:val="none" w:color="000000" w:sz="4"/>
                    <w:left w:val="single" w:color="000000" w:sz="4"/>
                    <w:bottom w:val="single" w:color="000000" w:sz="4"/>
                    <w:right w:val="single" w:color="000000" w:sz="4"/>
                  </w:tcBorders>
                </w:tcPr>
                <w:p/>
              </w:tc>
              <w:tc>
                <w:tcPr>
                  <w:tcW w:type="dxa" w:w="19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可溶性铅</w:t>
                  </w:r>
                  <w:r>
                    <w:rPr>
                      <w:rFonts w:ascii="仿宋_GB2312" w:hAnsi="仿宋_GB2312" w:cs="仿宋_GB2312" w:eastAsia="仿宋_GB2312"/>
                      <w:sz w:val="20"/>
                    </w:rPr>
                    <w:t>/(mg/kg)</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249"/>
                  <w:vMerge/>
                  <w:tcBorders>
                    <w:top w:val="none" w:color="000000" w:sz="4"/>
                    <w:left w:val="single" w:color="000000" w:sz="4"/>
                    <w:bottom w:val="single" w:color="000000" w:sz="4"/>
                    <w:right w:val="single" w:color="000000" w:sz="4"/>
                  </w:tcBorders>
                </w:tcPr>
                <w:p/>
              </w:tc>
              <w:tc>
                <w:tcPr>
                  <w:tcW w:type="dxa" w:w="19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可溶性镉</w:t>
                  </w:r>
                  <w:r>
                    <w:rPr>
                      <w:rFonts w:ascii="仿宋_GB2312" w:hAnsi="仿宋_GB2312" w:cs="仿宋_GB2312" w:eastAsia="仿宋_GB2312"/>
                      <w:sz w:val="20"/>
                    </w:rPr>
                    <w:t>/(mg/kg)</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49"/>
                  <w:vMerge/>
                  <w:tcBorders>
                    <w:top w:val="none" w:color="000000" w:sz="4"/>
                    <w:left w:val="single" w:color="000000" w:sz="4"/>
                    <w:bottom w:val="single" w:color="000000" w:sz="4"/>
                    <w:right w:val="single" w:color="000000" w:sz="4"/>
                  </w:tcBorders>
                </w:tcPr>
                <w:p/>
              </w:tc>
              <w:tc>
                <w:tcPr>
                  <w:tcW w:type="dxa" w:w="19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可溶性铬</w:t>
                  </w:r>
                  <w:r>
                    <w:rPr>
                      <w:rFonts w:ascii="仿宋_GB2312" w:hAnsi="仿宋_GB2312" w:cs="仿宋_GB2312" w:eastAsia="仿宋_GB2312"/>
                      <w:sz w:val="20"/>
                    </w:rPr>
                    <w:t>/(mg/kg)</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49"/>
                  <w:vMerge/>
                  <w:tcBorders>
                    <w:top w:val="none" w:color="000000" w:sz="4"/>
                    <w:left w:val="single" w:color="000000" w:sz="4"/>
                    <w:bottom w:val="single" w:color="000000" w:sz="4"/>
                    <w:right w:val="single" w:color="000000" w:sz="4"/>
                  </w:tcBorders>
                </w:tcPr>
                <w:p/>
              </w:tc>
              <w:tc>
                <w:tcPr>
                  <w:tcW w:type="dxa" w:w="19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可溶性汞</w:t>
                  </w:r>
                  <w:r>
                    <w:rPr>
                      <w:rFonts w:ascii="仿宋_GB2312" w:hAnsi="仿宋_GB2312" w:cs="仿宋_GB2312" w:eastAsia="仿宋_GB2312"/>
                      <w:sz w:val="20"/>
                    </w:rPr>
                    <w:t>/(mg/kg)</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有</w:t>
                  </w:r>
                </w:p>
                <w:p>
                  <w:pPr>
                    <w:pStyle w:val="null3"/>
                    <w:jc w:val="center"/>
                  </w:pPr>
                  <w:r>
                    <w:rPr>
                      <w:rFonts w:ascii="仿宋_GB2312" w:hAnsi="仿宋_GB2312" w:cs="仿宋_GB2312" w:eastAsia="仿宋_GB2312"/>
                      <w:sz w:val="20"/>
                    </w:rPr>
                    <w:t>害</w:t>
                  </w:r>
                </w:p>
                <w:p>
                  <w:pPr>
                    <w:pStyle w:val="null3"/>
                    <w:jc w:val="center"/>
                  </w:pPr>
                  <w:r>
                    <w:rPr>
                      <w:rFonts w:ascii="仿宋_GB2312" w:hAnsi="仿宋_GB2312" w:cs="仿宋_GB2312" w:eastAsia="仿宋_GB2312"/>
                      <w:sz w:val="20"/>
                    </w:rPr>
                    <w:t>物</w:t>
                  </w:r>
                </w:p>
                <w:p>
                  <w:pPr>
                    <w:pStyle w:val="null3"/>
                    <w:jc w:val="center"/>
                  </w:pPr>
                  <w:r>
                    <w:rPr>
                      <w:rFonts w:ascii="仿宋_GB2312" w:hAnsi="仿宋_GB2312" w:cs="仿宋_GB2312" w:eastAsia="仿宋_GB2312"/>
                      <w:sz w:val="20"/>
                    </w:rPr>
                    <w:t>质</w:t>
                  </w:r>
                </w:p>
                <w:p>
                  <w:pPr>
                    <w:pStyle w:val="null3"/>
                    <w:jc w:val="center"/>
                  </w:pPr>
                  <w:r>
                    <w:rPr>
                      <w:rFonts w:ascii="仿宋_GB2312" w:hAnsi="仿宋_GB2312" w:cs="仿宋_GB2312" w:eastAsia="仿宋_GB2312"/>
                      <w:sz w:val="20"/>
                    </w:rPr>
                    <w:t>释</w:t>
                  </w:r>
                </w:p>
                <w:p>
                  <w:pPr>
                    <w:pStyle w:val="null3"/>
                    <w:jc w:val="center"/>
                  </w:pPr>
                  <w:r>
                    <w:rPr>
                      <w:rFonts w:ascii="仿宋_GB2312" w:hAnsi="仿宋_GB2312" w:cs="仿宋_GB2312" w:eastAsia="仿宋_GB2312"/>
                      <w:sz w:val="20"/>
                    </w:rPr>
                    <w:t>放</w:t>
                  </w:r>
                </w:p>
                <w:p>
                  <w:pPr>
                    <w:pStyle w:val="null3"/>
                    <w:jc w:val="center"/>
                  </w:pPr>
                  <w:r>
                    <w:rPr>
                      <w:rFonts w:ascii="仿宋_GB2312" w:hAnsi="仿宋_GB2312" w:cs="仿宋_GB2312" w:eastAsia="仿宋_GB2312"/>
                      <w:sz w:val="20"/>
                    </w:rPr>
                    <w:t>量</w:t>
                  </w:r>
                </w:p>
              </w:tc>
              <w:tc>
                <w:tcPr>
                  <w:tcW w:type="dxa" w:w="19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总挥发性有机化合物（</w:t>
                  </w:r>
                  <w:r>
                    <w:rPr>
                      <w:rFonts w:ascii="仿宋_GB2312" w:hAnsi="仿宋_GB2312" w:cs="仿宋_GB2312" w:eastAsia="仿宋_GB2312"/>
                      <w:sz w:val="20"/>
                    </w:rPr>
                    <w:t>TVOC）/[mg/（㎡.h）]</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249"/>
                  <w:vMerge/>
                  <w:tcBorders>
                    <w:top w:val="none" w:color="000000" w:sz="4"/>
                    <w:left w:val="single" w:color="000000" w:sz="4"/>
                    <w:bottom w:val="single" w:color="000000" w:sz="4"/>
                    <w:right w:val="single" w:color="000000" w:sz="4"/>
                  </w:tcBorders>
                </w:tcPr>
                <w:p/>
              </w:tc>
              <w:tc>
                <w:tcPr>
                  <w:tcW w:type="dxa" w:w="19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甲醛</w:t>
                  </w:r>
                  <w:r>
                    <w:rPr>
                      <w:rFonts w:ascii="仿宋_GB2312" w:hAnsi="仿宋_GB2312" w:cs="仿宋_GB2312" w:eastAsia="仿宋_GB2312"/>
                      <w:sz w:val="20"/>
                    </w:rPr>
                    <w:t>/[mg/（㎡.h）]</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≤0.4</w:t>
                  </w:r>
                </w:p>
              </w:tc>
            </w:tr>
            <w:tr>
              <w:tc>
                <w:tcPr>
                  <w:tcW w:type="dxa" w:w="249"/>
                  <w:vMerge/>
                  <w:tcBorders>
                    <w:top w:val="none" w:color="000000" w:sz="4"/>
                    <w:left w:val="single" w:color="000000" w:sz="4"/>
                    <w:bottom w:val="single" w:color="000000" w:sz="4"/>
                    <w:right w:val="single" w:color="000000" w:sz="4"/>
                  </w:tcBorders>
                </w:tcPr>
                <w:p/>
              </w:tc>
              <w:tc>
                <w:tcPr>
                  <w:tcW w:type="dxa" w:w="19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w:t>
                  </w:r>
                  <w:r>
                    <w:rPr>
                      <w:rFonts w:ascii="仿宋_GB2312" w:hAnsi="仿宋_GB2312" w:cs="仿宋_GB2312" w:eastAsia="仿宋_GB2312"/>
                      <w:sz w:val="20"/>
                    </w:rPr>
                    <w:t>/[mg/（㎡.h）]</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≤0.1</w:t>
                  </w:r>
                </w:p>
              </w:tc>
            </w:tr>
            <w:tr>
              <w:tc>
                <w:tcPr>
                  <w:tcW w:type="dxa" w:w="249"/>
                  <w:vMerge/>
                  <w:tcBorders>
                    <w:top w:val="none" w:color="000000" w:sz="4"/>
                    <w:left w:val="single" w:color="000000" w:sz="4"/>
                    <w:bottom w:val="single" w:color="000000" w:sz="4"/>
                    <w:right w:val="single" w:color="000000" w:sz="4"/>
                  </w:tcBorders>
                </w:tcPr>
                <w:p/>
              </w:tc>
              <w:tc>
                <w:tcPr>
                  <w:tcW w:type="dxa" w:w="19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甲苯、二甲苯和乙苯总和</w:t>
                  </w:r>
                  <w:r>
                    <w:rPr>
                      <w:rFonts w:ascii="仿宋_GB2312" w:hAnsi="仿宋_GB2312" w:cs="仿宋_GB2312" w:eastAsia="仿宋_GB2312"/>
                      <w:sz w:val="20"/>
                    </w:rPr>
                    <w:t>/[mg/（㎡.h）]</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49"/>
                  <w:vMerge/>
                  <w:tcBorders>
                    <w:top w:val="none" w:color="000000" w:sz="4"/>
                    <w:left w:val="single" w:color="000000" w:sz="4"/>
                    <w:bottom w:val="single" w:color="000000" w:sz="4"/>
                    <w:right w:val="single" w:color="000000" w:sz="4"/>
                  </w:tcBorders>
                </w:tcPr>
                <w:p/>
              </w:tc>
              <w:tc>
                <w:tcPr>
                  <w:tcW w:type="dxa" w:w="19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二硫化碳</w:t>
                  </w:r>
                  <w:r>
                    <w:rPr>
                      <w:rFonts w:ascii="仿宋_GB2312" w:hAnsi="仿宋_GB2312" w:cs="仿宋_GB2312" w:eastAsia="仿宋_GB2312"/>
                      <w:sz w:val="20"/>
                    </w:rPr>
                    <w:t>/[mg/（㎡.h）]</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气味</w:t>
                  </w:r>
                </w:p>
              </w:tc>
              <w:tc>
                <w:tcPr>
                  <w:tcW w:type="dxa" w:w="19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气味强度</w:t>
                  </w:r>
                  <w:r>
                    <w:rPr>
                      <w:rFonts w:ascii="仿宋_GB2312" w:hAnsi="仿宋_GB2312" w:cs="仿宋_GB2312" w:eastAsia="仿宋_GB2312"/>
                      <w:sz w:val="20"/>
                    </w:rPr>
                    <w:t>/级</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bl>
          <w:p>
            <w:pPr>
              <w:pStyle w:val="null3"/>
              <w:spacing w:before="120" w:after="120"/>
              <w:jc w:val="center"/>
            </w:pPr>
            <w:r>
              <w:rPr>
                <w:rFonts w:ascii="仿宋_GB2312" w:hAnsi="仿宋_GB2312" w:cs="仿宋_GB2312" w:eastAsia="仿宋_GB2312"/>
                <w:sz w:val="20"/>
                <w:b/>
              </w:rPr>
              <w:t>合成材料面层</w:t>
            </w:r>
            <w:r>
              <w:rPr>
                <w:rFonts w:ascii="仿宋_GB2312" w:hAnsi="仿宋_GB2312" w:cs="仿宋_GB2312" w:eastAsia="仿宋_GB2312"/>
                <w:sz w:val="20"/>
                <w:b/>
              </w:rPr>
              <w:t>固体原料中</w:t>
            </w:r>
            <w:r>
              <w:rPr>
                <w:rFonts w:ascii="仿宋_GB2312" w:hAnsi="仿宋_GB2312" w:cs="仿宋_GB2312" w:eastAsia="仿宋_GB2312"/>
                <w:sz w:val="20"/>
                <w:b/>
              </w:rPr>
              <w:t>有害物质限量及气味</w:t>
            </w:r>
          </w:p>
          <w:tbl>
            <w:tblPr>
              <w:tblInd w:type="dxa" w:w="165"/>
              <w:tblBorders>
                <w:top w:val="none" w:color="000000" w:sz="4"/>
                <w:left w:val="none" w:color="000000" w:sz="4"/>
                <w:bottom w:val="none" w:color="000000" w:sz="4"/>
                <w:right w:val="none" w:color="000000" w:sz="4"/>
                <w:insideH w:val="none"/>
                <w:insideV w:val="none"/>
              </w:tblBorders>
            </w:tblPr>
            <w:tblGrid>
              <w:gridCol w:w="233"/>
              <w:gridCol w:w="1852"/>
              <w:gridCol w:w="461"/>
            </w:tblGrid>
            <w:tr>
              <w:tc>
                <w:tcPr>
                  <w:tcW w:type="dxa" w:w="208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检测项目</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限量值要求</w:t>
                  </w:r>
                </w:p>
              </w:tc>
            </w:tr>
            <w:tr>
              <w:tc>
                <w:tcPr>
                  <w:tcW w:type="dxa" w:w="23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有</w:t>
                  </w:r>
                </w:p>
                <w:p>
                  <w:pPr>
                    <w:pStyle w:val="null3"/>
                    <w:jc w:val="center"/>
                  </w:pPr>
                  <w:r>
                    <w:rPr>
                      <w:rFonts w:ascii="仿宋_GB2312" w:hAnsi="仿宋_GB2312" w:cs="仿宋_GB2312" w:eastAsia="仿宋_GB2312"/>
                      <w:sz w:val="20"/>
                    </w:rPr>
                    <w:t>害</w:t>
                  </w:r>
                </w:p>
                <w:p>
                  <w:pPr>
                    <w:pStyle w:val="null3"/>
                    <w:jc w:val="center"/>
                  </w:pPr>
                  <w:r>
                    <w:rPr>
                      <w:rFonts w:ascii="仿宋_GB2312" w:hAnsi="仿宋_GB2312" w:cs="仿宋_GB2312" w:eastAsia="仿宋_GB2312"/>
                      <w:sz w:val="20"/>
                    </w:rPr>
                    <w:t>物</w:t>
                  </w:r>
                </w:p>
                <w:p>
                  <w:pPr>
                    <w:pStyle w:val="null3"/>
                    <w:jc w:val="center"/>
                  </w:pPr>
                  <w:r>
                    <w:rPr>
                      <w:rFonts w:ascii="仿宋_GB2312" w:hAnsi="仿宋_GB2312" w:cs="仿宋_GB2312" w:eastAsia="仿宋_GB2312"/>
                      <w:sz w:val="20"/>
                    </w:rPr>
                    <w:t>质</w:t>
                  </w:r>
                </w:p>
                <w:p>
                  <w:pPr>
                    <w:pStyle w:val="null3"/>
                    <w:jc w:val="center"/>
                  </w:pPr>
                  <w:r>
                    <w:rPr>
                      <w:rFonts w:ascii="仿宋_GB2312" w:hAnsi="仿宋_GB2312" w:cs="仿宋_GB2312" w:eastAsia="仿宋_GB2312"/>
                      <w:sz w:val="20"/>
                    </w:rPr>
                    <w:t>含</w:t>
                  </w:r>
                </w:p>
                <w:p>
                  <w:pPr>
                    <w:pStyle w:val="null3"/>
                    <w:jc w:val="center"/>
                  </w:pPr>
                  <w:r>
                    <w:rPr>
                      <w:rFonts w:ascii="仿宋_GB2312" w:hAnsi="仿宋_GB2312" w:cs="仿宋_GB2312" w:eastAsia="仿宋_GB2312"/>
                      <w:sz w:val="20"/>
                    </w:rPr>
                    <w:t>量</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18种多环芳烃总和</w:t>
                  </w:r>
                  <w:r>
                    <w:rPr>
                      <w:rFonts w:ascii="仿宋_GB2312" w:hAnsi="仿宋_GB2312" w:cs="仿宋_GB2312" w:eastAsia="仿宋_GB2312"/>
                      <w:sz w:val="20"/>
                      <w:vertAlign w:val="superscript"/>
                    </w:rPr>
                    <w:t>a/</w:t>
                  </w:r>
                  <w:r>
                    <w:rPr>
                      <w:rFonts w:ascii="仿宋_GB2312" w:hAnsi="仿宋_GB2312" w:cs="仿宋_GB2312" w:eastAsia="仿宋_GB2312"/>
                      <w:sz w:val="20"/>
                    </w:rPr>
                    <w:t>（</w:t>
                  </w:r>
                  <w:r>
                    <w:rPr>
                      <w:rFonts w:ascii="仿宋_GB2312" w:hAnsi="仿宋_GB2312" w:cs="仿宋_GB2312" w:eastAsia="仿宋_GB2312"/>
                      <w:sz w:val="20"/>
                    </w:rPr>
                    <w:t>m</w:t>
                  </w:r>
                  <w:r>
                    <w:rPr>
                      <w:rFonts w:ascii="仿宋_GB2312" w:hAnsi="仿宋_GB2312" w:cs="仿宋_GB2312" w:eastAsia="仿宋_GB2312"/>
                      <w:sz w:val="20"/>
                    </w:rPr>
                    <w:t>g/kg）</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233"/>
                  <w:vMerge/>
                  <w:tcBorders>
                    <w:top w:val="none" w:color="000000" w:sz="4"/>
                    <w:left w:val="single" w:color="000000" w:sz="4"/>
                    <w:bottom w:val="none" w:color="000000" w:sz="4"/>
                    <w:right w:val="single" w:color="000000" w:sz="4"/>
                  </w:tcBorders>
                </w:tc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苯并</w:t>
                  </w:r>
                  <w:r>
                    <w:rPr>
                      <w:rFonts w:ascii="仿宋_GB2312" w:hAnsi="仿宋_GB2312" w:cs="仿宋_GB2312" w:eastAsia="仿宋_GB2312"/>
                      <w:sz w:val="20"/>
                    </w:rPr>
                    <w:t>[a]芘/(mg/kg)</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33"/>
                  <w:vMerge/>
                  <w:tcBorders>
                    <w:top w:val="none" w:color="000000" w:sz="4"/>
                    <w:left w:val="single" w:color="000000" w:sz="4"/>
                    <w:bottom w:val="none" w:color="000000" w:sz="4"/>
                    <w:right w:val="single" w:color="000000" w:sz="4"/>
                  </w:tcBorders>
                </w:tc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可溶性铅</w:t>
                  </w:r>
                  <w:r>
                    <w:rPr>
                      <w:rFonts w:ascii="仿宋_GB2312" w:hAnsi="仿宋_GB2312" w:cs="仿宋_GB2312" w:eastAsia="仿宋_GB2312"/>
                      <w:sz w:val="20"/>
                    </w:rPr>
                    <w:t>/(mg/kg)</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233"/>
                  <w:vMerge/>
                  <w:tcBorders>
                    <w:top w:val="none" w:color="000000" w:sz="4"/>
                    <w:left w:val="single" w:color="000000" w:sz="4"/>
                    <w:bottom w:val="none" w:color="000000" w:sz="4"/>
                    <w:right w:val="single" w:color="000000" w:sz="4"/>
                  </w:tcBorders>
                </w:tc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可溶性镉</w:t>
                  </w:r>
                  <w:r>
                    <w:rPr>
                      <w:rFonts w:ascii="仿宋_GB2312" w:hAnsi="仿宋_GB2312" w:cs="仿宋_GB2312" w:eastAsia="仿宋_GB2312"/>
                      <w:sz w:val="20"/>
                    </w:rPr>
                    <w:t>/(mg/kg)</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33"/>
                  <w:vMerge/>
                  <w:tcBorders>
                    <w:top w:val="none" w:color="000000" w:sz="4"/>
                    <w:left w:val="single" w:color="000000" w:sz="4"/>
                    <w:bottom w:val="none" w:color="000000" w:sz="4"/>
                    <w:right w:val="single" w:color="000000" w:sz="4"/>
                  </w:tcBorders>
                </w:tc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可溶性铬</w:t>
                  </w:r>
                  <w:r>
                    <w:rPr>
                      <w:rFonts w:ascii="仿宋_GB2312" w:hAnsi="仿宋_GB2312" w:cs="仿宋_GB2312" w:eastAsia="仿宋_GB2312"/>
                      <w:sz w:val="20"/>
                    </w:rPr>
                    <w:t>/(mg/kg)</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33"/>
                  <w:vMerge/>
                  <w:tcBorders>
                    <w:top w:val="none" w:color="000000" w:sz="4"/>
                    <w:left w:val="single" w:color="000000" w:sz="4"/>
                    <w:bottom w:val="none" w:color="000000" w:sz="4"/>
                    <w:right w:val="single" w:color="000000" w:sz="4"/>
                  </w:tcBorders>
                </w:tc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可溶性汞</w:t>
                  </w:r>
                  <w:r>
                    <w:rPr>
                      <w:rFonts w:ascii="仿宋_GB2312" w:hAnsi="仿宋_GB2312" w:cs="仿宋_GB2312" w:eastAsia="仿宋_GB2312"/>
                      <w:sz w:val="20"/>
                    </w:rPr>
                    <w:t>/(mg/kg)</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气味</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气味强度</w:t>
                  </w:r>
                  <w:r>
                    <w:rPr>
                      <w:rFonts w:ascii="仿宋_GB2312" w:hAnsi="仿宋_GB2312" w:cs="仿宋_GB2312" w:eastAsia="仿宋_GB2312"/>
                      <w:sz w:val="20"/>
                    </w:rPr>
                    <w:t>/级</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bl>
          <w:p>
            <w:pPr>
              <w:pStyle w:val="null3"/>
              <w:spacing w:before="120" w:after="120"/>
              <w:jc w:val="center"/>
            </w:pPr>
            <w:r>
              <w:rPr>
                <w:rFonts w:ascii="仿宋_GB2312" w:hAnsi="仿宋_GB2312" w:cs="仿宋_GB2312" w:eastAsia="仿宋_GB2312"/>
                <w:sz w:val="20"/>
                <w:b/>
              </w:rPr>
              <w:t>非固体原料中有害物质限量要求</w:t>
            </w:r>
          </w:p>
          <w:tbl>
            <w:tblPr>
              <w:tblInd w:type="dxa" w:w="120"/>
              <w:tblBorders>
                <w:top w:val="none" w:color="000000" w:sz="4"/>
                <w:left w:val="none" w:color="000000" w:sz="4"/>
                <w:bottom w:val="none" w:color="000000" w:sz="4"/>
                <w:right w:val="none" w:color="000000" w:sz="4"/>
                <w:insideH w:val="none"/>
                <w:insideV w:val="none"/>
              </w:tblBorders>
            </w:tblPr>
            <w:tblGrid>
              <w:gridCol w:w="256"/>
              <w:gridCol w:w="1859"/>
              <w:gridCol w:w="431"/>
            </w:tblGrid>
            <w:tr>
              <w:tc>
                <w:tcPr>
                  <w:tcW w:type="dxa" w:w="211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检测项目</w:t>
                  </w:r>
                </w:p>
              </w:tc>
              <w:tc>
                <w:tcPr>
                  <w:tcW w:type="dxa" w:w="4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限量值要求</w:t>
                  </w:r>
                </w:p>
              </w:tc>
            </w:tr>
            <w:tr>
              <w:tc>
                <w:tcPr>
                  <w:tcW w:type="dxa" w:w="2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有</w:t>
                  </w:r>
                </w:p>
                <w:p>
                  <w:pPr>
                    <w:pStyle w:val="null3"/>
                    <w:jc w:val="center"/>
                  </w:pPr>
                  <w:r>
                    <w:rPr>
                      <w:rFonts w:ascii="仿宋_GB2312" w:hAnsi="仿宋_GB2312" w:cs="仿宋_GB2312" w:eastAsia="仿宋_GB2312"/>
                      <w:sz w:val="20"/>
                    </w:rPr>
                    <w:t>害</w:t>
                  </w:r>
                </w:p>
                <w:p>
                  <w:pPr>
                    <w:pStyle w:val="null3"/>
                    <w:jc w:val="center"/>
                  </w:pPr>
                  <w:r>
                    <w:rPr>
                      <w:rFonts w:ascii="仿宋_GB2312" w:hAnsi="仿宋_GB2312" w:cs="仿宋_GB2312" w:eastAsia="仿宋_GB2312"/>
                      <w:sz w:val="20"/>
                    </w:rPr>
                    <w:t>物</w:t>
                  </w:r>
                </w:p>
                <w:p>
                  <w:pPr>
                    <w:pStyle w:val="null3"/>
                    <w:jc w:val="center"/>
                  </w:pPr>
                  <w:r>
                    <w:rPr>
                      <w:rFonts w:ascii="仿宋_GB2312" w:hAnsi="仿宋_GB2312" w:cs="仿宋_GB2312" w:eastAsia="仿宋_GB2312"/>
                      <w:sz w:val="20"/>
                    </w:rPr>
                    <w:t>质</w:t>
                  </w:r>
                </w:p>
                <w:p>
                  <w:pPr>
                    <w:pStyle w:val="null3"/>
                    <w:jc w:val="center"/>
                  </w:pPr>
                  <w:r>
                    <w:rPr>
                      <w:rFonts w:ascii="仿宋_GB2312" w:hAnsi="仿宋_GB2312" w:cs="仿宋_GB2312" w:eastAsia="仿宋_GB2312"/>
                      <w:sz w:val="20"/>
                    </w:rPr>
                    <w:t>含</w:t>
                  </w:r>
                </w:p>
                <w:p>
                  <w:pPr>
                    <w:pStyle w:val="null3"/>
                    <w:jc w:val="center"/>
                  </w:pPr>
                  <w:r>
                    <w:rPr>
                      <w:rFonts w:ascii="仿宋_GB2312" w:hAnsi="仿宋_GB2312" w:cs="仿宋_GB2312" w:eastAsia="仿宋_GB2312"/>
                      <w:sz w:val="20"/>
                    </w:rPr>
                    <w:t>量</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种邻苯二甲酸酯类（</w:t>
                  </w:r>
                  <w:r>
                    <w:rPr>
                      <w:rFonts w:ascii="仿宋_GB2312" w:hAnsi="仿宋_GB2312" w:cs="仿宋_GB2312" w:eastAsia="仿宋_GB2312"/>
                      <w:sz w:val="20"/>
                    </w:rPr>
                    <w:t>DBP</w:t>
                  </w:r>
                  <w:r>
                    <w:rPr>
                      <w:rFonts w:ascii="仿宋_GB2312" w:hAnsi="仿宋_GB2312" w:cs="仿宋_GB2312" w:eastAsia="仿宋_GB2312"/>
                      <w:sz w:val="20"/>
                    </w:rPr>
                    <w:t>、</w:t>
                  </w:r>
                  <w:r>
                    <w:rPr>
                      <w:rFonts w:ascii="仿宋_GB2312" w:hAnsi="仿宋_GB2312" w:cs="仿宋_GB2312" w:eastAsia="仿宋_GB2312"/>
                      <w:sz w:val="20"/>
                    </w:rPr>
                    <w:t>BBP</w:t>
                  </w:r>
                  <w:r>
                    <w:rPr>
                      <w:rFonts w:ascii="仿宋_GB2312" w:hAnsi="仿宋_GB2312" w:cs="仿宋_GB2312" w:eastAsia="仿宋_GB2312"/>
                      <w:sz w:val="20"/>
                    </w:rPr>
                    <w:t>、</w:t>
                  </w:r>
                  <w:r>
                    <w:rPr>
                      <w:rFonts w:ascii="仿宋_GB2312" w:hAnsi="仿宋_GB2312" w:cs="仿宋_GB2312" w:eastAsia="仿宋_GB2312"/>
                      <w:sz w:val="20"/>
                    </w:rPr>
                    <w:t>DEHP</w:t>
                  </w:r>
                  <w:r>
                    <w:rPr>
                      <w:rFonts w:ascii="仿宋_GB2312" w:hAnsi="仿宋_GB2312" w:cs="仿宋_GB2312" w:eastAsia="仿宋_GB2312"/>
                      <w:sz w:val="20"/>
                    </w:rPr>
                    <w:t>）总和</w:t>
                  </w:r>
                  <w:r>
                    <w:rPr>
                      <w:rFonts w:ascii="仿宋_GB2312" w:hAnsi="仿宋_GB2312" w:cs="仿宋_GB2312" w:eastAsia="仿宋_GB2312"/>
                      <w:sz w:val="20"/>
                    </w:rPr>
                    <w:t>b/</w:t>
                  </w:r>
                  <w:r>
                    <w:rPr>
                      <w:rFonts w:ascii="仿宋_GB2312" w:hAnsi="仿宋_GB2312" w:cs="仿宋_GB2312" w:eastAsia="仿宋_GB2312"/>
                      <w:sz w:val="20"/>
                    </w:rPr>
                    <w:t>（</w:t>
                  </w:r>
                  <w:r>
                    <w:rPr>
                      <w:rFonts w:ascii="仿宋_GB2312" w:hAnsi="仿宋_GB2312" w:cs="仿宋_GB2312" w:eastAsia="仿宋_GB2312"/>
                      <w:sz w:val="20"/>
                    </w:rPr>
                    <w:t>g/kg</w:t>
                  </w:r>
                  <w:r>
                    <w:rPr>
                      <w:rFonts w:ascii="仿宋_GB2312" w:hAnsi="仿宋_GB2312" w:cs="仿宋_GB2312" w:eastAsia="仿宋_GB2312"/>
                      <w:sz w:val="20"/>
                    </w:rPr>
                    <w:t>）</w:t>
                  </w:r>
                </w:p>
              </w:tc>
              <w:tc>
                <w:tcPr>
                  <w:tcW w:type="dxa" w:w="4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1.0</w:t>
                  </w:r>
                </w:p>
              </w:tc>
            </w:tr>
            <w:tr>
              <w:tc>
                <w:tcPr>
                  <w:tcW w:type="dxa" w:w="256"/>
                  <w:vMerge/>
                  <w:tcBorders>
                    <w:top w:val="none" w:color="000000" w:sz="4"/>
                    <w:left w:val="single" w:color="000000" w:sz="4"/>
                    <w:bottom w:val="single" w:color="000000" w:sz="4"/>
                    <w:right w:val="single" w:color="000000" w:sz="4"/>
                  </w:tcBorders>
                </w:tcP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种邻苯二甲酸酯类（</w:t>
                  </w:r>
                  <w:r>
                    <w:rPr>
                      <w:rFonts w:ascii="仿宋_GB2312" w:hAnsi="仿宋_GB2312" w:cs="仿宋_GB2312" w:eastAsia="仿宋_GB2312"/>
                      <w:sz w:val="20"/>
                    </w:rPr>
                    <w:t>DNOP</w:t>
                  </w:r>
                  <w:r>
                    <w:rPr>
                      <w:rFonts w:ascii="仿宋_GB2312" w:hAnsi="仿宋_GB2312" w:cs="仿宋_GB2312" w:eastAsia="仿宋_GB2312"/>
                      <w:sz w:val="20"/>
                    </w:rPr>
                    <w:t>、</w:t>
                  </w:r>
                  <w:r>
                    <w:rPr>
                      <w:rFonts w:ascii="仿宋_GB2312" w:hAnsi="仿宋_GB2312" w:cs="仿宋_GB2312" w:eastAsia="仿宋_GB2312"/>
                      <w:sz w:val="20"/>
                    </w:rPr>
                    <w:t>DINP</w:t>
                  </w:r>
                  <w:r>
                    <w:rPr>
                      <w:rFonts w:ascii="仿宋_GB2312" w:hAnsi="仿宋_GB2312" w:cs="仿宋_GB2312" w:eastAsia="仿宋_GB2312"/>
                      <w:sz w:val="20"/>
                    </w:rPr>
                    <w:t>、</w:t>
                  </w:r>
                  <w:r>
                    <w:rPr>
                      <w:rFonts w:ascii="仿宋_GB2312" w:hAnsi="仿宋_GB2312" w:cs="仿宋_GB2312" w:eastAsia="仿宋_GB2312"/>
                      <w:sz w:val="20"/>
                    </w:rPr>
                    <w:t>DIDP</w:t>
                  </w:r>
                  <w:r>
                    <w:rPr>
                      <w:rFonts w:ascii="仿宋_GB2312" w:hAnsi="仿宋_GB2312" w:cs="仿宋_GB2312" w:eastAsia="仿宋_GB2312"/>
                      <w:sz w:val="20"/>
                    </w:rPr>
                    <w:t>）总和</w:t>
                  </w:r>
                  <w:r>
                    <w:rPr>
                      <w:rFonts w:ascii="仿宋_GB2312" w:hAnsi="仿宋_GB2312" w:cs="仿宋_GB2312" w:eastAsia="仿宋_GB2312"/>
                      <w:sz w:val="20"/>
                    </w:rPr>
                    <w:t>b/g/kg</w:t>
                  </w:r>
                  <w:r>
                    <w:rPr>
                      <w:rFonts w:ascii="仿宋_GB2312" w:hAnsi="仿宋_GB2312" w:cs="仿宋_GB2312" w:eastAsia="仿宋_GB2312"/>
                      <w:sz w:val="2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1.0</w:t>
                  </w:r>
                </w:p>
              </w:tc>
            </w:tr>
            <w:tr>
              <w:tc>
                <w:tcPr>
                  <w:tcW w:type="dxa" w:w="256"/>
                  <w:vMerge/>
                  <w:tcBorders>
                    <w:top w:val="none" w:color="000000" w:sz="4"/>
                    <w:left w:val="single" w:color="000000" w:sz="4"/>
                    <w:bottom w:val="single" w:color="000000" w:sz="4"/>
                    <w:right w:val="single" w:color="000000" w:sz="4"/>
                  </w:tcBorders>
                </w:tcP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短链氯化石蜡（</w:t>
                  </w:r>
                  <w:r>
                    <w:rPr>
                      <w:rFonts w:ascii="仿宋_GB2312" w:hAnsi="仿宋_GB2312" w:cs="仿宋_GB2312" w:eastAsia="仿宋_GB2312"/>
                      <w:sz w:val="20"/>
                    </w:rPr>
                    <w:t>C10-C13</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g/kg</w:t>
                  </w:r>
                  <w:r>
                    <w:rPr>
                      <w:rFonts w:ascii="仿宋_GB2312" w:hAnsi="仿宋_GB2312" w:cs="仿宋_GB2312" w:eastAsia="仿宋_GB2312"/>
                      <w:sz w:val="2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1.5</w:t>
                  </w:r>
                </w:p>
              </w:tc>
            </w:tr>
            <w:tr>
              <w:tc>
                <w:tcPr>
                  <w:tcW w:type="dxa" w:w="256"/>
                  <w:vMerge/>
                  <w:tcBorders>
                    <w:top w:val="none" w:color="000000" w:sz="4"/>
                    <w:left w:val="single" w:color="000000" w:sz="4"/>
                    <w:bottom w:val="single" w:color="000000" w:sz="4"/>
                    <w:right w:val="single" w:color="000000" w:sz="4"/>
                  </w:tcBorders>
                </w:tcP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游离甲苯二异氰酸酯（</w:t>
                  </w:r>
                  <w:r>
                    <w:rPr>
                      <w:rFonts w:ascii="仿宋_GB2312" w:hAnsi="仿宋_GB2312" w:cs="仿宋_GB2312" w:eastAsia="仿宋_GB2312"/>
                      <w:sz w:val="20"/>
                    </w:rPr>
                    <w:t>TDI</w:t>
                  </w:r>
                  <w:r>
                    <w:rPr>
                      <w:rFonts w:ascii="仿宋_GB2312" w:hAnsi="仿宋_GB2312" w:cs="仿宋_GB2312" w:eastAsia="仿宋_GB2312"/>
                      <w:sz w:val="20"/>
                    </w:rPr>
                    <w:t>）和游离六亚甲基二异氰酸酯（</w:t>
                  </w:r>
                  <w:r>
                    <w:rPr>
                      <w:rFonts w:ascii="仿宋_GB2312" w:hAnsi="仿宋_GB2312" w:cs="仿宋_GB2312" w:eastAsia="仿宋_GB2312"/>
                      <w:sz w:val="20"/>
                    </w:rPr>
                    <w:t>HDI</w:t>
                  </w:r>
                  <w:r>
                    <w:rPr>
                      <w:rFonts w:ascii="仿宋_GB2312" w:hAnsi="仿宋_GB2312" w:cs="仿宋_GB2312" w:eastAsia="仿宋_GB2312"/>
                      <w:sz w:val="20"/>
                    </w:rPr>
                    <w:t>）</w:t>
                  </w:r>
                </w:p>
                <w:p>
                  <w:pPr>
                    <w:pStyle w:val="null3"/>
                    <w:jc w:val="center"/>
                  </w:pPr>
                  <w:r>
                    <w:rPr>
                      <w:rFonts w:ascii="仿宋_GB2312" w:hAnsi="仿宋_GB2312" w:cs="仿宋_GB2312" w:eastAsia="仿宋_GB2312"/>
                      <w:sz w:val="20"/>
                    </w:rPr>
                    <w:t>总和</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g/kg</w:t>
                  </w:r>
                  <w:r>
                    <w:rPr>
                      <w:rFonts w:ascii="仿宋_GB2312" w:hAnsi="仿宋_GB2312" w:cs="仿宋_GB2312" w:eastAsia="仿宋_GB2312"/>
                      <w:sz w:val="2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10</w:t>
                  </w:r>
                </w:p>
              </w:tc>
            </w:tr>
            <w:tr>
              <w:tc>
                <w:tcPr>
                  <w:tcW w:type="dxa" w:w="256"/>
                  <w:vMerge/>
                  <w:tcBorders>
                    <w:top w:val="none" w:color="000000" w:sz="4"/>
                    <w:left w:val="single" w:color="000000" w:sz="4"/>
                    <w:bottom w:val="single" w:color="000000" w:sz="4"/>
                    <w:right w:val="single" w:color="000000" w:sz="4"/>
                  </w:tcBorders>
                </w:tcP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挥发性有机化合物</w:t>
                  </w:r>
                  <w:r>
                    <w:rPr>
                      <w:rFonts w:ascii="仿宋_GB2312" w:hAnsi="仿宋_GB2312" w:cs="仿宋_GB2312" w:eastAsia="仿宋_GB2312"/>
                      <w:sz w:val="20"/>
                    </w:rPr>
                    <w:t>/（g/L）</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50</w:t>
                  </w:r>
                </w:p>
              </w:tc>
            </w:tr>
            <w:tr>
              <w:tc>
                <w:tcPr>
                  <w:tcW w:type="dxa" w:w="256"/>
                  <w:vMerge/>
                  <w:tcBorders>
                    <w:top w:val="none" w:color="000000" w:sz="4"/>
                    <w:left w:val="single" w:color="000000" w:sz="4"/>
                    <w:bottom w:val="single" w:color="000000" w:sz="4"/>
                    <w:right w:val="single" w:color="000000" w:sz="4"/>
                  </w:tcBorders>
                </w:tcP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游离甲醛</w:t>
                  </w:r>
                  <w:r>
                    <w:rPr>
                      <w:rFonts w:ascii="仿宋_GB2312" w:hAnsi="仿宋_GB2312" w:cs="仿宋_GB2312" w:eastAsia="仿宋_GB2312"/>
                      <w:sz w:val="20"/>
                    </w:rPr>
                    <w:t>/（g/kg）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0.50</w:t>
                  </w:r>
                </w:p>
              </w:tc>
            </w:tr>
            <w:tr>
              <w:tc>
                <w:tcPr>
                  <w:tcW w:type="dxa" w:w="256"/>
                  <w:vMerge/>
                  <w:tcBorders>
                    <w:top w:val="none" w:color="000000" w:sz="4"/>
                    <w:left w:val="single" w:color="000000" w:sz="4"/>
                    <w:bottom w:val="single" w:color="000000" w:sz="4"/>
                    <w:right w:val="single" w:color="000000" w:sz="4"/>
                  </w:tcBorders>
                </w:tcP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w:t>
                  </w:r>
                  <w:r>
                    <w:rPr>
                      <w:rFonts w:ascii="仿宋_GB2312" w:hAnsi="仿宋_GB2312" w:cs="仿宋_GB2312" w:eastAsia="仿宋_GB2312"/>
                      <w:sz w:val="20"/>
                    </w:rPr>
                    <w:t>/（g/kg）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0.05</w:t>
                  </w:r>
                </w:p>
              </w:tc>
            </w:tr>
            <w:tr>
              <w:tc>
                <w:tcPr>
                  <w:tcW w:type="dxa" w:w="256"/>
                  <w:vMerge/>
                  <w:tcBorders>
                    <w:top w:val="none" w:color="000000" w:sz="4"/>
                    <w:left w:val="single" w:color="000000" w:sz="4"/>
                    <w:bottom w:val="single" w:color="000000" w:sz="4"/>
                    <w:right w:val="single" w:color="000000" w:sz="4"/>
                  </w:tcBorders>
                </w:tcP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甲苯、二甲苯和乙苯总和</w:t>
                  </w:r>
                  <w:r>
                    <w:rPr>
                      <w:rFonts w:ascii="仿宋_GB2312" w:hAnsi="仿宋_GB2312" w:cs="仿宋_GB2312" w:eastAsia="仿宋_GB2312"/>
                      <w:sz w:val="20"/>
                    </w:rPr>
                    <w:t>/（g/kg）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1.0</w:t>
                  </w:r>
                </w:p>
              </w:tc>
            </w:tr>
            <w:tr>
              <w:tc>
                <w:tcPr>
                  <w:tcW w:type="dxa" w:w="256"/>
                  <w:vMerge/>
                  <w:tcBorders>
                    <w:top w:val="none" w:color="000000" w:sz="4"/>
                    <w:left w:val="single" w:color="000000" w:sz="4"/>
                    <w:bottom w:val="single" w:color="000000" w:sz="4"/>
                    <w:right w:val="single" w:color="000000" w:sz="4"/>
                  </w:tcBorders>
                </w:tcP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可溶性铅</w:t>
                  </w:r>
                  <w:r>
                    <w:rPr>
                      <w:rFonts w:ascii="仿宋_GB2312" w:hAnsi="仿宋_GB2312" w:cs="仿宋_GB2312" w:eastAsia="仿宋_GB2312"/>
                      <w:sz w:val="20"/>
                    </w:rPr>
                    <w:t>/(mg/kg)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50</w:t>
                  </w:r>
                </w:p>
              </w:tc>
            </w:tr>
            <w:tr>
              <w:tc>
                <w:tcPr>
                  <w:tcW w:type="dxa" w:w="256"/>
                  <w:vMerge/>
                  <w:tcBorders>
                    <w:top w:val="none" w:color="000000" w:sz="4"/>
                    <w:left w:val="single" w:color="000000" w:sz="4"/>
                    <w:bottom w:val="single" w:color="000000" w:sz="4"/>
                    <w:right w:val="single" w:color="000000" w:sz="4"/>
                  </w:tcBorders>
                </w:tcP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可溶性镉</w:t>
                  </w:r>
                  <w:r>
                    <w:rPr>
                      <w:rFonts w:ascii="仿宋_GB2312" w:hAnsi="仿宋_GB2312" w:cs="仿宋_GB2312" w:eastAsia="仿宋_GB2312"/>
                      <w:sz w:val="20"/>
                    </w:rPr>
                    <w:t>/(mg/kg)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10</w:t>
                  </w:r>
                </w:p>
              </w:tc>
            </w:tr>
            <w:tr>
              <w:tc>
                <w:tcPr>
                  <w:tcW w:type="dxa" w:w="256"/>
                  <w:vMerge/>
                  <w:tcBorders>
                    <w:top w:val="none" w:color="000000" w:sz="4"/>
                    <w:left w:val="single" w:color="000000" w:sz="4"/>
                    <w:bottom w:val="single" w:color="000000" w:sz="4"/>
                    <w:right w:val="single" w:color="000000" w:sz="4"/>
                  </w:tcBorders>
                </w:tcP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可溶性铬</w:t>
                  </w:r>
                  <w:r>
                    <w:rPr>
                      <w:rFonts w:ascii="仿宋_GB2312" w:hAnsi="仿宋_GB2312" w:cs="仿宋_GB2312" w:eastAsia="仿宋_GB2312"/>
                      <w:sz w:val="20"/>
                    </w:rPr>
                    <w:t>/(mg/kg)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10</w:t>
                  </w:r>
                </w:p>
              </w:tc>
            </w:tr>
            <w:tr>
              <w:tc>
                <w:tcPr>
                  <w:tcW w:type="dxa" w:w="256"/>
                  <w:vMerge/>
                  <w:tcBorders>
                    <w:top w:val="none" w:color="000000" w:sz="4"/>
                    <w:left w:val="single" w:color="000000" w:sz="4"/>
                    <w:bottom w:val="single" w:color="000000" w:sz="4"/>
                    <w:right w:val="single" w:color="000000" w:sz="4"/>
                  </w:tcBorders>
                </w:tcP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可溶性汞</w:t>
                  </w:r>
                  <w:r>
                    <w:rPr>
                      <w:rFonts w:ascii="仿宋_GB2312" w:hAnsi="仿宋_GB2312" w:cs="仿宋_GB2312" w:eastAsia="仿宋_GB2312"/>
                      <w:sz w:val="20"/>
                    </w:rPr>
                    <w:t>/(mg/kg)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2</w:t>
                  </w:r>
                </w:p>
              </w:tc>
            </w:tr>
          </w:tbl>
          <w:p>
            <w:pPr>
              <w:pStyle w:val="null3"/>
              <w:ind w:firstLine="402"/>
              <w:jc w:val="left"/>
            </w:pPr>
            <w:r>
              <w:rPr>
                <w:rFonts w:ascii="仿宋_GB2312" w:hAnsi="仿宋_GB2312" w:cs="仿宋_GB2312" w:eastAsia="仿宋_GB2312"/>
                <w:sz w:val="20"/>
                <w:b/>
              </w:rPr>
              <w:t>4.材料专业运动性能要求</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1）球场面层具有多功能运动性能，冲击吸收、垂直变形、抗滑值（干测、湿测）、拉伸强度、拉断伸长率、耐磨性、阻燃性能符合GB/T14833-2020多功能运动场地面层性能要求。</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2）球场面层经60℃热空气老化800h后，冲击吸收、垂直变形、拉伸强度、拉断伸长率符合GB/T22517.4-2017、GB/T14833-2020、GB36246-2018标准检测。</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3）球场面层符合GB 36246-2018标准不低于168h的皂水、霜冻和干热持续老化后，拉伸强度＞1MPa，拉断伸长率＞100%，球反弹率＞90%，撕裂强度＞7kN/m，尺寸稳定性＜1%，色牢度＞3级检测。</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4）球场面漆材料依据GB/T 39294-2020、GB/T 22374-2018标准得耐紫外线老化黄变性能，老化≥2500h后，外观不起泡、不剥落、无裂纹、无粉化现象，耐黄变性能＜2级检测。</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5）球场面层符合GB36246-2018标准在经过500h湿热和336h热水老化后，冲击吸收、垂直变形、抗滑值、拉伸强度、拉断伸长率、阻燃性，并且色牢度不低于3级，面层不起泡、不开裂等无外观缺陷现象检测。</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0"/>
                <w:b/>
              </w:rPr>
              <w:t>主材品牌推荐</w:t>
            </w:r>
          </w:p>
          <w:p>
            <w:pPr>
              <w:pStyle w:val="null3"/>
              <w:ind w:firstLine="200"/>
              <w:jc w:val="both"/>
            </w:pPr>
            <w:r>
              <w:rPr>
                <w:rFonts w:ascii="仿宋_GB2312" w:hAnsi="仿宋_GB2312" w:cs="仿宋_GB2312" w:eastAsia="仿宋_GB2312"/>
                <w:sz w:val="20"/>
              </w:rPr>
              <w:t>长河</w:t>
            </w:r>
            <w:r>
              <w:rPr>
                <w:rFonts w:ascii="仿宋_GB2312" w:hAnsi="仿宋_GB2312" w:cs="仿宋_GB2312" w:eastAsia="仿宋_GB2312"/>
                <w:sz w:val="20"/>
              </w:rPr>
              <w:t>CHANGHE、柏胜(BSMC)、同欣、东海或同档次</w:t>
            </w:r>
          </w:p>
          <w:p>
            <w:pPr>
              <w:pStyle w:val="null3"/>
              <w:jc w:val="both"/>
            </w:pPr>
            <w:r>
              <w:rPr>
                <w:rFonts w:ascii="仿宋_GB2312" w:hAnsi="仿宋_GB2312" w:cs="仿宋_GB2312" w:eastAsia="仿宋_GB2312"/>
                <w:sz w:val="20"/>
                <w:b/>
              </w:rPr>
              <w:t>（三）产品来源与质量保证要求</w:t>
            </w:r>
          </w:p>
          <w:p>
            <w:pPr>
              <w:pStyle w:val="null3"/>
              <w:ind w:firstLine="402"/>
            </w:pPr>
            <w:r>
              <w:rPr>
                <w:rFonts w:ascii="仿宋_GB2312" w:hAnsi="仿宋_GB2312" w:cs="仿宋_GB2312" w:eastAsia="仿宋_GB2312"/>
                <w:sz w:val="20"/>
                <w:b/>
              </w:rPr>
              <w:t>1.</w:t>
            </w:r>
            <w:r>
              <w:rPr>
                <w:rFonts w:ascii="仿宋_GB2312" w:hAnsi="仿宋_GB2312" w:cs="仿宋_GB2312" w:eastAsia="仿宋_GB2312"/>
                <w:sz w:val="20"/>
                <w:b/>
              </w:rPr>
              <w:t>产品来源</w:t>
            </w:r>
          </w:p>
          <w:p>
            <w:pPr>
              <w:pStyle w:val="null3"/>
              <w:ind w:firstLine="400"/>
              <w:jc w:val="left"/>
            </w:pPr>
            <w:r>
              <w:rPr>
                <w:rFonts w:ascii="仿宋_GB2312" w:hAnsi="仿宋_GB2312" w:cs="仿宋_GB2312" w:eastAsia="仿宋_GB2312"/>
                <w:sz w:val="20"/>
              </w:rPr>
              <w:t>供应商提供主要施工材料来源渠道合法的证明文件</w:t>
            </w:r>
            <w:r>
              <w:rPr>
                <w:rFonts w:ascii="仿宋_GB2312" w:hAnsi="仿宋_GB2312" w:cs="仿宋_GB2312" w:eastAsia="仿宋_GB2312"/>
                <w:sz w:val="20"/>
              </w:rPr>
              <w:t>(包括但不限于销售协议、代理协议、原厂授权等)。</w:t>
            </w:r>
          </w:p>
          <w:p>
            <w:pPr>
              <w:pStyle w:val="null3"/>
              <w:ind w:firstLine="402"/>
            </w:pPr>
            <w:r>
              <w:rPr>
                <w:rFonts w:ascii="仿宋_GB2312" w:hAnsi="仿宋_GB2312" w:cs="仿宋_GB2312" w:eastAsia="仿宋_GB2312"/>
                <w:sz w:val="20"/>
                <w:b/>
              </w:rPr>
              <w:t>2.</w:t>
            </w:r>
            <w:r>
              <w:rPr>
                <w:rFonts w:ascii="仿宋_GB2312" w:hAnsi="仿宋_GB2312" w:cs="仿宋_GB2312" w:eastAsia="仿宋_GB2312"/>
                <w:sz w:val="20"/>
                <w:b/>
              </w:rPr>
              <w:t>质量保证措施</w:t>
            </w:r>
          </w:p>
          <w:p>
            <w:pPr>
              <w:pStyle w:val="null3"/>
              <w:ind w:firstLine="400"/>
              <w:jc w:val="left"/>
            </w:pPr>
            <w:r>
              <w:rPr>
                <w:rFonts w:ascii="仿宋_GB2312" w:hAnsi="仿宋_GB2312" w:cs="仿宋_GB2312" w:eastAsia="仿宋_GB2312"/>
                <w:sz w:val="20"/>
              </w:rPr>
              <w:t>①</w:t>
            </w:r>
            <w:r>
              <w:rPr>
                <w:rFonts w:ascii="仿宋_GB2312" w:hAnsi="仿宋_GB2312" w:cs="仿宋_GB2312" w:eastAsia="仿宋_GB2312"/>
                <w:sz w:val="20"/>
              </w:rPr>
              <w:t>出厂检测：每批次提供原厂质量检测报告及合格证。</w:t>
            </w:r>
          </w:p>
          <w:p>
            <w:pPr>
              <w:pStyle w:val="null3"/>
              <w:ind w:firstLine="400"/>
              <w:jc w:val="left"/>
            </w:pPr>
            <w:r>
              <w:rPr>
                <w:rFonts w:ascii="仿宋_GB2312" w:hAnsi="仿宋_GB2312" w:cs="仿宋_GB2312" w:eastAsia="仿宋_GB2312"/>
                <w:sz w:val="20"/>
              </w:rPr>
              <w:t>②</w:t>
            </w:r>
            <w:r>
              <w:rPr>
                <w:rFonts w:ascii="仿宋_GB2312" w:hAnsi="仿宋_GB2312" w:cs="仿宋_GB2312" w:eastAsia="仿宋_GB2312"/>
                <w:sz w:val="20"/>
              </w:rPr>
              <w:t>质量承诺：提供</w:t>
            </w:r>
            <w:r>
              <w:rPr>
                <w:rFonts w:ascii="仿宋_GB2312" w:hAnsi="仿宋_GB2312" w:cs="仿宋_GB2312" w:eastAsia="仿宋_GB2312"/>
                <w:sz w:val="20"/>
              </w:rPr>
              <w:t>5年以上质量承诺，终身维护服务。</w:t>
            </w:r>
          </w:p>
          <w:p>
            <w:pPr>
              <w:pStyle w:val="null3"/>
              <w:ind w:firstLine="400"/>
              <w:jc w:val="left"/>
            </w:pPr>
            <w:r>
              <w:rPr>
                <w:rFonts w:ascii="仿宋_GB2312" w:hAnsi="仿宋_GB2312" w:cs="仿宋_GB2312" w:eastAsia="仿宋_GB2312"/>
                <w:sz w:val="20"/>
              </w:rPr>
              <w:t>③可追溯性</w:t>
            </w:r>
            <w:r>
              <w:rPr>
                <w:rFonts w:ascii="仿宋_GB2312" w:hAnsi="仿宋_GB2312" w:cs="仿宋_GB2312" w:eastAsia="仿宋_GB2312"/>
                <w:sz w:val="20"/>
              </w:rPr>
              <w:t>：</w:t>
            </w:r>
            <w:r>
              <w:rPr>
                <w:rFonts w:ascii="仿宋_GB2312" w:hAnsi="仿宋_GB2312" w:cs="仿宋_GB2312" w:eastAsia="仿宋_GB2312"/>
                <w:sz w:val="20"/>
              </w:rPr>
              <w:t>材料包装需标注合格证、生产批次、生产日期及生产厂家信息。</w:t>
            </w:r>
          </w:p>
          <w:p>
            <w:pPr>
              <w:pStyle w:val="null3"/>
              <w:jc w:val="both"/>
            </w:pPr>
            <w:r>
              <w:rPr>
                <w:rFonts w:ascii="仿宋_GB2312" w:hAnsi="仿宋_GB2312" w:cs="仿宋_GB2312" w:eastAsia="仿宋_GB2312"/>
                <w:sz w:val="20"/>
                <w:b/>
              </w:rPr>
              <w:t>（四）主材进场检测与施工验收要求</w:t>
            </w:r>
          </w:p>
          <w:p>
            <w:pPr>
              <w:pStyle w:val="null3"/>
              <w:ind w:firstLine="402"/>
            </w:pPr>
            <w:r>
              <w:rPr>
                <w:rFonts w:ascii="仿宋_GB2312" w:hAnsi="仿宋_GB2312" w:cs="仿宋_GB2312" w:eastAsia="仿宋_GB2312"/>
                <w:sz w:val="20"/>
                <w:b/>
              </w:rPr>
              <w:t>1.</w:t>
            </w:r>
            <w:r>
              <w:rPr>
                <w:rFonts w:ascii="仿宋_GB2312" w:hAnsi="仿宋_GB2312" w:cs="仿宋_GB2312" w:eastAsia="仿宋_GB2312"/>
                <w:sz w:val="20"/>
                <w:b/>
              </w:rPr>
              <w:t>进场检测</w:t>
            </w:r>
          </w:p>
          <w:p>
            <w:pPr>
              <w:pStyle w:val="null3"/>
              <w:ind w:firstLine="400"/>
              <w:jc w:val="left"/>
            </w:pPr>
            <w:r>
              <w:rPr>
                <w:rFonts w:ascii="仿宋_GB2312" w:hAnsi="仿宋_GB2312" w:cs="仿宋_GB2312" w:eastAsia="仿宋_GB2312"/>
                <w:sz w:val="20"/>
              </w:rPr>
              <w:t>①</w:t>
            </w:r>
            <w:r>
              <w:rPr>
                <w:rFonts w:ascii="仿宋_GB2312" w:hAnsi="仿宋_GB2312" w:cs="仿宋_GB2312" w:eastAsia="仿宋_GB2312"/>
                <w:sz w:val="20"/>
              </w:rPr>
              <w:t>文件核验：检查产品合格证、环保认证、材料检测报告。</w:t>
            </w:r>
          </w:p>
          <w:p>
            <w:pPr>
              <w:pStyle w:val="null3"/>
              <w:ind w:firstLine="400"/>
              <w:jc w:val="left"/>
            </w:pPr>
            <w:r>
              <w:rPr>
                <w:rFonts w:ascii="仿宋_GB2312" w:hAnsi="仿宋_GB2312" w:cs="仿宋_GB2312" w:eastAsia="仿宋_GB2312"/>
                <w:sz w:val="20"/>
              </w:rPr>
              <w:t>②</w:t>
            </w:r>
            <w:r>
              <w:rPr>
                <w:rFonts w:ascii="仿宋_GB2312" w:hAnsi="仿宋_GB2312" w:cs="仿宋_GB2312" w:eastAsia="仿宋_GB2312"/>
                <w:sz w:val="20"/>
              </w:rPr>
              <w:t>物理检测：随机抽取</w:t>
            </w:r>
            <w:r>
              <w:rPr>
                <w:rFonts w:ascii="仿宋_GB2312" w:hAnsi="仿宋_GB2312" w:cs="仿宋_GB2312" w:eastAsia="仿宋_GB2312"/>
                <w:sz w:val="20"/>
              </w:rPr>
              <w:t>3组样品，委托第三方检测机构复检关键指标。</w:t>
            </w:r>
          </w:p>
          <w:p>
            <w:pPr>
              <w:pStyle w:val="null3"/>
              <w:ind w:firstLine="400"/>
              <w:jc w:val="left"/>
            </w:pPr>
            <w:r>
              <w:rPr>
                <w:rFonts w:ascii="仿宋_GB2312" w:hAnsi="仿宋_GB2312" w:cs="仿宋_GB2312" w:eastAsia="仿宋_GB2312"/>
                <w:sz w:val="20"/>
              </w:rPr>
              <w:t>③</w:t>
            </w:r>
            <w:r>
              <w:rPr>
                <w:rFonts w:ascii="仿宋_GB2312" w:hAnsi="仿宋_GB2312" w:cs="仿宋_GB2312" w:eastAsia="仿宋_GB2312"/>
                <w:sz w:val="20"/>
              </w:rPr>
              <w:t>外观检查：观察材料有无结块、分层、变色等异常现象。</w:t>
            </w:r>
          </w:p>
          <w:p>
            <w:pPr>
              <w:pStyle w:val="null3"/>
              <w:ind w:firstLine="400"/>
              <w:jc w:val="left"/>
            </w:pPr>
            <w:r>
              <w:rPr>
                <w:rFonts w:ascii="仿宋_GB2312" w:hAnsi="仿宋_GB2312" w:cs="仿宋_GB2312" w:eastAsia="仿宋_GB2312"/>
                <w:sz w:val="20"/>
              </w:rPr>
              <w:t>④</w:t>
            </w:r>
            <w:r>
              <w:rPr>
                <w:rFonts w:ascii="仿宋_GB2312" w:hAnsi="仿宋_GB2312" w:cs="仿宋_GB2312" w:eastAsia="仿宋_GB2312"/>
                <w:sz w:val="20"/>
              </w:rPr>
              <w:t>质量承诺：提供</w:t>
            </w:r>
            <w:r>
              <w:rPr>
                <w:rFonts w:ascii="仿宋_GB2312" w:hAnsi="仿宋_GB2312" w:cs="仿宋_GB2312" w:eastAsia="仿宋_GB2312"/>
                <w:sz w:val="20"/>
              </w:rPr>
              <w:t>5年以上质量承诺，终身维护服务。</w:t>
            </w:r>
          </w:p>
          <w:p>
            <w:pPr>
              <w:pStyle w:val="null3"/>
              <w:ind w:firstLine="400"/>
              <w:jc w:val="left"/>
            </w:pPr>
            <w:r>
              <w:rPr>
                <w:rFonts w:ascii="仿宋_GB2312" w:hAnsi="仿宋_GB2312" w:cs="仿宋_GB2312" w:eastAsia="仿宋_GB2312"/>
                <w:sz w:val="20"/>
              </w:rPr>
              <w:t>⑤</w:t>
            </w:r>
            <w:r>
              <w:rPr>
                <w:rFonts w:ascii="仿宋_GB2312" w:hAnsi="仿宋_GB2312" w:cs="仿宋_GB2312" w:eastAsia="仿宋_GB2312"/>
                <w:sz w:val="20"/>
              </w:rPr>
              <w:t>可追溯性：材料包装需标注合格证、生产批次、生产日期及生产厂家信息。</w:t>
            </w:r>
          </w:p>
          <w:p>
            <w:pPr>
              <w:pStyle w:val="null3"/>
              <w:ind w:firstLine="402"/>
            </w:pPr>
            <w:r>
              <w:rPr>
                <w:rFonts w:ascii="仿宋_GB2312" w:hAnsi="仿宋_GB2312" w:cs="仿宋_GB2312" w:eastAsia="仿宋_GB2312"/>
                <w:sz w:val="20"/>
                <w:b/>
              </w:rPr>
              <w:t>2.</w:t>
            </w:r>
            <w:r>
              <w:rPr>
                <w:rFonts w:ascii="仿宋_GB2312" w:hAnsi="仿宋_GB2312" w:cs="仿宋_GB2312" w:eastAsia="仿宋_GB2312"/>
                <w:sz w:val="20"/>
                <w:b/>
              </w:rPr>
              <w:t>施工过程管控</w:t>
            </w:r>
          </w:p>
          <w:p>
            <w:pPr>
              <w:pStyle w:val="null3"/>
              <w:ind w:firstLine="400"/>
              <w:jc w:val="left"/>
            </w:pPr>
            <w:r>
              <w:rPr>
                <w:rFonts w:ascii="仿宋_GB2312" w:hAnsi="仿宋_GB2312" w:cs="仿宋_GB2312" w:eastAsia="仿宋_GB2312"/>
                <w:sz w:val="20"/>
              </w:rPr>
              <w:t>①</w:t>
            </w:r>
            <w:r>
              <w:rPr>
                <w:rFonts w:ascii="仿宋_GB2312" w:hAnsi="仿宋_GB2312" w:cs="仿宋_GB2312" w:eastAsia="仿宋_GB2312"/>
                <w:sz w:val="20"/>
              </w:rPr>
              <w:t>基层验收：基础密实度</w:t>
            </w:r>
            <w:r>
              <w:rPr>
                <w:rFonts w:ascii="仿宋_GB2312" w:hAnsi="仿宋_GB2312" w:cs="仿宋_GB2312" w:eastAsia="仿宋_GB2312"/>
                <w:sz w:val="20"/>
              </w:rPr>
              <w:t>≥95%，平整度误差≤3mm/3m。</w:t>
            </w:r>
          </w:p>
          <w:p>
            <w:pPr>
              <w:pStyle w:val="null3"/>
              <w:ind w:firstLine="400"/>
              <w:jc w:val="left"/>
            </w:pPr>
            <w:r>
              <w:rPr>
                <w:rFonts w:ascii="仿宋_GB2312" w:hAnsi="仿宋_GB2312" w:cs="仿宋_GB2312" w:eastAsia="仿宋_GB2312"/>
                <w:sz w:val="20"/>
              </w:rPr>
              <w:t>②</w:t>
            </w:r>
            <w:r>
              <w:rPr>
                <w:rFonts w:ascii="仿宋_GB2312" w:hAnsi="仿宋_GB2312" w:cs="仿宋_GB2312" w:eastAsia="仿宋_GB2312"/>
                <w:sz w:val="20"/>
              </w:rPr>
              <w:t>工艺标准</w:t>
            </w:r>
          </w:p>
          <w:p>
            <w:pPr>
              <w:pStyle w:val="null3"/>
              <w:ind w:firstLine="400"/>
              <w:jc w:val="left"/>
            </w:pPr>
            <w:r>
              <w:rPr>
                <w:rFonts w:ascii="仿宋_GB2312" w:hAnsi="仿宋_GB2312" w:cs="仿宋_GB2312" w:eastAsia="仿宋_GB2312"/>
                <w:sz w:val="20"/>
              </w:rPr>
              <w:t>底漆层：高强度乳液自流平封底，确保完全封闭沥青基层。</w:t>
            </w:r>
          </w:p>
          <w:p>
            <w:pPr>
              <w:pStyle w:val="null3"/>
              <w:ind w:firstLine="400"/>
              <w:jc w:val="left"/>
            </w:pPr>
            <w:r>
              <w:rPr>
                <w:rFonts w:ascii="仿宋_GB2312" w:hAnsi="仿宋_GB2312" w:cs="仿宋_GB2312" w:eastAsia="仿宋_GB2312"/>
                <w:sz w:val="20"/>
              </w:rPr>
              <w:t>弹性层：分次刮涂，总厚度</w:t>
            </w:r>
            <w:r>
              <w:rPr>
                <w:rFonts w:ascii="仿宋_GB2312" w:hAnsi="仿宋_GB2312" w:cs="仿宋_GB2312" w:eastAsia="仿宋_GB2312"/>
                <w:sz w:val="20"/>
              </w:rPr>
              <w:t>≥6mm</w:t>
            </w:r>
          </w:p>
          <w:p>
            <w:pPr>
              <w:pStyle w:val="null3"/>
              <w:ind w:firstLine="400"/>
              <w:jc w:val="left"/>
            </w:pPr>
            <w:r>
              <w:rPr>
                <w:rFonts w:ascii="仿宋_GB2312" w:hAnsi="仿宋_GB2312" w:cs="仿宋_GB2312" w:eastAsia="仿宋_GB2312"/>
                <w:sz w:val="20"/>
              </w:rPr>
              <w:t>加强层：分次刮涂高强度耐磨层，总厚度</w:t>
            </w:r>
            <w:r>
              <w:rPr>
                <w:rFonts w:ascii="仿宋_GB2312" w:hAnsi="仿宋_GB2312" w:cs="仿宋_GB2312" w:eastAsia="仿宋_GB2312"/>
                <w:sz w:val="20"/>
              </w:rPr>
              <w:t>≥2mm</w:t>
            </w:r>
          </w:p>
          <w:p>
            <w:pPr>
              <w:pStyle w:val="null3"/>
              <w:ind w:firstLine="400"/>
              <w:jc w:val="left"/>
            </w:pPr>
            <w:r>
              <w:rPr>
                <w:rFonts w:ascii="仿宋_GB2312" w:hAnsi="仿宋_GB2312" w:cs="仿宋_GB2312" w:eastAsia="仿宋_GB2312"/>
                <w:sz w:val="20"/>
              </w:rPr>
              <w:t>面层：喷涂或滚涂两遍防滑耐磨面漆。</w:t>
            </w:r>
          </w:p>
          <w:p>
            <w:pPr>
              <w:pStyle w:val="null3"/>
              <w:ind w:firstLine="400"/>
              <w:jc w:val="left"/>
            </w:pPr>
            <w:r>
              <w:rPr>
                <w:rFonts w:ascii="仿宋_GB2312" w:hAnsi="仿宋_GB2312" w:cs="仿宋_GB2312" w:eastAsia="仿宋_GB2312"/>
                <w:sz w:val="20"/>
              </w:rPr>
              <w:t>③</w:t>
            </w:r>
            <w:r>
              <w:rPr>
                <w:rFonts w:ascii="仿宋_GB2312" w:hAnsi="仿宋_GB2312" w:cs="仿宋_GB2312" w:eastAsia="仿宋_GB2312"/>
                <w:sz w:val="20"/>
              </w:rPr>
              <w:t>环境要求：施工温度</w:t>
            </w:r>
            <w:r>
              <w:rPr>
                <w:rFonts w:ascii="仿宋_GB2312" w:hAnsi="仿宋_GB2312" w:cs="仿宋_GB2312" w:eastAsia="仿宋_GB2312"/>
                <w:sz w:val="20"/>
              </w:rPr>
              <w:t>5-35℃，湿度＜85%，雨天禁止施工。</w:t>
            </w:r>
          </w:p>
          <w:p>
            <w:pPr>
              <w:pStyle w:val="null3"/>
              <w:ind w:firstLine="402"/>
            </w:pPr>
            <w:r>
              <w:rPr>
                <w:rFonts w:ascii="仿宋_GB2312" w:hAnsi="仿宋_GB2312" w:cs="仿宋_GB2312" w:eastAsia="仿宋_GB2312"/>
                <w:sz w:val="20"/>
                <w:b/>
              </w:rPr>
              <w:t>3.</w:t>
            </w:r>
            <w:r>
              <w:rPr>
                <w:rFonts w:ascii="仿宋_GB2312" w:hAnsi="仿宋_GB2312" w:cs="仿宋_GB2312" w:eastAsia="仿宋_GB2312"/>
                <w:sz w:val="20"/>
                <w:b/>
              </w:rPr>
              <w:t>竣工验收</w:t>
            </w:r>
          </w:p>
          <w:p>
            <w:pPr>
              <w:pStyle w:val="null3"/>
              <w:ind w:firstLine="400"/>
              <w:jc w:val="left"/>
            </w:pPr>
            <w:r>
              <w:rPr>
                <w:rFonts w:ascii="仿宋_GB2312" w:hAnsi="仿宋_GB2312" w:cs="仿宋_GB2312" w:eastAsia="仿宋_GB2312"/>
                <w:sz w:val="20"/>
              </w:rPr>
              <w:t>①</w:t>
            </w:r>
            <w:r>
              <w:rPr>
                <w:rFonts w:ascii="仿宋_GB2312" w:hAnsi="仿宋_GB2312" w:cs="仿宋_GB2312" w:eastAsia="仿宋_GB2312"/>
                <w:sz w:val="20"/>
              </w:rPr>
              <w:t>检测项目：厚度测量（</w:t>
            </w:r>
            <w:r>
              <w:rPr>
                <w:rFonts w:ascii="仿宋_GB2312" w:hAnsi="仿宋_GB2312" w:cs="仿宋_GB2312" w:eastAsia="仿宋_GB2312"/>
                <w:sz w:val="20"/>
              </w:rPr>
              <w:t>8±0.5mm）、平整度、抗滑值、拉伸强度、环保指标。</w:t>
            </w:r>
          </w:p>
          <w:p>
            <w:pPr>
              <w:pStyle w:val="null3"/>
              <w:ind w:firstLine="400"/>
              <w:jc w:val="left"/>
            </w:pPr>
            <w:r>
              <w:rPr>
                <w:rFonts w:ascii="仿宋_GB2312" w:hAnsi="仿宋_GB2312" w:cs="仿宋_GB2312" w:eastAsia="仿宋_GB2312"/>
                <w:sz w:val="20"/>
              </w:rPr>
              <w:t>②</w:t>
            </w:r>
            <w:r>
              <w:rPr>
                <w:rFonts w:ascii="仿宋_GB2312" w:hAnsi="仿宋_GB2312" w:cs="仿宋_GB2312" w:eastAsia="仿宋_GB2312"/>
                <w:sz w:val="20"/>
              </w:rPr>
              <w:t>验收文件：施工记录、材料检测报告、第三方检测机构出具的验收合格证明。</w:t>
            </w:r>
          </w:p>
          <w:p>
            <w:pPr>
              <w:pStyle w:val="null3"/>
              <w:ind w:firstLine="402"/>
              <w:jc w:val="left"/>
            </w:pPr>
            <w:r>
              <w:rPr>
                <w:rFonts w:ascii="仿宋_GB2312" w:hAnsi="仿宋_GB2312" w:cs="仿宋_GB2312" w:eastAsia="仿宋_GB2312"/>
                <w:sz w:val="20"/>
                <w:b/>
              </w:rPr>
              <w:t>（五）</w:t>
            </w:r>
            <w:r>
              <w:rPr>
                <w:rFonts w:ascii="仿宋_GB2312" w:hAnsi="仿宋_GB2312" w:cs="仿宋_GB2312" w:eastAsia="仿宋_GB2312"/>
                <w:sz w:val="20"/>
              </w:rPr>
              <w:t>工程施工应按国家现行标准和相应的行业技术规范执行，这些标准和技术规范应为合同签订日为止最新公布发行的标准和技术规范，包括但不限于国标</w:t>
            </w:r>
            <w:r>
              <w:rPr>
                <w:rFonts w:ascii="仿宋_GB2312" w:hAnsi="仿宋_GB2312" w:cs="仿宋_GB2312" w:eastAsia="仿宋_GB2312"/>
                <w:sz w:val="20"/>
              </w:rPr>
              <w:t>GB36246-2018《中小学合成材料面层运动场地》、GB/T14833-2020《合成材料运动场地面层》。工程质量须符合国家施工验收规范要求，达到合格标准。</w:t>
            </w:r>
          </w:p>
          <w:p>
            <w:pPr>
              <w:pStyle w:val="null3"/>
              <w:jc w:val="both"/>
            </w:pPr>
            <w:r>
              <w:rPr>
                <w:rFonts w:ascii="仿宋_GB2312" w:hAnsi="仿宋_GB2312" w:cs="仿宋_GB2312" w:eastAsia="仿宋_GB2312"/>
                <w:sz w:val="20"/>
                <w:b/>
              </w:rPr>
              <w:t>（六）</w:t>
            </w:r>
            <w:r>
              <w:rPr>
                <w:rFonts w:ascii="仿宋_GB2312" w:hAnsi="仿宋_GB2312" w:cs="仿宋_GB2312" w:eastAsia="仿宋_GB2312"/>
                <w:sz w:val="20"/>
              </w:rPr>
              <w:t>施工中，对不拆除的设施需进行有效保护，部分设施拆除、待恢复的按保护性拆除，其保护及恢复等相关费用计入施工工程。如因措施不到位，或保护不到位，造成的损失及恢复费用由施工单位承担。</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0"/>
                <w:b/>
              </w:rPr>
              <w:t>七、</w:t>
            </w:r>
            <w:r>
              <w:rPr>
                <w:rFonts w:ascii="仿宋_GB2312" w:hAnsi="仿宋_GB2312" w:cs="仿宋_GB2312" w:eastAsia="仿宋_GB2312"/>
                <w:sz w:val="20"/>
                <w:b/>
              </w:rPr>
              <w:t>付款方式：</w:t>
            </w:r>
          </w:p>
          <w:p>
            <w:pPr>
              <w:pStyle w:val="null3"/>
              <w:jc w:val="both"/>
            </w:pPr>
            <w:r>
              <w:rPr>
                <w:rFonts w:ascii="仿宋_GB2312" w:hAnsi="仿宋_GB2312" w:cs="仿宋_GB2312" w:eastAsia="仿宋_GB2312"/>
                <w:sz w:val="20"/>
              </w:rPr>
              <w:t>合同签订、</w:t>
            </w:r>
            <w:r>
              <w:rPr>
                <w:rFonts w:ascii="仿宋_GB2312" w:hAnsi="仿宋_GB2312" w:cs="仿宋_GB2312" w:eastAsia="仿宋_GB2312"/>
                <w:sz w:val="20"/>
              </w:rPr>
              <w:t>供应商</w:t>
            </w:r>
            <w:r>
              <w:rPr>
                <w:rFonts w:ascii="仿宋_GB2312" w:hAnsi="仿宋_GB2312" w:cs="仿宋_GB2312" w:eastAsia="仿宋_GB2312"/>
                <w:sz w:val="20"/>
              </w:rPr>
              <w:t>进场后，支付合同价款的</w:t>
            </w:r>
            <w:r>
              <w:rPr>
                <w:rFonts w:ascii="仿宋_GB2312" w:hAnsi="仿宋_GB2312" w:cs="仿宋_GB2312" w:eastAsia="仿宋_GB2312"/>
                <w:sz w:val="20"/>
              </w:rPr>
              <w:t>40%预付款，工程完工并经学校现场管理人员初验合格后，支付至合同价款的80%</w:t>
            </w:r>
            <w:r>
              <w:rPr>
                <w:rFonts w:ascii="仿宋_GB2312" w:hAnsi="仿宋_GB2312" w:cs="仿宋_GB2312" w:eastAsia="仿宋_GB2312"/>
                <w:sz w:val="20"/>
              </w:rPr>
              <w:t>，</w:t>
            </w:r>
            <w:r>
              <w:rPr>
                <w:rFonts w:ascii="仿宋_GB2312" w:hAnsi="仿宋_GB2312" w:cs="仿宋_GB2312" w:eastAsia="仿宋_GB2312"/>
                <w:sz w:val="20"/>
              </w:rPr>
              <w:t>工程竣工验收合格后，结算经甲方审定、资料归档后，支付剩余全部工程款。</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0"/>
                <w:b/>
              </w:rPr>
              <w:t>八、质量要求：</w:t>
            </w:r>
            <w:r>
              <w:rPr>
                <w:rFonts w:ascii="仿宋_GB2312" w:hAnsi="仿宋_GB2312" w:cs="仿宋_GB2312" w:eastAsia="仿宋_GB2312"/>
                <w:sz w:val="20"/>
              </w:rPr>
              <w:t>合格</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sz w:val="20"/>
                <w:b/>
              </w:rPr>
              <w:t>九、其他要求：</w:t>
            </w:r>
          </w:p>
          <w:p>
            <w:pPr>
              <w:pStyle w:val="null3"/>
              <w:jc w:val="left"/>
            </w:pPr>
            <w:r>
              <w:rPr>
                <w:rFonts w:ascii="仿宋_GB2312" w:hAnsi="仿宋_GB2312" w:cs="仿宋_GB2312" w:eastAsia="仿宋_GB2312"/>
                <w:sz w:val="20"/>
              </w:rPr>
              <w:t>1.施工单位的食宿由施工方自行解决，应遵守</w:t>
            </w:r>
            <w:r>
              <w:rPr>
                <w:rFonts w:ascii="仿宋_GB2312" w:hAnsi="仿宋_GB2312" w:cs="仿宋_GB2312" w:eastAsia="仿宋_GB2312"/>
                <w:sz w:val="20"/>
              </w:rPr>
              <w:t>国家和</w:t>
            </w:r>
            <w:r>
              <w:rPr>
                <w:rFonts w:ascii="仿宋_GB2312" w:hAnsi="仿宋_GB2312" w:cs="仿宋_GB2312" w:eastAsia="仿宋_GB2312"/>
                <w:sz w:val="20"/>
              </w:rPr>
              <w:t>采购人</w:t>
            </w:r>
            <w:r>
              <w:rPr>
                <w:rFonts w:ascii="仿宋_GB2312" w:hAnsi="仿宋_GB2312" w:cs="仿宋_GB2312" w:eastAsia="仿宋_GB2312"/>
                <w:sz w:val="20"/>
              </w:rPr>
              <w:t>的各项规定，及时至</w:t>
            </w:r>
            <w:r>
              <w:rPr>
                <w:rFonts w:ascii="仿宋_GB2312" w:hAnsi="仿宋_GB2312" w:cs="仿宋_GB2312" w:eastAsia="仿宋_GB2312"/>
                <w:sz w:val="20"/>
              </w:rPr>
              <w:t>采购人</w:t>
            </w:r>
            <w:r>
              <w:rPr>
                <w:rFonts w:ascii="仿宋_GB2312" w:hAnsi="仿宋_GB2312" w:cs="仿宋_GB2312" w:eastAsia="仿宋_GB2312"/>
                <w:sz w:val="20"/>
              </w:rPr>
              <w:t>保卫处办理入校相关手续，施工期间的所有安全问题及由此而发生的各种费用由施工单位全部负责和承担。</w:t>
            </w:r>
          </w:p>
          <w:p>
            <w:pPr>
              <w:pStyle w:val="null3"/>
              <w:jc w:val="left"/>
            </w:pPr>
            <w:r>
              <w:rPr>
                <w:rFonts w:ascii="仿宋_GB2312" w:hAnsi="仿宋_GB2312" w:cs="仿宋_GB2312" w:eastAsia="仿宋_GB2312"/>
                <w:sz w:val="20"/>
              </w:rPr>
              <w:t>2.严格按照原设计图纸进行施工，不得私自变更；如因</w:t>
            </w:r>
            <w:r>
              <w:rPr>
                <w:rFonts w:ascii="仿宋_GB2312" w:hAnsi="仿宋_GB2312" w:cs="仿宋_GB2312" w:eastAsia="仿宋_GB2312"/>
                <w:sz w:val="20"/>
              </w:rPr>
              <w:t>采购人</w:t>
            </w:r>
            <w:r>
              <w:rPr>
                <w:rFonts w:ascii="仿宋_GB2312" w:hAnsi="仿宋_GB2312" w:cs="仿宋_GB2312" w:eastAsia="仿宋_GB2312"/>
                <w:sz w:val="20"/>
              </w:rPr>
              <w:t>要求和现场情况需要变更签证，需严格按照</w:t>
            </w:r>
            <w:r>
              <w:rPr>
                <w:rFonts w:ascii="仿宋_GB2312" w:hAnsi="仿宋_GB2312" w:cs="仿宋_GB2312" w:eastAsia="仿宋_GB2312"/>
                <w:sz w:val="20"/>
              </w:rPr>
              <w:t>采购人</w:t>
            </w:r>
            <w:r>
              <w:rPr>
                <w:rFonts w:ascii="仿宋_GB2312" w:hAnsi="仿宋_GB2312" w:cs="仿宋_GB2312" w:eastAsia="仿宋_GB2312"/>
                <w:sz w:val="20"/>
              </w:rPr>
              <w:t>签证变更管理办法相关程序申报；</w:t>
            </w:r>
          </w:p>
          <w:p>
            <w:pPr>
              <w:pStyle w:val="null3"/>
              <w:jc w:val="left"/>
            </w:pPr>
            <w:r>
              <w:rPr>
                <w:rFonts w:ascii="仿宋_GB2312" w:hAnsi="仿宋_GB2312" w:cs="仿宋_GB2312" w:eastAsia="仿宋_GB2312"/>
                <w:sz w:val="20"/>
              </w:rPr>
              <w:t>3.施工产生的电费和水费由采购人安装电表和水表计量，水费5.80元/吨，电费0.80元/度，成交供应商每次申请支付进度款前先向采购人缴纳水电费。</w:t>
            </w:r>
          </w:p>
          <w:p>
            <w:pPr>
              <w:pStyle w:val="null3"/>
              <w:jc w:val="left"/>
            </w:pPr>
            <w:r>
              <w:rPr>
                <w:rFonts w:ascii="仿宋_GB2312" w:hAnsi="仿宋_GB2312" w:cs="仿宋_GB2312" w:eastAsia="仿宋_GB2312"/>
                <w:sz w:val="20"/>
              </w:rPr>
              <w:t>4.施工单</w:t>
            </w:r>
            <w:r>
              <w:rPr>
                <w:rFonts w:ascii="仿宋_GB2312" w:hAnsi="仿宋_GB2312" w:cs="仿宋_GB2312" w:eastAsia="仿宋_GB2312"/>
                <w:sz w:val="20"/>
              </w:rPr>
              <w:t>位必须按照</w:t>
            </w:r>
            <w:r>
              <w:rPr>
                <w:rFonts w:ascii="仿宋_GB2312" w:hAnsi="仿宋_GB2312" w:cs="仿宋_GB2312" w:eastAsia="仿宋_GB2312"/>
                <w:sz w:val="20"/>
              </w:rPr>
              <w:t>采购人</w:t>
            </w:r>
            <w:r>
              <w:rPr>
                <w:rFonts w:ascii="仿宋_GB2312" w:hAnsi="仿宋_GB2312" w:cs="仿宋_GB2312" w:eastAsia="仿宋_GB2312"/>
                <w:sz w:val="20"/>
              </w:rPr>
              <w:t>要求，严格按照工期要求保质保量完成工程；若延误工期，每日按照合同总额的千分之五处罚（若因天气等不可抗力因素导致延误，需作书面说明）。</w:t>
            </w:r>
          </w:p>
          <w:p>
            <w:pPr>
              <w:pStyle w:val="null3"/>
              <w:jc w:val="left"/>
            </w:pPr>
            <w:r>
              <w:rPr>
                <w:rFonts w:ascii="仿宋_GB2312" w:hAnsi="仿宋_GB2312" w:cs="仿宋_GB2312" w:eastAsia="仿宋_GB2312"/>
                <w:sz w:val="20"/>
              </w:rPr>
              <w:t>5.确定</w:t>
            </w:r>
            <w:r>
              <w:rPr>
                <w:rFonts w:ascii="仿宋_GB2312" w:hAnsi="仿宋_GB2312" w:cs="仿宋_GB2312" w:eastAsia="仿宋_GB2312"/>
                <w:sz w:val="20"/>
              </w:rPr>
              <w:t>成交供应商</w:t>
            </w:r>
            <w:r>
              <w:rPr>
                <w:rFonts w:ascii="仿宋_GB2312" w:hAnsi="仿宋_GB2312" w:cs="仿宋_GB2312" w:eastAsia="仿宋_GB2312"/>
                <w:sz w:val="20"/>
              </w:rPr>
              <w:t>后，由现场负责人组织工程技术交底会，同时签订合同。</w:t>
            </w:r>
            <w:r>
              <w:rPr>
                <w:rFonts w:ascii="仿宋_GB2312" w:hAnsi="仿宋_GB2312" w:cs="仿宋_GB2312" w:eastAsia="仿宋_GB2312"/>
                <w:sz w:val="20"/>
              </w:rPr>
              <w:t>成交供应商</w:t>
            </w:r>
            <w:r>
              <w:rPr>
                <w:rFonts w:ascii="仿宋_GB2312" w:hAnsi="仿宋_GB2312" w:cs="仿宋_GB2312" w:eastAsia="仿宋_GB2312"/>
                <w:sz w:val="20"/>
              </w:rPr>
              <w:t>在规定的时间内未签署合同或不遵守</w:t>
            </w:r>
            <w:r>
              <w:rPr>
                <w:rFonts w:ascii="仿宋_GB2312" w:hAnsi="仿宋_GB2312" w:cs="仿宋_GB2312" w:eastAsia="仿宋_GB2312"/>
                <w:sz w:val="20"/>
              </w:rPr>
              <w:t>招标采购</w:t>
            </w:r>
            <w:r>
              <w:rPr>
                <w:rFonts w:ascii="仿宋_GB2312" w:hAnsi="仿宋_GB2312" w:cs="仿宋_GB2312" w:eastAsia="仿宋_GB2312"/>
                <w:sz w:val="20"/>
              </w:rPr>
              <w:t>要求，采购人有权取消其</w:t>
            </w:r>
            <w:r>
              <w:rPr>
                <w:rFonts w:ascii="仿宋_GB2312" w:hAnsi="仿宋_GB2312" w:cs="仿宋_GB2312" w:eastAsia="仿宋_GB2312"/>
                <w:sz w:val="20"/>
              </w:rPr>
              <w:t>成交</w:t>
            </w:r>
            <w:r>
              <w:rPr>
                <w:rFonts w:ascii="仿宋_GB2312" w:hAnsi="仿宋_GB2312" w:cs="仿宋_GB2312" w:eastAsia="仿宋_GB2312"/>
                <w:sz w:val="20"/>
              </w:rPr>
              <w:t>资格，并将</w:t>
            </w:r>
            <w:r>
              <w:rPr>
                <w:rFonts w:ascii="仿宋_GB2312" w:hAnsi="仿宋_GB2312" w:cs="仿宋_GB2312" w:eastAsia="仿宋_GB2312"/>
                <w:sz w:val="20"/>
              </w:rPr>
              <w:t>成交</w:t>
            </w:r>
            <w:r>
              <w:rPr>
                <w:rFonts w:ascii="仿宋_GB2312" w:hAnsi="仿宋_GB2312" w:cs="仿宋_GB2312" w:eastAsia="仿宋_GB2312"/>
                <w:sz w:val="20"/>
              </w:rPr>
              <w:t>资格授予备选的</w:t>
            </w:r>
            <w:r>
              <w:rPr>
                <w:rFonts w:ascii="仿宋_GB2312" w:hAnsi="仿宋_GB2312" w:cs="仿宋_GB2312" w:eastAsia="仿宋_GB2312"/>
                <w:sz w:val="20"/>
              </w:rPr>
              <w:t>第二成交候选供应商</w:t>
            </w:r>
            <w:r>
              <w:rPr>
                <w:rFonts w:ascii="仿宋_GB2312" w:hAnsi="仿宋_GB2312" w:cs="仿宋_GB2312" w:eastAsia="仿宋_GB2312"/>
              </w:rPr>
              <w:t>或重新组织采购活动。</w:t>
            </w:r>
          </w:p>
          <w:p>
            <w:pPr>
              <w:pStyle w:val="null3"/>
              <w:jc w:val="left"/>
            </w:pPr>
            <w:r>
              <w:rPr>
                <w:rFonts w:ascii="仿宋_GB2312" w:hAnsi="仿宋_GB2312" w:cs="仿宋_GB2312" w:eastAsia="仿宋_GB2312"/>
                <w:sz w:val="20"/>
              </w:rPr>
              <w:t>6.施工前</w:t>
            </w:r>
            <w:r>
              <w:rPr>
                <w:rFonts w:ascii="仿宋_GB2312" w:hAnsi="仿宋_GB2312" w:cs="仿宋_GB2312" w:eastAsia="仿宋_GB2312"/>
                <w:sz w:val="20"/>
              </w:rPr>
              <w:t>，</w:t>
            </w:r>
            <w:r>
              <w:rPr>
                <w:rFonts w:ascii="仿宋_GB2312" w:hAnsi="仿宋_GB2312" w:cs="仿宋_GB2312" w:eastAsia="仿宋_GB2312"/>
                <w:sz w:val="20"/>
              </w:rPr>
              <w:t>成交供应商</w:t>
            </w:r>
            <w:r>
              <w:rPr>
                <w:rFonts w:ascii="仿宋_GB2312" w:hAnsi="仿宋_GB2312" w:cs="仿宋_GB2312" w:eastAsia="仿宋_GB2312"/>
                <w:sz w:val="20"/>
              </w:rPr>
              <w:t>应向</w:t>
            </w:r>
            <w:r>
              <w:rPr>
                <w:rFonts w:ascii="仿宋_GB2312" w:hAnsi="仿宋_GB2312" w:cs="仿宋_GB2312" w:eastAsia="仿宋_GB2312"/>
                <w:sz w:val="20"/>
              </w:rPr>
              <w:t>采购人</w:t>
            </w:r>
            <w:r>
              <w:rPr>
                <w:rFonts w:ascii="仿宋_GB2312" w:hAnsi="仿宋_GB2312" w:cs="仿宋_GB2312" w:eastAsia="仿宋_GB2312"/>
                <w:sz w:val="20"/>
              </w:rPr>
              <w:t>提交项目人员安排、进度计划表、安全措施、材料采购计划等（与</w:t>
            </w:r>
            <w:r>
              <w:rPr>
                <w:rFonts w:ascii="仿宋_GB2312" w:hAnsi="仿宋_GB2312" w:cs="仿宋_GB2312" w:eastAsia="仿宋_GB2312"/>
                <w:sz w:val="20"/>
              </w:rPr>
              <w:t>响应</w:t>
            </w:r>
            <w:r>
              <w:rPr>
                <w:rFonts w:ascii="仿宋_GB2312" w:hAnsi="仿宋_GB2312" w:cs="仿宋_GB2312" w:eastAsia="仿宋_GB2312"/>
                <w:sz w:val="20"/>
              </w:rPr>
              <w:t>文件一致），如有变动，应做书面说明并经</w:t>
            </w:r>
            <w:r>
              <w:rPr>
                <w:rFonts w:ascii="仿宋_GB2312" w:hAnsi="仿宋_GB2312" w:cs="仿宋_GB2312" w:eastAsia="仿宋_GB2312"/>
                <w:sz w:val="20"/>
              </w:rPr>
              <w:t>采购人</w:t>
            </w:r>
            <w:r>
              <w:rPr>
                <w:rFonts w:ascii="仿宋_GB2312" w:hAnsi="仿宋_GB2312" w:cs="仿宋_GB2312" w:eastAsia="仿宋_GB2312"/>
                <w:sz w:val="20"/>
              </w:rPr>
              <w:t>认可。</w:t>
            </w:r>
          </w:p>
          <w:p>
            <w:pPr>
              <w:pStyle w:val="null3"/>
              <w:jc w:val="left"/>
            </w:pPr>
            <w:r>
              <w:rPr>
                <w:rFonts w:ascii="仿宋_GB2312" w:hAnsi="仿宋_GB2312" w:cs="仿宋_GB2312" w:eastAsia="仿宋_GB2312"/>
                <w:sz w:val="20"/>
              </w:rPr>
              <w:t>7.施工过程中，施工单位必须严格按照</w:t>
            </w:r>
            <w:r>
              <w:rPr>
                <w:rFonts w:ascii="仿宋_GB2312" w:hAnsi="仿宋_GB2312" w:cs="仿宋_GB2312" w:eastAsia="仿宋_GB2312"/>
                <w:sz w:val="20"/>
              </w:rPr>
              <w:t>磋商</w:t>
            </w:r>
            <w:r>
              <w:rPr>
                <w:rFonts w:ascii="仿宋_GB2312" w:hAnsi="仿宋_GB2312" w:cs="仿宋_GB2312" w:eastAsia="仿宋_GB2312"/>
                <w:sz w:val="20"/>
              </w:rPr>
              <w:t>文件技术要求施工，服从现场负责人安排，尤其对隐蔽工程、主材进场等环节做好记录、验收工作，确保施工质量符合工程施工相关规范。如发现有偷工减料、使用不合格的建筑材料等行为的，应立即停工整改，每次按照合同额的百分之一进行罚款，并责令限期整改，承担由此造成的一切损失。</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成交供应商</w:t>
            </w:r>
            <w:r>
              <w:rPr>
                <w:rFonts w:ascii="仿宋_GB2312" w:hAnsi="仿宋_GB2312" w:cs="仿宋_GB2312" w:eastAsia="仿宋_GB2312"/>
                <w:sz w:val="20"/>
              </w:rPr>
              <w:t>须严格落实安全协议书相关条款和提交的安全措施，如设置施工安全标志、施工人员佩戴安全防护用品、定期组织安全教育培训等。</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.施工前</w:t>
            </w:r>
            <w:r>
              <w:rPr>
                <w:rFonts w:ascii="仿宋_GB2312" w:hAnsi="仿宋_GB2312" w:cs="仿宋_GB2312" w:eastAsia="仿宋_GB2312"/>
                <w:sz w:val="20"/>
              </w:rPr>
              <w:t>施工单位</w:t>
            </w:r>
            <w:r>
              <w:rPr>
                <w:rFonts w:ascii="仿宋_GB2312" w:hAnsi="仿宋_GB2312" w:cs="仿宋_GB2312" w:eastAsia="仿宋_GB2312"/>
                <w:sz w:val="20"/>
              </w:rPr>
              <w:t>要在门口张贴施工告示，明确工期、负责人及联系方式等，工程材料应集中堆放；施工时严格采取措施控制好扬尘、噪音；施工中产生的建筑垃圾应装袋后及时清理。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施工应按国家现行标准和相应的行业技术规范执行，这些标准和技术规范应为合同签订日为止最新公布发行的标准和技术规范，包括但不限于国标GB36246-2018《中小学合成材料面层运动场地》、GB/T14833-2020《合成材料运动场地面层》。工程质量须符合国家施工验收规范要求，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详见磋商文件及合同文本。</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1、本项目需要提供样品，具体要求详见第六章第6.4.2条第（三）款“综合评分明细表”，未提供者样品不得分。评审结束后封存样品，作为项目验收依据。 2、①为顺利推进政府采购电子化交易平台应用工作，供应商需要在线提交所有通过电子化交易平台实施的政府采购项目的响应文件，同时，线下提交纸质响应文件正本壹份、副本贰份。②纸质响应文件正、副本分别胶装，标明供应商名称密封递交，递交截止时间同在线递交电子响应文件截止时间一致，递交地址：陕西省西安市曲江新区雁翔路3269号旺座曲江D座30层3001号（纸质响应文件可邮寄，邮件寄出时间应在递交电子响应文件截止时间之前，邮寄地址：陕西省西安市曲江新区雁翔路3269号旺座曲江D座30层，联系人：王工，联系电话：15091632950）。③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经审计的2023年或2024年度的财务报告（成立时间至递交响应文件截止时间不足一年的可提供成立后任意时段的资产负债表）或递交响应文件截止时间前六个月内银行出具的资信证明（附开户许可证或开户备案证明或基本账户信息）；其他组织和自然人提供银行出具的资信证明或财务报表。根据《财政部关于注册会计师行业统一监管平台上线运行的通知》财办〔2022〕32号文件要求，2023年或2024年的审计报告须有二维码，若审计报告未赋码视为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2023年或2024年度的财务报告（成立时间至递交响应文件截止时间不足一年的可提供成立后任意时段的资产负债表）或递交响应文件截止时间前六个月内银行出具的资信证明（附开户许可证或开户备案证明或基本账户信息）；其他组织和自然人提供银行出具的资信证明或财务报表。根据《财政部关于注册会计师行业统一监管平台上线运行的通知》财办〔2022〕32号文件要求，2023年或2024年的审计报告须有二维码，若审计报告未赋码视为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响应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供应商企业资质</w:t>
            </w:r>
          </w:p>
        </w:tc>
        <w:tc>
          <w:tcPr>
            <w:tcW w:type="dxa" w:w="3322"/>
          </w:tcPr>
          <w:p>
            <w:pPr>
              <w:pStyle w:val="null3"/>
            </w:pPr>
            <w:r>
              <w:rPr>
                <w:rFonts w:ascii="仿宋_GB2312" w:hAnsi="仿宋_GB2312" w:cs="仿宋_GB2312" w:eastAsia="仿宋_GB2312"/>
              </w:rPr>
              <w:t>具备建设行政主管部门颁发的建筑工程施工总承包三级以上（含三级）资质，并具有有效的安全生产许可证。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拟派项目负责人资格和专业要求</w:t>
            </w:r>
          </w:p>
        </w:tc>
        <w:tc>
          <w:tcPr>
            <w:tcW w:type="dxa" w:w="3322"/>
          </w:tcPr>
          <w:p>
            <w:pPr>
              <w:pStyle w:val="null3"/>
            </w:pPr>
            <w:r>
              <w:rPr>
                <w:rFonts w:ascii="仿宋_GB2312" w:hAnsi="仿宋_GB2312" w:cs="仿宋_GB2312" w:eastAsia="仿宋_GB2312"/>
              </w:rPr>
              <w:t>具备建筑工程专业二级以上（含二级）注册建造师资格及合格的安全生产考核合格证（建安B证），须在本单位注册，且无在建项目（提供承诺）。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外省进陕企业要求</w:t>
            </w:r>
          </w:p>
        </w:tc>
        <w:tc>
          <w:tcPr>
            <w:tcW w:type="dxa" w:w="3322"/>
          </w:tcPr>
          <w:p>
            <w:pPr>
              <w:pStyle w:val="null3"/>
            </w:pPr>
            <w:r>
              <w:rPr>
                <w:rFonts w:ascii="仿宋_GB2312" w:hAnsi="仿宋_GB2312" w:cs="仿宋_GB2312" w:eastAsia="仿宋_GB2312"/>
              </w:rPr>
              <w:t>供应商为外省进陕企业的，须提供陕西省住房和城乡建设厅官网企业库外省进陕企业信息首页截图。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供应商建设诚信平台信誉</w:t>
            </w:r>
          </w:p>
        </w:tc>
        <w:tc>
          <w:tcPr>
            <w:tcW w:type="dxa" w:w="3322"/>
          </w:tcPr>
          <w:p>
            <w:pPr>
              <w:pStyle w:val="null3"/>
            </w:pPr>
            <w:r>
              <w:rPr>
                <w:rFonts w:ascii="仿宋_GB2312" w:hAnsi="仿宋_GB2312" w:cs="仿宋_GB2312" w:eastAsia="仿宋_GB2312"/>
              </w:rPr>
              <w:t>供应商不得在项目所在地各级建设诚信平台被列为投标受限制的行为人（提供承诺）。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专门面向中小企业采购要求</w:t>
            </w:r>
          </w:p>
        </w:tc>
        <w:tc>
          <w:tcPr>
            <w:tcW w:type="dxa" w:w="3322"/>
          </w:tcPr>
          <w:p>
            <w:pPr>
              <w:pStyle w:val="null3"/>
            </w:pPr>
            <w:r>
              <w:rPr>
                <w:rFonts w:ascii="仿宋_GB2312" w:hAnsi="仿宋_GB2312" w:cs="仿宋_GB2312" w:eastAsia="仿宋_GB2312"/>
              </w:rPr>
              <w:t>本项目专门面向中小企业采购，承建单位（施工单位）应为中型企业或小型、微型企业或监狱企业或残疾人福利性单位。承建单位（施工单位）为中型、小型、微型企业的，供应商提供《中小企业声明函》；承建单位（施工单位）为监狱企业的，供应商应提供《监狱企业证明文件》；承建单位（施工单位）为残疾人福利性单位的，供应商应提供《残疾人福利性单位声明函》。</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的报价明显低于其他通过符合性审查供应商的报价，有可能影响工程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供应商名称与营业执照一致（合格）供应商名称与营业执照不一致（不合格）</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响应文件按采购文件要求的数量、计量单位、报价货币及签字盖章</w:t>
            </w:r>
          </w:p>
        </w:tc>
        <w:tc>
          <w:tcPr>
            <w:tcW w:type="dxa" w:w="3322"/>
          </w:tcPr>
          <w:p>
            <w:pPr>
              <w:pStyle w:val="null3"/>
            </w:pPr>
            <w:r>
              <w:rPr>
                <w:rFonts w:ascii="仿宋_GB2312" w:hAnsi="仿宋_GB2312" w:cs="仿宋_GB2312" w:eastAsia="仿宋_GB2312"/>
              </w:rPr>
              <w:t>响应文件按采购文件要求的计量单位、报价货币及签字盖章（合格）响应文件未按采购文件要求的计量单位、报价货币及签字盖章（不合格）</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响应文件的有效期达到采购文件要求</w:t>
            </w:r>
          </w:p>
        </w:tc>
        <w:tc>
          <w:tcPr>
            <w:tcW w:type="dxa" w:w="3322"/>
          </w:tcPr>
          <w:p>
            <w:pPr>
              <w:pStyle w:val="null3"/>
            </w:pPr>
            <w:r>
              <w:rPr>
                <w:rFonts w:ascii="仿宋_GB2312" w:hAnsi="仿宋_GB2312" w:cs="仿宋_GB2312" w:eastAsia="仿宋_GB2312"/>
              </w:rPr>
              <w:t>有效期达到采购文件要求（合格）有效期未达到采购文件要求（不合格）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响应内容符合实质性要求</w:t>
            </w:r>
          </w:p>
        </w:tc>
        <w:tc>
          <w:tcPr>
            <w:tcW w:type="dxa" w:w="3322"/>
          </w:tcPr>
          <w:p>
            <w:pPr>
              <w:pStyle w:val="null3"/>
            </w:pPr>
            <w:r>
              <w:rPr>
                <w:rFonts w:ascii="仿宋_GB2312" w:hAnsi="仿宋_GB2312" w:cs="仿宋_GB2312" w:eastAsia="仿宋_GB2312"/>
              </w:rPr>
              <w:t>满足第三章中的商务要求（合格），任意一条不满足（不合格）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符合法律、法规和采购文件中规定的其他实质性要求（合格）不符合法律、法规和采购文件中规定的其他实质性要求（不合格）</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1.完整性（3分）：方案需涵盖施工部署、进度计划、技术难点、应对措施等关键内容得3分，每缺一项扣1分，每项有缺陷扣0.5分，扣完为止。 2.可实施性（3分）：需附施工流程图或工艺标准文件，工艺流程需合理、清晰得3分，无图示扣2分，工艺流程有缺陷扣2分。 3.针对性（2分）：需包含项目所在地气候、地质条件等专项应对措施，紧扣项目实际情况得2分，内容有缺陷扣1分。 注：本项所指“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1.质量目标明确性(2分)：目标明确且措施可实施得2分；目标较明确、措施基本可行得1分；模糊或有缺陷0分。 2.质量管理体系完善度(2分)：体系需包含质量责任、人员培训、资源配置、质量检查、应急处理等得2分，每缺一项扣0.5分，每项有缺陷扣0.25分，扣完为止。 3.质量管理措施科学性(2分)：需提供过往项目质量验收报告或第三方检测证明，措施科学合理、有效性强得2分，措施内容有缺陷得1分，无证明或未提供得0分。 注：本项所指“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1.安全目标明确性（1分）：明确安全事故发生率控制目标得1分，无目标得0分。 2.安全体系健全度（1分）：体系包含安全管理制度、人员培训、应急演练、特种作业人员持证上岗管理得1分，每缺一项扣0.5分，每项有缺陷扣0.25分，扣完为止。 3.应急预案可行性（2分）：涵盖常见安全事故场景且措施合理得2分；有部分场景且基本合理得1分；场景少或有缺陷得0分。 4.文明施工措施具体性（2分）：措施包含场地整洁、噪音控制、扬尘治理（需附扬尘监测设备布置图）得2分，每缺一项扣0.5分，无图示扣0.5分，每项有缺陷扣0.25分，扣完为止。 注：本项所指“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1.总工期满足要求（2分）：符合磋商文件工期要求得2分，超出磋商文件工期要求按无效响应处理。 2.节点工期分析合理性（2分）：对关键节点工期有详细分析且合理得2分；分析简单、较合理得1分；无分析得0分。 3.延误工期补救措施有效性（2分）：依据类似工程经验或专业评估，措施有效得2分；措施内容有缺陷得1分；未提供或有缺陷得0分。 注：本项所指“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1.施工机械配备合理性(2分)：①机械安排合理，保证工期：②配置完备，符合施工要求，得2分。每缺一项扣1分，每项有缺陷扣0.5分，扣完为止。 2.材料投入计划(4分)：①主要材料信息(名称、规格、数量等)详细准确，无遗漏；②与工程进度匹配，进场时间合理，得4分。每缺一项扣2分，每项有缺陷扣1分，扣完为止。 注：本项所指“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w:t>
            </w:r>
          </w:p>
        </w:tc>
        <w:tc>
          <w:tcPr>
            <w:tcW w:type="dxa" w:w="2492"/>
          </w:tcPr>
          <w:p>
            <w:pPr>
              <w:pStyle w:val="null3"/>
            </w:pPr>
            <w:r>
              <w:rPr>
                <w:rFonts w:ascii="仿宋_GB2312" w:hAnsi="仿宋_GB2312" w:cs="仿宋_GB2312" w:eastAsia="仿宋_GB2312"/>
              </w:rPr>
              <w:t>1.项目组织管理机构(2分)：机构设置合理、专业队伍齐全得2分；较合理、较齐全得1分；未提供得0分。 2.项目经理(2分)：项目经理具备同类项目经验(附合同中项目经理署名页)得1分，项目经理提供响应文件递交截止时间前6个月内任意一个月在本单位缴纳的养老保险证明得1分。 3.项目人员配备(2分)：需配备技术负责人、专职安全员(需C证)、质检员(需质量员证书)等岗位，人员齐全且资质符合要求得2分；内容有缺陷、基本满足项目需求得1分；未提供或资质不全得0分。(需提供岗位证书、响应文件递交截止时间前6个月内任意一个月的养老保险等) 注：本项所指“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保修期内服务措施及保修承诺</w:t>
            </w:r>
          </w:p>
        </w:tc>
        <w:tc>
          <w:tcPr>
            <w:tcW w:type="dxa" w:w="2492"/>
          </w:tcPr>
          <w:p>
            <w:pPr>
              <w:pStyle w:val="null3"/>
            </w:pPr>
            <w:r>
              <w:rPr>
                <w:rFonts w:ascii="仿宋_GB2312" w:hAnsi="仿宋_GB2312" w:cs="仿宋_GB2312" w:eastAsia="仿宋_GB2312"/>
              </w:rPr>
              <w:t>1.保修期内服务措施(2分)：提供保修服务工作方案、回访计划及质量保修措施、保修团队人员名单及联系方式得2分，每缺一项扣1分，每项有缺陷扣0.5分，扣完为止。 2.保修承诺(2分)：质保期每延长半年得0.5分，最高2分；未延长此项不得分。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主材质量性能</w:t>
            </w:r>
          </w:p>
        </w:tc>
        <w:tc>
          <w:tcPr>
            <w:tcW w:type="dxa" w:w="2492"/>
          </w:tcPr>
          <w:p>
            <w:pPr>
              <w:pStyle w:val="null3"/>
            </w:pPr>
            <w:r>
              <w:rPr>
                <w:rFonts w:ascii="仿宋_GB2312" w:hAnsi="仿宋_GB2312" w:cs="仿宋_GB2312" w:eastAsia="仿宋_GB2312"/>
              </w:rPr>
              <w:t>供应商提供的“主要施工材料清单”中，技术参数完全满足第三章第3.1条第六款第（一）项“主材规格标准与参数要求”没有负偏离的计13分，每有一项负偏离扣1分，扣完为止。 注：提供有效的佐证材料（第三方检测报告、产品彩页、官网截图等）以证明技术参数的响应性，否则视为负偏离。</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主要施工材料清单.docx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供应商须提供拟投产品硅PU样品1块，尺寸≥：10*10CM，①样品无明显色差、纹理均匀、无分层得2分；以上评审内容有缺陷得1分。 ②样品质量优良，完全满足采购需求得2分；以上评审内容有缺陷得1分。 ③样品无裂纹、变形、孔洞、缺角等缺陷，完全满足采购需求得2分；以上评审内容有缺陷得1分。 注：本项所指“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提供供应商2022年7月1日至今类似项目业绩，每提供一项有效业绩(合同需含项目金额、工期、质量标准、签署时间等关键页)得1分，满分4分。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详见附件：主要施工材料清单.docx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