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D4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23562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供应商应根据竞争性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/>
          <w:b w:val="0"/>
          <w:bCs w:val="0"/>
          <w:sz w:val="28"/>
          <w:szCs w:val="28"/>
        </w:rPr>
        <w:t>文件和对现场的勘察情况，采用文字并结合图表形式，编制本工程的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技术方案，包括但不限于以下内容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</w:p>
    <w:p w14:paraId="656DD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施工方</w:t>
      </w:r>
      <w:r>
        <w:rPr>
          <w:rFonts w:hint="eastAsia"/>
          <w:b w:val="0"/>
          <w:bCs w:val="0"/>
          <w:sz w:val="28"/>
          <w:szCs w:val="28"/>
          <w:lang w:eastAsia="zh-CN"/>
        </w:rPr>
        <w:t>案；</w:t>
      </w:r>
    </w:p>
    <w:p w14:paraId="0FDDA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确保工程质量的技术组织措施；</w:t>
      </w:r>
    </w:p>
    <w:p w14:paraId="61A63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确保安全文明施工的技术组织措施；</w:t>
      </w:r>
    </w:p>
    <w:p w14:paraId="4769B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确保工期的技术组织措施；</w:t>
      </w:r>
    </w:p>
    <w:p w14:paraId="184BA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施工机械配备和材料投入计划；</w:t>
      </w:r>
    </w:p>
    <w:p w14:paraId="7051A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项目组织管理机构及人员配备情况；</w:t>
      </w:r>
    </w:p>
    <w:p w14:paraId="2C0C4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保修期内服务措施及保修承诺；</w:t>
      </w:r>
    </w:p>
    <w:p w14:paraId="68623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主材质量性能。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ZTU4YmNjYjEwM2QyYjU4MjUwMzNkMjFmMGJiYTUifQ=="/>
  </w:docVars>
  <w:rsids>
    <w:rsidRoot w:val="00000000"/>
    <w:rsid w:val="12642D8A"/>
    <w:rsid w:val="4B10432F"/>
    <w:rsid w:val="5D43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158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王雷</cp:lastModifiedBy>
  <dcterms:modified xsi:type="dcterms:W3CDTF">2025-07-09T08:30:22Z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80D5721BB7164696A6823461CAC2C9DB_13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