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版本号：RTZB-2025-204720250709001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陕西省传染病监测预警与应急指挥信息平台（网络安全等级保护测试、密码应用安全性评估、第三方软件测试）采购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RTZB-2025-2047</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陕西省传染病监测预警与应急指挥信息平台（网络安全等级保护测试、密码应用安全性评估、第三方软件测试）采购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RTZB-2025-2047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陕西省传染病监测预警与应急指挥信息平台（网络安全等级保护测试、密码应用安全性评估、第三方软件测试）采购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陕西省传染病监测预警与应急指挥信息平台（网络安全等级保护测试、密码应用安全性评估、第三方软件测试）采购，具体要求见第三章采购需求。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声明：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p>
      <w:pPr>
        <w:pStyle w:val="null3"/>
      </w:pPr>
      <w:r>
        <w:rPr>
          <w:rFonts w:ascii="仿宋_GB2312" w:hAnsi="仿宋_GB2312" w:cs="仿宋_GB2312" w:eastAsia="仿宋_GB2312"/>
        </w:rPr>
        <w:t>2、供应商代表授权：提供法定代表人证明书和代表人授权委托书</w:t>
      </w:r>
    </w:p>
    <w:p>
      <w:pPr>
        <w:pStyle w:val="null3"/>
      </w:pPr>
      <w:r>
        <w:rPr>
          <w:rFonts w:ascii="仿宋_GB2312" w:hAnsi="仿宋_GB2312" w:cs="仿宋_GB2312" w:eastAsia="仿宋_GB2312"/>
        </w:rPr>
        <w:t>3、联合体形式：不接受联合体投标，提供非联合体书面声明。</w:t>
      </w:r>
    </w:p>
    <w:p>
      <w:pPr>
        <w:pStyle w:val="null3"/>
      </w:pPr>
      <w:r>
        <w:rPr>
          <w:rFonts w:ascii="仿宋_GB2312" w:hAnsi="仿宋_GB2312" w:cs="仿宋_GB2312" w:eastAsia="仿宋_GB2312"/>
        </w:rPr>
        <w:t>4、证书：供应商具有公安部第三研究所颁发的《网络安全等级测评与检测评估机构服务认证证书》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声明：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p>
      <w:pPr>
        <w:pStyle w:val="null3"/>
      </w:pPr>
      <w:r>
        <w:rPr>
          <w:rFonts w:ascii="仿宋_GB2312" w:hAnsi="仿宋_GB2312" w:cs="仿宋_GB2312" w:eastAsia="仿宋_GB2312"/>
        </w:rPr>
        <w:t>2、供应商代表授权：提供法定代表人证明书和代表人授权委托书</w:t>
      </w:r>
    </w:p>
    <w:p>
      <w:pPr>
        <w:pStyle w:val="null3"/>
      </w:pPr>
      <w:r>
        <w:rPr>
          <w:rFonts w:ascii="仿宋_GB2312" w:hAnsi="仿宋_GB2312" w:cs="仿宋_GB2312" w:eastAsia="仿宋_GB2312"/>
        </w:rPr>
        <w:t>3、联合体形式：不接受联合体投标，提供非联合体书面声明。</w:t>
      </w:r>
    </w:p>
    <w:p>
      <w:pPr>
        <w:pStyle w:val="null3"/>
      </w:pPr>
      <w:r>
        <w:rPr>
          <w:rFonts w:ascii="仿宋_GB2312" w:hAnsi="仿宋_GB2312" w:cs="仿宋_GB2312" w:eastAsia="仿宋_GB2312"/>
        </w:rPr>
        <w:t>4、资质：在国家密码管理局第49号公告《商用密码检测机构(商用密码应用安全性评估业务)目录》内，提供截图。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声明：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p>
      <w:pPr>
        <w:pStyle w:val="null3"/>
      </w:pPr>
      <w:r>
        <w:rPr>
          <w:rFonts w:ascii="仿宋_GB2312" w:hAnsi="仿宋_GB2312" w:cs="仿宋_GB2312" w:eastAsia="仿宋_GB2312"/>
        </w:rPr>
        <w:t>2、供应商代表授权：提供法定代表人证明书和代表人授权委托书</w:t>
      </w:r>
    </w:p>
    <w:p>
      <w:pPr>
        <w:pStyle w:val="null3"/>
      </w:pPr>
      <w:r>
        <w:rPr>
          <w:rFonts w:ascii="仿宋_GB2312" w:hAnsi="仿宋_GB2312" w:cs="仿宋_GB2312" w:eastAsia="仿宋_GB2312"/>
        </w:rPr>
        <w:t>3、联合体形式：不接受联合体投标，提供非联合体书面声明。</w:t>
      </w:r>
    </w:p>
    <w:p>
      <w:pPr>
        <w:pStyle w:val="null3"/>
      </w:pPr>
      <w:r>
        <w:rPr>
          <w:rFonts w:ascii="仿宋_GB2312" w:hAnsi="仿宋_GB2312" w:cs="仿宋_GB2312" w:eastAsia="仿宋_GB2312"/>
        </w:rPr>
        <w:t>4、资质：具备市场监管部门颁发的《检验检测机构资质认定证书》（许可使用标志CMA），并且检验检测能力范围（大类）包含软件和信通服务</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陕西省疾病预防控制中心经办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029-82475996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以成交价为基础按服务类标准计算收取，投标人在下载中标通知书时一次性缴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喻工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地址：西安市科技路30号合力紫郡A座22层2204室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color w:val="0000FF"/>
        </w:rPr>
        <w:t>为健全我省疾病预防控制网络，增强传染病疫情和突发公共卫生事件早期监测预警能力，提高突发公共卫生事件应急处置水平。根据国家疾控局统一安排，建设陕西省传染病监测预警与应急指挥信息平台。本次项目是对陕西省传染病监测预警与应急指挥信息平台进行网络安全等级保护测试、密码应用安全性评估、第三方软件测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陕西省传染病监测预警与应急指挥信息平台网络安全等级保护测试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陕西省传染病监测预警与应急指挥信息平台密码应用安全性评估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陕西省传染病监测预警与应急指挥信息平台第三方软件测试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标的名称：陕西省传染病监测预警与应急指挥信息平台网络安全等级保护测试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采购内容</w:t>
            </w:r>
          </w:p>
          <w:p>
            <w:pPr>
              <w:pStyle w:val="null3"/>
              <w:jc w:val="both"/>
            </w:pPr>
            <w:r>
              <w:rPr>
                <w:rFonts w:ascii="仿宋_GB2312" w:hAnsi="仿宋_GB2312" w:cs="仿宋_GB2312" w:eastAsia="仿宋_GB2312"/>
                <w:sz w:val="20"/>
              </w:rPr>
              <w:t>信息安全等级保护工作共分为五步，分别是：</w:t>
            </w:r>
            <w:r>
              <w:rPr>
                <w:rFonts w:ascii="仿宋_GB2312" w:hAnsi="仿宋_GB2312" w:cs="仿宋_GB2312" w:eastAsia="仿宋_GB2312"/>
                <w:sz w:val="20"/>
              </w:rPr>
              <w:t>“ 定级、备案、建设整改、等级测评、监督检查” 。该项目主要完成系统的安全测评工作，依据安全技术和安全管理两个方面的测评要求，分别从安全物理环境、安全通信网络、安全区域边界、安全计算环境、安全管理中心、安全管理制度、安全管理机构、安全管理人员、安全建设管理、安全运维管理十个安全类别进行安全测评。本项目涉及等级保护对象主要有以下系统：</w:t>
            </w:r>
          </w:p>
          <w:tbl>
            <w:tblPr>
              <w:tblInd w:type="dxa" w:w="120"/>
              <w:tblBorders>
                <w:top w:val="none" w:color="000000" w:sz="4"/>
                <w:left w:val="none" w:color="000000" w:sz="4"/>
                <w:bottom w:val="none" w:color="000000" w:sz="4"/>
                <w:right w:val="none" w:color="000000" w:sz="4"/>
                <w:insideH w:val="none"/>
                <w:insideV w:val="none"/>
              </w:tblBorders>
            </w:tblPr>
            <w:tblGrid>
              <w:gridCol w:w="170"/>
              <w:gridCol w:w="365"/>
              <w:gridCol w:w="315"/>
              <w:gridCol w:w="1704"/>
            </w:tblGrid>
            <w:tr>
              <w:tc>
                <w:tcPr>
                  <w:tcW w:type="dxa" w:w="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3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系统名称</w:t>
                  </w:r>
                </w:p>
              </w:tc>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等级</w:t>
                  </w:r>
                </w:p>
              </w:tc>
              <w:tc>
                <w:tcPr>
                  <w:tcW w:type="dxa" w:w="17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备注</w:t>
                  </w:r>
                </w:p>
              </w:tc>
            </w:tr>
            <w:tr>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传染病</w:t>
                  </w:r>
                </w:p>
                <w:p>
                  <w:pPr>
                    <w:pStyle w:val="null3"/>
                    <w:jc w:val="center"/>
                  </w:pPr>
                  <w:r>
                    <w:rPr>
                      <w:rFonts w:ascii="仿宋_GB2312" w:hAnsi="仿宋_GB2312" w:cs="仿宋_GB2312" w:eastAsia="仿宋_GB2312"/>
                      <w:sz w:val="20"/>
                    </w:rPr>
                    <w:t>多渠道</w:t>
                  </w:r>
                </w:p>
                <w:p>
                  <w:pPr>
                    <w:pStyle w:val="null3"/>
                    <w:jc w:val="center"/>
                  </w:pPr>
                  <w:r>
                    <w:rPr>
                      <w:rFonts w:ascii="仿宋_GB2312" w:hAnsi="仿宋_GB2312" w:cs="仿宋_GB2312" w:eastAsia="仿宋_GB2312"/>
                      <w:sz w:val="20"/>
                    </w:rPr>
                    <w:t>监测</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三级</w:t>
                  </w:r>
                </w:p>
              </w:tc>
              <w:tc>
                <w:tcPr>
                  <w:tcW w:type="dxa" w:w="17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包含传染病疫情监测数据自动采集子系统、重大和重点传染病管理信息子系统、专病监测信息子系统、症候群监测信息子系统、传染病病原监测信息子系统、大数据协同监测信息子系统、舆论情况监测信息子系统。</w:t>
                  </w:r>
                </w:p>
              </w:tc>
            </w:tr>
            <w:tr>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智慧化</w:t>
                  </w:r>
                </w:p>
                <w:p>
                  <w:pPr>
                    <w:pStyle w:val="null3"/>
                    <w:jc w:val="center"/>
                  </w:pPr>
                  <w:r>
                    <w:rPr>
                      <w:rFonts w:ascii="仿宋_GB2312" w:hAnsi="仿宋_GB2312" w:cs="仿宋_GB2312" w:eastAsia="仿宋_GB2312"/>
                      <w:sz w:val="20"/>
                    </w:rPr>
                    <w:t>预警</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三级</w:t>
                  </w:r>
                </w:p>
              </w:tc>
              <w:tc>
                <w:tcPr>
                  <w:tcW w:type="dxa" w:w="17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智能化预警系统</w:t>
                  </w:r>
                </w:p>
              </w:tc>
            </w:tr>
            <w:tr>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应急作业</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三级</w:t>
                  </w:r>
                </w:p>
              </w:tc>
              <w:tc>
                <w:tcPr>
                  <w:tcW w:type="dxa" w:w="17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应急值守管理信息子系统、智能流调信息子系统、跨地区信息协查信息子系统、隔离转运管理信息子系统、疾控监督员子系统</w:t>
                  </w:r>
                </w:p>
              </w:tc>
            </w:tr>
            <w:tr>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应急指挥</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三级</w:t>
                  </w:r>
                </w:p>
              </w:tc>
              <w:tc>
                <w:tcPr>
                  <w:tcW w:type="dxa" w:w="17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应急值守管理信息子系统、智能流调信息子系统、跨地区信息协查信息子系统、隔离转运管理信息子系统、疾控监督员子系统</w:t>
                  </w:r>
                </w:p>
              </w:tc>
            </w:tr>
            <w:tr>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免疫规划信息系统</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三级</w:t>
                  </w:r>
                </w:p>
              </w:tc>
              <w:tc>
                <w:tcPr>
                  <w:tcW w:type="dxa" w:w="17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常规接种系统、产科接种系统、免疫规划管理系统、疫苗追溯系统、冷链管理系统</w:t>
                  </w:r>
                </w:p>
              </w:tc>
            </w:tr>
            <w:tr>
              <w:tc>
                <w:tcPr>
                  <w:tcW w:type="dxa" w:w="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3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综合管理系统</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三级</w:t>
                  </w:r>
                </w:p>
              </w:tc>
              <w:tc>
                <w:tcPr>
                  <w:tcW w:type="dxa" w:w="17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项目管理子系统、会议室管理子系统、培训管理子系统、数据填报子系统、监测报告中心、一键直查子系统、绩效评估子系统、统一工作门户（</w:t>
                  </w:r>
                  <w:r>
                    <w:rPr>
                      <w:rFonts w:ascii="仿宋_GB2312" w:hAnsi="仿宋_GB2312" w:cs="仿宋_GB2312" w:eastAsia="仿宋_GB2312"/>
                      <w:sz w:val="20"/>
                    </w:rPr>
                    <w:t>pc端、移动端）</w:t>
                  </w:r>
                </w:p>
              </w:tc>
            </w:tr>
          </w:tbl>
          <w:p>
            <w:pPr>
              <w:pStyle w:val="null3"/>
              <w:jc w:val="both"/>
            </w:pPr>
            <w:r>
              <w:rPr>
                <w:rFonts w:ascii="仿宋_GB2312" w:hAnsi="仿宋_GB2312" w:cs="仿宋_GB2312" w:eastAsia="仿宋_GB2312"/>
                <w:sz w:val="20"/>
                <w:b/>
              </w:rPr>
              <w:t>1.定级</w:t>
            </w:r>
          </w:p>
          <w:p>
            <w:pPr>
              <w:pStyle w:val="null3"/>
              <w:jc w:val="both"/>
            </w:pPr>
            <w:r>
              <w:rPr>
                <w:rFonts w:ascii="仿宋_GB2312" w:hAnsi="仿宋_GB2312" w:cs="仿宋_GB2312" w:eastAsia="仿宋_GB2312"/>
                <w:sz w:val="20"/>
              </w:rPr>
              <w:t>依据《信息安全技术网络安全等级保护定级指南》（</w:t>
            </w:r>
            <w:r>
              <w:rPr>
                <w:rFonts w:ascii="仿宋_GB2312" w:hAnsi="仿宋_GB2312" w:cs="仿宋_GB2312" w:eastAsia="仿宋_GB2312"/>
                <w:sz w:val="20"/>
              </w:rPr>
              <w:t>GB/T 22240-2020）确定系统等级。根据等级保护2.0最新要 求，安全保护等级初步确定为二级及以上的等级保护对象，其网络运营者依据本标准组织进行专家评审、主管部门核准和备案审核，最终确定其安全保护等级。注：安全保护等级初步确定为第一级的等级保护对象，其网络运营者可依据本标准自行确定最终安全保护等级，可不进行专家评审、主管部门核准和备案审核。</w:t>
            </w:r>
          </w:p>
          <w:p>
            <w:pPr>
              <w:pStyle w:val="null3"/>
              <w:jc w:val="both"/>
            </w:pPr>
            <w:r>
              <w:rPr>
                <w:rFonts w:ascii="仿宋_GB2312" w:hAnsi="仿宋_GB2312" w:cs="仿宋_GB2312" w:eastAsia="仿宋_GB2312"/>
                <w:sz w:val="20"/>
                <w:b/>
              </w:rPr>
              <w:t>2.备案</w:t>
            </w:r>
          </w:p>
          <w:p>
            <w:pPr>
              <w:pStyle w:val="null3"/>
              <w:jc w:val="both"/>
            </w:pPr>
            <w:r>
              <w:rPr>
                <w:rFonts w:ascii="仿宋_GB2312" w:hAnsi="仿宋_GB2312" w:cs="仿宋_GB2312" w:eastAsia="仿宋_GB2312"/>
                <w:sz w:val="20"/>
              </w:rPr>
              <w:t>依据《信息安全等级保护管理办法》</w:t>
            </w:r>
            <w:r>
              <w:rPr>
                <w:rFonts w:ascii="仿宋_GB2312" w:hAnsi="仿宋_GB2312" w:cs="仿宋_GB2312" w:eastAsia="仿宋_GB2312"/>
                <w:sz w:val="20"/>
              </w:rPr>
              <w:t>(公通字[2007]43号）和《信息安全等级保护备案实施细则》（公信安[2007]136 0号），信息系统的安全保护等级确定后，二级以上（含二级）信息系统的运营使用单位或主管部门应到属地公安机关办理  备案手续。按照国家政策要求，跨省或者全国统一联网运行的信息系统在各地运行、应用的分支系统，向当地设区的市级以 上公安机关备案。成备案的信息系统，将获得公安机关颁发的《信息系统安全等级保护备案证明》。</w:t>
            </w:r>
          </w:p>
          <w:p>
            <w:pPr>
              <w:pStyle w:val="null3"/>
              <w:jc w:val="both"/>
            </w:pPr>
            <w:r>
              <w:rPr>
                <w:rFonts w:ascii="仿宋_GB2312" w:hAnsi="仿宋_GB2312" w:cs="仿宋_GB2312" w:eastAsia="仿宋_GB2312"/>
                <w:sz w:val="20"/>
                <w:b/>
              </w:rPr>
              <w:t>3.等级保护测评</w:t>
            </w:r>
          </w:p>
          <w:p>
            <w:pPr>
              <w:pStyle w:val="null3"/>
              <w:jc w:val="both"/>
            </w:pPr>
            <w:r>
              <w:rPr>
                <w:rFonts w:ascii="仿宋_GB2312" w:hAnsi="仿宋_GB2312" w:cs="仿宋_GB2312" w:eastAsia="仿宋_GB2312"/>
                <w:sz w:val="20"/>
              </w:rPr>
              <w:t>按照《信息安全等级保护管理办法》</w:t>
            </w:r>
            <w:r>
              <w:rPr>
                <w:rFonts w:ascii="仿宋_GB2312" w:hAnsi="仿宋_GB2312" w:cs="仿宋_GB2312" w:eastAsia="仿宋_GB2312"/>
                <w:sz w:val="20"/>
              </w:rPr>
              <w:t>(公通字[2007]43号）、《信息安全技术 信息系统安全等级保护实施指南》（G B/T25058-2019）、《信息安全技术网络安全等级保护基本要求》（GB/T22239-2019）、《信息安全技术网络安全等级 保护测评要求》（GB/T28448-2019）、《信息安全技术网络安全等级保护测评过程指南》（GB/T28449-2018）等相关 的标准规范对备案重要信息系统开展等级测评工作，从系统的安全物理环境、安全通信网络、安全区域边界、安全计算环境  、安全管理中心、安全管理制度、安全管理机构、安全管理人员、安全建设管理、安全运维管理共10个层面进行安全等级保护测评（三级）测评内容包括但不限于如下指标：</w:t>
            </w:r>
          </w:p>
          <w:p>
            <w:pPr>
              <w:pStyle w:val="null3"/>
              <w:jc w:val="both"/>
            </w:pPr>
            <w:r>
              <w:rPr>
                <w:rFonts w:ascii="仿宋_GB2312" w:hAnsi="仿宋_GB2312" w:cs="仿宋_GB2312" w:eastAsia="仿宋_GB2312"/>
                <w:sz w:val="20"/>
                <w:b/>
              </w:rPr>
              <w:t>单元测评：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1）安全物理环境测评：包括物理位置选择、物理访问控制、防盗窃和防破坏、防雷击、防火、防水和防潮、防静电、温湿度控制、电力供应、电磁防护等内容。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2）安全通信网络测评：网络架构、通信传输、可信验证等内容。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3）安全区域边界测评：边界防护、访问控制、入侵防范、恶意代码和垃圾邮件防范、安全审计、可信验证等内容。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4）安全计算环境测评：身份鉴别、访问控制、安全审计、入侵防范、恶意代码防范、可信验证、数据完整性、数据保密性、数据备份恢复、剩余信息保护、个人信息保护等内容。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5）安全管理中心测评：包括系统管理、审计管理、安全管理、集中管控等内容。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6）安全管理制度测评：安全策略、管理制度、制定和发布、评审和修订等内容；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7）安全管理机构测评：包括岗位设置、人员配备、授权和审批、沟通和合作、审核和检查等内容。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8）安全管理人员测评：包括人员录用、人员离岗、安全意识教育和培训、外部人员访问管理等内容。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9）安全建设管理测评：包括定级和备案、安全方案设计、产品采购和使用、自行软件开发、外包软件开发、工程实施、测试验收、系统交付、等级测评等内容。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系统运维管理测评：包括环境管理、资产管理、介质管理、设备维护管理、漏洞和风险管理、网络和系统安全管理、恶意代码防范管理、配置管理、密码管理、变更管理、备份与恢复管理、安全事件处置、应急预案管理、外包运维管理等内容。</w:t>
            </w:r>
          </w:p>
          <w:p>
            <w:pPr>
              <w:pStyle w:val="null3"/>
              <w:jc w:val="both"/>
            </w:pPr>
            <w:r>
              <w:rPr>
                <w:rFonts w:ascii="仿宋_GB2312" w:hAnsi="仿宋_GB2312" w:cs="仿宋_GB2312" w:eastAsia="仿宋_GB2312"/>
                <w:sz w:val="20"/>
                <w:b/>
              </w:rPr>
              <w:t>整体测评：</w:t>
            </w:r>
          </w:p>
          <w:p>
            <w:pPr>
              <w:pStyle w:val="null3"/>
              <w:jc w:val="both"/>
            </w:pPr>
            <w:r>
              <w:rPr>
                <w:rFonts w:ascii="仿宋_GB2312" w:hAnsi="仿宋_GB2312" w:cs="仿宋_GB2312" w:eastAsia="仿宋_GB2312"/>
                <w:sz w:val="20"/>
              </w:rPr>
              <w:t>整体测评是对单元测评中发现的问题进行系统整体测评分析，包括从安全控制点间、层面间、区域间和系统结构等方面进行安全测评。</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标的名称：陕西省传染病监测预警与应急指挥信息平台密码应用安全性评估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一、采购内容</w:t>
            </w:r>
          </w:p>
          <w:p>
            <w:pPr>
              <w:pStyle w:val="null3"/>
              <w:jc w:val="both"/>
            </w:pPr>
            <w:r>
              <w:rPr>
                <w:rFonts w:ascii="仿宋_GB2312" w:hAnsi="仿宋_GB2312" w:cs="仿宋_GB2312" w:eastAsia="仿宋_GB2312"/>
                <w:sz w:val="20"/>
              </w:rPr>
              <w:t>需按要求完成相关应用系统的商用密码应用安全性评估服务，根据实际应用系统情况并出具《系统商用密码应用安全整改建议》，协助用户单位进行问题整改，整改后进行复测评工作，出具《商用密码应用安全性评估报告》并取得省级主管单位出具的《密评结果备案材料接受回执》。</w:t>
            </w:r>
          </w:p>
          <w:tbl>
            <w:tblPr>
              <w:tblBorders>
                <w:top w:val="none" w:color="000000" w:sz="4"/>
                <w:left w:val="none" w:color="000000" w:sz="4"/>
                <w:bottom w:val="none" w:color="000000" w:sz="4"/>
                <w:right w:val="none" w:color="000000" w:sz="4"/>
                <w:insideH w:val="none"/>
                <w:insideV w:val="none"/>
              </w:tblBorders>
            </w:tblPr>
            <w:tblGrid>
              <w:gridCol w:w="930"/>
              <w:gridCol w:w="384"/>
              <w:gridCol w:w="1240"/>
            </w:tblGrid>
            <w:tr>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服务内容</w:t>
                  </w:r>
                </w:p>
              </w:tc>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系统数量</w:t>
                  </w:r>
                </w:p>
              </w:tc>
              <w:tc>
                <w:tcPr>
                  <w:tcW w:type="dxa" w:w="1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系统名称</w:t>
                  </w: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商用密码应用安全性评估服务</w:t>
                  </w:r>
                </w:p>
              </w:tc>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传染病多渠道监测</w:t>
                  </w:r>
                  <w:r>
                    <w:rPr>
                      <w:rFonts w:ascii="仿宋_GB2312" w:hAnsi="仿宋_GB2312" w:cs="仿宋_GB2312" w:eastAsia="仿宋_GB2312"/>
                      <w:sz w:val="20"/>
                    </w:rPr>
                    <w:t>系统、智慧预警、应急指挥、应急作业、计划免疫系统、综合管理系统</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技术依据</w:t>
            </w:r>
          </w:p>
          <w:p>
            <w:pPr>
              <w:pStyle w:val="null3"/>
              <w:jc w:val="both"/>
            </w:pPr>
            <w:r>
              <w:rPr>
                <w:rFonts w:ascii="仿宋_GB2312" w:hAnsi="仿宋_GB2312" w:cs="仿宋_GB2312" w:eastAsia="仿宋_GB2312"/>
                <w:sz w:val="20"/>
              </w:rPr>
              <w:t>《中华人民共和国密码法》</w:t>
            </w:r>
          </w:p>
          <w:p>
            <w:pPr>
              <w:pStyle w:val="null3"/>
              <w:jc w:val="both"/>
            </w:pPr>
            <w:r>
              <w:rPr>
                <w:rFonts w:ascii="仿宋_GB2312" w:hAnsi="仿宋_GB2312" w:cs="仿宋_GB2312" w:eastAsia="仿宋_GB2312"/>
                <w:sz w:val="20"/>
              </w:rPr>
              <w:t>《中华人民共和国网络安全法》</w:t>
            </w:r>
          </w:p>
          <w:p>
            <w:pPr>
              <w:pStyle w:val="null3"/>
              <w:jc w:val="both"/>
            </w:pPr>
            <w:r>
              <w:rPr>
                <w:rFonts w:ascii="仿宋_GB2312" w:hAnsi="仿宋_GB2312" w:cs="仿宋_GB2312" w:eastAsia="仿宋_GB2312"/>
                <w:sz w:val="20"/>
              </w:rPr>
              <w:t>《信息安全技术</w:t>
            </w:r>
            <w:r>
              <w:rPr>
                <w:rFonts w:ascii="仿宋_GB2312" w:hAnsi="仿宋_GB2312" w:cs="仿宋_GB2312" w:eastAsia="仿宋_GB2312"/>
                <w:sz w:val="20"/>
              </w:rPr>
              <w:t>信息系统密码应用基本要求》</w:t>
            </w:r>
            <w:r>
              <w:rPr>
                <w:rFonts w:ascii="仿宋_GB2312" w:hAnsi="仿宋_GB2312" w:cs="仿宋_GB2312" w:eastAsia="仿宋_GB2312"/>
                <w:sz w:val="20"/>
              </w:rPr>
              <w:t>GB/T 39786-2021</w:t>
            </w:r>
          </w:p>
          <w:p>
            <w:pPr>
              <w:pStyle w:val="null3"/>
              <w:jc w:val="both"/>
            </w:pPr>
            <w:r>
              <w:rPr>
                <w:rFonts w:ascii="仿宋_GB2312" w:hAnsi="仿宋_GB2312" w:cs="仿宋_GB2312" w:eastAsia="仿宋_GB2312"/>
                <w:sz w:val="20"/>
              </w:rPr>
              <w:t>《信息系统密码应用测评要求》</w:t>
            </w:r>
            <w:r>
              <w:rPr>
                <w:rFonts w:ascii="仿宋_GB2312" w:hAnsi="仿宋_GB2312" w:cs="仿宋_GB2312" w:eastAsia="仿宋_GB2312"/>
                <w:sz w:val="20"/>
              </w:rPr>
              <w:t>GM/T0115-2021</w:t>
            </w:r>
          </w:p>
          <w:p>
            <w:pPr>
              <w:pStyle w:val="null3"/>
              <w:jc w:val="both"/>
            </w:pPr>
            <w:r>
              <w:rPr>
                <w:rFonts w:ascii="仿宋_GB2312" w:hAnsi="仿宋_GB2312" w:cs="仿宋_GB2312" w:eastAsia="仿宋_GB2312"/>
                <w:sz w:val="20"/>
              </w:rPr>
              <w:t>《信息系统密码应用测评过程指南》</w:t>
            </w:r>
            <w:r>
              <w:rPr>
                <w:rFonts w:ascii="仿宋_GB2312" w:hAnsi="仿宋_GB2312" w:cs="仿宋_GB2312" w:eastAsia="仿宋_GB2312"/>
                <w:sz w:val="20"/>
              </w:rPr>
              <w:t>GM/T0116-2021</w:t>
            </w:r>
          </w:p>
          <w:p>
            <w:pPr>
              <w:pStyle w:val="null3"/>
              <w:jc w:val="both"/>
            </w:pPr>
            <w:r>
              <w:rPr>
                <w:rFonts w:ascii="仿宋_GB2312" w:hAnsi="仿宋_GB2312" w:cs="仿宋_GB2312" w:eastAsia="仿宋_GB2312"/>
                <w:sz w:val="20"/>
              </w:rPr>
              <w:t>信息系统密码应用高风险判定指引（</w:t>
            </w:r>
            <w:r>
              <w:rPr>
                <w:rFonts w:ascii="仿宋_GB2312" w:hAnsi="仿宋_GB2312" w:cs="仿宋_GB2312" w:eastAsia="仿宋_GB2312"/>
                <w:sz w:val="20"/>
              </w:rPr>
              <w:t>2021）</w:t>
            </w:r>
          </w:p>
          <w:p>
            <w:pPr>
              <w:pStyle w:val="null3"/>
              <w:jc w:val="both"/>
            </w:pPr>
            <w:r>
              <w:rPr>
                <w:rFonts w:ascii="仿宋_GB2312" w:hAnsi="仿宋_GB2312" w:cs="仿宋_GB2312" w:eastAsia="仿宋_GB2312"/>
                <w:sz w:val="20"/>
              </w:rPr>
              <w:t>商用密码应用安全性评估量化评估规则（</w:t>
            </w:r>
            <w:r>
              <w:rPr>
                <w:rFonts w:ascii="仿宋_GB2312" w:hAnsi="仿宋_GB2312" w:cs="仿宋_GB2312" w:eastAsia="仿宋_GB2312"/>
                <w:sz w:val="20"/>
              </w:rPr>
              <w:t>2023版）</w:t>
            </w:r>
          </w:p>
          <w:p>
            <w:pPr>
              <w:pStyle w:val="null3"/>
              <w:jc w:val="both"/>
            </w:pPr>
            <w:r>
              <w:rPr>
                <w:rFonts w:ascii="仿宋_GB2312" w:hAnsi="仿宋_GB2312" w:cs="仿宋_GB2312" w:eastAsia="仿宋_GB2312"/>
                <w:sz w:val="20"/>
              </w:rPr>
              <w:t>《商用密码应用安全性评估管理办法》</w:t>
            </w:r>
          </w:p>
          <w:p>
            <w:pPr>
              <w:pStyle w:val="null3"/>
              <w:jc w:val="both"/>
            </w:pPr>
            <w:r>
              <w:rPr>
                <w:rFonts w:ascii="仿宋_GB2312" w:hAnsi="仿宋_GB2312" w:cs="仿宋_GB2312" w:eastAsia="仿宋_GB2312"/>
                <w:sz w:val="20"/>
              </w:rPr>
              <w:t>《政务信息系统密码应用与安全性评估工作指南（</w:t>
            </w:r>
            <w:r>
              <w:rPr>
                <w:rFonts w:ascii="仿宋_GB2312" w:hAnsi="仿宋_GB2312" w:cs="仿宋_GB2312" w:eastAsia="仿宋_GB2312"/>
                <w:sz w:val="20"/>
              </w:rPr>
              <w:t>2020 版）》</w:t>
            </w:r>
          </w:p>
          <w:p>
            <w:pPr>
              <w:pStyle w:val="null3"/>
              <w:jc w:val="both"/>
            </w:pPr>
            <w:r>
              <w:rPr>
                <w:rFonts w:ascii="仿宋_GB2312" w:hAnsi="仿宋_GB2312" w:cs="仿宋_GB2312" w:eastAsia="仿宋_GB2312"/>
                <w:sz w:val="20"/>
              </w:rPr>
              <w:t>GB/T 15843.3-2016《信息技术 安全技术 实体鉴别 第3部分：采用数字签名技术的机制》</w:t>
            </w:r>
          </w:p>
          <w:p>
            <w:pPr>
              <w:pStyle w:val="null3"/>
              <w:jc w:val="both"/>
            </w:pPr>
            <w:r>
              <w:rPr>
                <w:rFonts w:ascii="仿宋_GB2312" w:hAnsi="仿宋_GB2312" w:cs="仿宋_GB2312" w:eastAsia="仿宋_GB2312"/>
                <w:sz w:val="20"/>
              </w:rPr>
              <w:t>GM/T 0001.1-2012</w:t>
            </w:r>
            <w:r>
              <w:rPr>
                <w:rFonts w:ascii="仿宋_GB2312" w:hAnsi="仿宋_GB2312" w:cs="仿宋_GB2312" w:eastAsia="仿宋_GB2312"/>
                <w:sz w:val="20"/>
              </w:rPr>
              <w:t>《祖冲之序列密码算法</w:t>
            </w:r>
            <w:r>
              <w:rPr>
                <w:rFonts w:ascii="仿宋_GB2312" w:hAnsi="仿宋_GB2312" w:cs="仿宋_GB2312" w:eastAsia="仿宋_GB2312"/>
                <w:sz w:val="20"/>
              </w:rPr>
              <w:t>第</w:t>
            </w:r>
            <w:r>
              <w:rPr>
                <w:rFonts w:ascii="仿宋_GB2312" w:hAnsi="仿宋_GB2312" w:cs="仿宋_GB2312" w:eastAsia="仿宋_GB2312"/>
                <w:sz w:val="20"/>
              </w:rPr>
              <w:t>1部分：算法描述》</w:t>
            </w:r>
          </w:p>
          <w:p>
            <w:pPr>
              <w:pStyle w:val="null3"/>
              <w:jc w:val="both"/>
            </w:pPr>
            <w:r>
              <w:rPr>
                <w:rFonts w:ascii="仿宋_GB2312" w:hAnsi="仿宋_GB2312" w:cs="仿宋_GB2312" w:eastAsia="仿宋_GB2312"/>
                <w:sz w:val="20"/>
              </w:rPr>
              <w:t>GM/T 0001.2-2012</w:t>
            </w:r>
            <w:r>
              <w:rPr>
                <w:rFonts w:ascii="仿宋_GB2312" w:hAnsi="仿宋_GB2312" w:cs="仿宋_GB2312" w:eastAsia="仿宋_GB2312"/>
                <w:sz w:val="20"/>
              </w:rPr>
              <w:t>《祖冲之序列密码算法</w:t>
            </w:r>
            <w:r>
              <w:rPr>
                <w:rFonts w:ascii="仿宋_GB2312" w:hAnsi="仿宋_GB2312" w:cs="仿宋_GB2312" w:eastAsia="仿宋_GB2312"/>
                <w:sz w:val="20"/>
              </w:rPr>
              <w:t>第</w:t>
            </w:r>
            <w:r>
              <w:rPr>
                <w:rFonts w:ascii="仿宋_GB2312" w:hAnsi="仿宋_GB2312" w:cs="仿宋_GB2312" w:eastAsia="仿宋_GB2312"/>
                <w:sz w:val="20"/>
              </w:rPr>
              <w:t>2部分：基于祖冲之算法的机密性算法》</w:t>
            </w:r>
          </w:p>
          <w:p>
            <w:pPr>
              <w:pStyle w:val="null3"/>
              <w:jc w:val="both"/>
            </w:pPr>
            <w:r>
              <w:rPr>
                <w:rFonts w:ascii="仿宋_GB2312" w:hAnsi="仿宋_GB2312" w:cs="仿宋_GB2312" w:eastAsia="仿宋_GB2312"/>
                <w:sz w:val="20"/>
              </w:rPr>
              <w:t>GM/T 0001.3-2012</w:t>
            </w:r>
            <w:r>
              <w:rPr>
                <w:rFonts w:ascii="仿宋_GB2312" w:hAnsi="仿宋_GB2312" w:cs="仿宋_GB2312" w:eastAsia="仿宋_GB2312"/>
                <w:sz w:val="20"/>
              </w:rPr>
              <w:t>《祖冲之序列密码算法</w:t>
            </w:r>
            <w:r>
              <w:rPr>
                <w:rFonts w:ascii="仿宋_GB2312" w:hAnsi="仿宋_GB2312" w:cs="仿宋_GB2312" w:eastAsia="仿宋_GB2312"/>
                <w:sz w:val="20"/>
              </w:rPr>
              <w:t>第</w:t>
            </w:r>
            <w:r>
              <w:rPr>
                <w:rFonts w:ascii="仿宋_GB2312" w:hAnsi="仿宋_GB2312" w:cs="仿宋_GB2312" w:eastAsia="仿宋_GB2312"/>
                <w:sz w:val="20"/>
              </w:rPr>
              <w:t>3部分：基于祖冲之算法的完整性算法》</w:t>
            </w:r>
          </w:p>
          <w:p>
            <w:pPr>
              <w:pStyle w:val="null3"/>
              <w:jc w:val="both"/>
            </w:pPr>
            <w:r>
              <w:rPr>
                <w:rFonts w:ascii="仿宋_GB2312" w:hAnsi="仿宋_GB2312" w:cs="仿宋_GB2312" w:eastAsia="仿宋_GB2312"/>
                <w:sz w:val="20"/>
              </w:rPr>
              <w:t>GM/T 0002-2012</w:t>
            </w:r>
            <w:r>
              <w:rPr>
                <w:rFonts w:ascii="仿宋_GB2312" w:hAnsi="仿宋_GB2312" w:cs="仿宋_GB2312" w:eastAsia="仿宋_GB2312"/>
                <w:sz w:val="20"/>
              </w:rPr>
              <w:t>《</w:t>
            </w:r>
            <w:r>
              <w:rPr>
                <w:rFonts w:ascii="仿宋_GB2312" w:hAnsi="仿宋_GB2312" w:cs="仿宋_GB2312" w:eastAsia="仿宋_GB2312"/>
                <w:sz w:val="20"/>
              </w:rPr>
              <w:t>SM4分组密码算法》</w:t>
            </w:r>
          </w:p>
          <w:p>
            <w:pPr>
              <w:pStyle w:val="null3"/>
              <w:jc w:val="both"/>
            </w:pPr>
            <w:r>
              <w:rPr>
                <w:rFonts w:ascii="仿宋_GB2312" w:hAnsi="仿宋_GB2312" w:cs="仿宋_GB2312" w:eastAsia="仿宋_GB2312"/>
                <w:sz w:val="20"/>
              </w:rPr>
              <w:t>GM/T 0003.1-2012</w:t>
            </w:r>
            <w:r>
              <w:rPr>
                <w:rFonts w:ascii="仿宋_GB2312" w:hAnsi="仿宋_GB2312" w:cs="仿宋_GB2312" w:eastAsia="仿宋_GB2312"/>
                <w:sz w:val="20"/>
              </w:rPr>
              <w:t>《</w:t>
            </w:r>
            <w:r>
              <w:rPr>
                <w:rFonts w:ascii="仿宋_GB2312" w:hAnsi="仿宋_GB2312" w:cs="仿宋_GB2312" w:eastAsia="仿宋_GB2312"/>
                <w:sz w:val="20"/>
              </w:rPr>
              <w:t>SM2椭圆曲线公钥密码算法 第1部分：总则》</w:t>
            </w:r>
          </w:p>
          <w:p>
            <w:pPr>
              <w:pStyle w:val="null3"/>
              <w:jc w:val="both"/>
            </w:pPr>
            <w:r>
              <w:rPr>
                <w:rFonts w:ascii="仿宋_GB2312" w:hAnsi="仿宋_GB2312" w:cs="仿宋_GB2312" w:eastAsia="仿宋_GB2312"/>
                <w:sz w:val="20"/>
              </w:rPr>
              <w:t>GM/T 0003.2-2012</w:t>
            </w:r>
            <w:r>
              <w:rPr>
                <w:rFonts w:ascii="仿宋_GB2312" w:hAnsi="仿宋_GB2312" w:cs="仿宋_GB2312" w:eastAsia="仿宋_GB2312"/>
                <w:sz w:val="20"/>
              </w:rPr>
              <w:t>《</w:t>
            </w:r>
            <w:r>
              <w:rPr>
                <w:rFonts w:ascii="仿宋_GB2312" w:hAnsi="仿宋_GB2312" w:cs="仿宋_GB2312" w:eastAsia="仿宋_GB2312"/>
                <w:sz w:val="20"/>
              </w:rPr>
              <w:t>SM2椭圆曲线公钥密码算法 第2部分：数字签名算法》》</w:t>
            </w:r>
          </w:p>
          <w:p>
            <w:pPr>
              <w:pStyle w:val="null3"/>
              <w:jc w:val="both"/>
            </w:pPr>
            <w:r>
              <w:rPr>
                <w:rFonts w:ascii="仿宋_GB2312" w:hAnsi="仿宋_GB2312" w:cs="仿宋_GB2312" w:eastAsia="仿宋_GB2312"/>
                <w:sz w:val="20"/>
              </w:rPr>
              <w:t>GM/T 0003.3-2012</w:t>
            </w:r>
            <w:r>
              <w:rPr>
                <w:rFonts w:ascii="仿宋_GB2312" w:hAnsi="仿宋_GB2312" w:cs="仿宋_GB2312" w:eastAsia="仿宋_GB2312"/>
                <w:sz w:val="20"/>
              </w:rPr>
              <w:t>《</w:t>
            </w:r>
            <w:r>
              <w:rPr>
                <w:rFonts w:ascii="仿宋_GB2312" w:hAnsi="仿宋_GB2312" w:cs="仿宋_GB2312" w:eastAsia="仿宋_GB2312"/>
                <w:sz w:val="20"/>
              </w:rPr>
              <w:t>SM2椭圆曲线公钥密码算法 第3部分：密钥交换协议》</w:t>
            </w:r>
          </w:p>
          <w:p>
            <w:pPr>
              <w:pStyle w:val="null3"/>
              <w:jc w:val="both"/>
            </w:pPr>
            <w:r>
              <w:rPr>
                <w:rFonts w:ascii="仿宋_GB2312" w:hAnsi="仿宋_GB2312" w:cs="仿宋_GB2312" w:eastAsia="仿宋_GB2312"/>
                <w:sz w:val="20"/>
              </w:rPr>
              <w:t>GM/T 0003.4-2012</w:t>
            </w:r>
            <w:r>
              <w:rPr>
                <w:rFonts w:ascii="仿宋_GB2312" w:hAnsi="仿宋_GB2312" w:cs="仿宋_GB2312" w:eastAsia="仿宋_GB2312"/>
                <w:sz w:val="20"/>
              </w:rPr>
              <w:t>《</w:t>
            </w:r>
            <w:r>
              <w:rPr>
                <w:rFonts w:ascii="仿宋_GB2312" w:hAnsi="仿宋_GB2312" w:cs="仿宋_GB2312" w:eastAsia="仿宋_GB2312"/>
                <w:sz w:val="20"/>
              </w:rPr>
              <w:t>SM2椭圆曲线公钥密码算法 第4部分：公钥加密算法》</w:t>
            </w:r>
          </w:p>
          <w:p>
            <w:pPr>
              <w:pStyle w:val="null3"/>
              <w:jc w:val="both"/>
            </w:pPr>
            <w:r>
              <w:rPr>
                <w:rFonts w:ascii="仿宋_GB2312" w:hAnsi="仿宋_GB2312" w:cs="仿宋_GB2312" w:eastAsia="仿宋_GB2312"/>
                <w:sz w:val="20"/>
              </w:rPr>
              <w:t>GM/T 0003.5-2012</w:t>
            </w:r>
            <w:r>
              <w:rPr>
                <w:rFonts w:ascii="仿宋_GB2312" w:hAnsi="仿宋_GB2312" w:cs="仿宋_GB2312" w:eastAsia="仿宋_GB2312"/>
                <w:sz w:val="20"/>
              </w:rPr>
              <w:t>《</w:t>
            </w:r>
            <w:r>
              <w:rPr>
                <w:rFonts w:ascii="仿宋_GB2312" w:hAnsi="仿宋_GB2312" w:cs="仿宋_GB2312" w:eastAsia="仿宋_GB2312"/>
                <w:sz w:val="20"/>
              </w:rPr>
              <w:t>SM2椭圆曲线公钥密码算法 第5部分：参数定义》</w:t>
            </w:r>
          </w:p>
          <w:p>
            <w:pPr>
              <w:pStyle w:val="null3"/>
              <w:jc w:val="both"/>
            </w:pPr>
            <w:r>
              <w:rPr>
                <w:rFonts w:ascii="仿宋_GB2312" w:hAnsi="仿宋_GB2312" w:cs="仿宋_GB2312" w:eastAsia="仿宋_GB2312"/>
                <w:sz w:val="20"/>
              </w:rPr>
              <w:t>GM/T 0004-2012</w:t>
            </w:r>
            <w:r>
              <w:rPr>
                <w:rFonts w:ascii="仿宋_GB2312" w:hAnsi="仿宋_GB2312" w:cs="仿宋_GB2312" w:eastAsia="仿宋_GB2312"/>
                <w:sz w:val="20"/>
              </w:rPr>
              <w:t>《</w:t>
            </w:r>
            <w:r>
              <w:rPr>
                <w:rFonts w:ascii="仿宋_GB2312" w:hAnsi="仿宋_GB2312" w:cs="仿宋_GB2312" w:eastAsia="仿宋_GB2312"/>
                <w:sz w:val="20"/>
              </w:rPr>
              <w:t>SM3密码杂凑算法》</w:t>
            </w:r>
          </w:p>
          <w:p>
            <w:pPr>
              <w:pStyle w:val="null3"/>
              <w:jc w:val="both"/>
            </w:pPr>
            <w:r>
              <w:rPr>
                <w:rFonts w:ascii="仿宋_GB2312" w:hAnsi="仿宋_GB2312" w:cs="仿宋_GB2312" w:eastAsia="仿宋_GB2312"/>
                <w:sz w:val="20"/>
              </w:rPr>
              <w:t>GM/T 0005-2012</w:t>
            </w:r>
            <w:r>
              <w:rPr>
                <w:rFonts w:ascii="仿宋_GB2312" w:hAnsi="仿宋_GB2312" w:cs="仿宋_GB2312" w:eastAsia="仿宋_GB2312"/>
                <w:sz w:val="20"/>
              </w:rPr>
              <w:t>《随机性检测规范》</w:t>
            </w:r>
          </w:p>
          <w:p>
            <w:pPr>
              <w:pStyle w:val="null3"/>
              <w:jc w:val="both"/>
            </w:pPr>
            <w:r>
              <w:rPr>
                <w:rFonts w:ascii="仿宋_GB2312" w:hAnsi="仿宋_GB2312" w:cs="仿宋_GB2312" w:eastAsia="仿宋_GB2312"/>
                <w:sz w:val="20"/>
              </w:rPr>
              <w:t>GM/T 0006-2012</w:t>
            </w:r>
            <w:r>
              <w:rPr>
                <w:rFonts w:ascii="仿宋_GB2312" w:hAnsi="仿宋_GB2312" w:cs="仿宋_GB2312" w:eastAsia="仿宋_GB2312"/>
                <w:sz w:val="20"/>
              </w:rPr>
              <w:t>《密码应用标识规范》</w:t>
            </w:r>
          </w:p>
          <w:p>
            <w:pPr>
              <w:pStyle w:val="null3"/>
              <w:jc w:val="both"/>
            </w:pPr>
            <w:r>
              <w:rPr>
                <w:rFonts w:ascii="仿宋_GB2312" w:hAnsi="仿宋_GB2312" w:cs="仿宋_GB2312" w:eastAsia="仿宋_GB2312"/>
                <w:sz w:val="20"/>
              </w:rPr>
              <w:t>GM/T 0008-2012</w:t>
            </w:r>
            <w:r>
              <w:rPr>
                <w:rFonts w:ascii="仿宋_GB2312" w:hAnsi="仿宋_GB2312" w:cs="仿宋_GB2312" w:eastAsia="仿宋_GB2312"/>
                <w:sz w:val="20"/>
              </w:rPr>
              <w:t>《安全芯片密码检测准则》</w:t>
            </w:r>
          </w:p>
          <w:p>
            <w:pPr>
              <w:pStyle w:val="null3"/>
              <w:jc w:val="both"/>
            </w:pPr>
            <w:r>
              <w:rPr>
                <w:rFonts w:ascii="仿宋_GB2312" w:hAnsi="仿宋_GB2312" w:cs="仿宋_GB2312" w:eastAsia="仿宋_GB2312"/>
                <w:sz w:val="20"/>
              </w:rPr>
              <w:t>GM/T 0009-2012</w:t>
            </w:r>
            <w:r>
              <w:rPr>
                <w:rFonts w:ascii="仿宋_GB2312" w:hAnsi="仿宋_GB2312" w:cs="仿宋_GB2312" w:eastAsia="仿宋_GB2312"/>
                <w:sz w:val="20"/>
              </w:rPr>
              <w:t>《</w:t>
            </w:r>
            <w:r>
              <w:rPr>
                <w:rFonts w:ascii="仿宋_GB2312" w:hAnsi="仿宋_GB2312" w:cs="仿宋_GB2312" w:eastAsia="仿宋_GB2312"/>
                <w:sz w:val="20"/>
              </w:rPr>
              <w:t>SM2密码算法使用规范》</w:t>
            </w:r>
          </w:p>
          <w:p>
            <w:pPr>
              <w:pStyle w:val="null3"/>
              <w:jc w:val="both"/>
            </w:pPr>
            <w:r>
              <w:rPr>
                <w:rFonts w:ascii="仿宋_GB2312" w:hAnsi="仿宋_GB2312" w:cs="仿宋_GB2312" w:eastAsia="仿宋_GB2312"/>
                <w:sz w:val="20"/>
              </w:rPr>
              <w:t>GM/T 0010-2012</w:t>
            </w:r>
            <w:r>
              <w:rPr>
                <w:rFonts w:ascii="仿宋_GB2312" w:hAnsi="仿宋_GB2312" w:cs="仿宋_GB2312" w:eastAsia="仿宋_GB2312"/>
                <w:sz w:val="20"/>
              </w:rPr>
              <w:t>《</w:t>
            </w:r>
            <w:r>
              <w:rPr>
                <w:rFonts w:ascii="仿宋_GB2312" w:hAnsi="仿宋_GB2312" w:cs="仿宋_GB2312" w:eastAsia="仿宋_GB2312"/>
                <w:sz w:val="20"/>
              </w:rPr>
              <w:t>SM2密码算法加密签名消息语法规范》</w:t>
            </w:r>
          </w:p>
          <w:p>
            <w:pPr>
              <w:pStyle w:val="null3"/>
              <w:jc w:val="both"/>
            </w:pPr>
            <w:r>
              <w:rPr>
                <w:rFonts w:ascii="仿宋_GB2312" w:hAnsi="仿宋_GB2312" w:cs="仿宋_GB2312" w:eastAsia="仿宋_GB2312"/>
                <w:sz w:val="20"/>
              </w:rPr>
              <w:t>GM/T 0011-2012</w:t>
            </w:r>
            <w:r>
              <w:rPr>
                <w:rFonts w:ascii="仿宋_GB2312" w:hAnsi="仿宋_GB2312" w:cs="仿宋_GB2312" w:eastAsia="仿宋_GB2312"/>
                <w:sz w:val="20"/>
              </w:rPr>
              <w:t>《可信计算</w:t>
            </w:r>
            <w:r>
              <w:rPr>
                <w:rFonts w:ascii="仿宋_GB2312" w:hAnsi="仿宋_GB2312" w:cs="仿宋_GB2312" w:eastAsia="仿宋_GB2312"/>
                <w:sz w:val="20"/>
              </w:rPr>
              <w:t>可信密码支撑平台功能与接口规范》</w:t>
            </w:r>
          </w:p>
          <w:p>
            <w:pPr>
              <w:pStyle w:val="null3"/>
              <w:jc w:val="both"/>
            </w:pPr>
            <w:r>
              <w:rPr>
                <w:rFonts w:ascii="仿宋_GB2312" w:hAnsi="仿宋_GB2312" w:cs="仿宋_GB2312" w:eastAsia="仿宋_GB2312"/>
                <w:sz w:val="20"/>
              </w:rPr>
              <w:t>GM/T 0012-2012</w:t>
            </w:r>
            <w:r>
              <w:rPr>
                <w:rFonts w:ascii="仿宋_GB2312" w:hAnsi="仿宋_GB2312" w:cs="仿宋_GB2312" w:eastAsia="仿宋_GB2312"/>
                <w:sz w:val="20"/>
              </w:rPr>
              <w:t>《可信计算</w:t>
            </w:r>
            <w:r>
              <w:rPr>
                <w:rFonts w:ascii="仿宋_GB2312" w:hAnsi="仿宋_GB2312" w:cs="仿宋_GB2312" w:eastAsia="仿宋_GB2312"/>
                <w:sz w:val="20"/>
              </w:rPr>
              <w:t>可信密码模块接口规范》</w:t>
            </w:r>
          </w:p>
          <w:p>
            <w:pPr>
              <w:pStyle w:val="null3"/>
              <w:jc w:val="both"/>
            </w:pPr>
            <w:r>
              <w:rPr>
                <w:rFonts w:ascii="仿宋_GB2312" w:hAnsi="仿宋_GB2312" w:cs="仿宋_GB2312" w:eastAsia="仿宋_GB2312"/>
                <w:sz w:val="20"/>
              </w:rPr>
              <w:t>GM/T 0013-2012</w:t>
            </w:r>
            <w:r>
              <w:rPr>
                <w:rFonts w:ascii="仿宋_GB2312" w:hAnsi="仿宋_GB2312" w:cs="仿宋_GB2312" w:eastAsia="仿宋_GB2312"/>
                <w:sz w:val="20"/>
              </w:rPr>
              <w:t>《可信计算</w:t>
            </w:r>
            <w:r>
              <w:rPr>
                <w:rFonts w:ascii="仿宋_GB2312" w:hAnsi="仿宋_GB2312" w:cs="仿宋_GB2312" w:eastAsia="仿宋_GB2312"/>
                <w:sz w:val="20"/>
              </w:rPr>
              <w:t>可信密码模块接口符合性测试规范》</w:t>
            </w:r>
          </w:p>
          <w:p>
            <w:pPr>
              <w:pStyle w:val="null3"/>
              <w:jc w:val="both"/>
            </w:pPr>
            <w:r>
              <w:rPr>
                <w:rFonts w:ascii="仿宋_GB2312" w:hAnsi="仿宋_GB2312" w:cs="仿宋_GB2312" w:eastAsia="仿宋_GB2312"/>
                <w:sz w:val="20"/>
              </w:rPr>
              <w:t>GM/T 0014-2012</w:t>
            </w:r>
            <w:r>
              <w:rPr>
                <w:rFonts w:ascii="仿宋_GB2312" w:hAnsi="仿宋_GB2312" w:cs="仿宋_GB2312" w:eastAsia="仿宋_GB2312"/>
                <w:sz w:val="20"/>
              </w:rPr>
              <w:t>《数字证书认证系统密码协议规范》</w:t>
            </w:r>
          </w:p>
          <w:p>
            <w:pPr>
              <w:pStyle w:val="null3"/>
              <w:jc w:val="both"/>
            </w:pPr>
            <w:r>
              <w:rPr>
                <w:rFonts w:ascii="仿宋_GB2312" w:hAnsi="仿宋_GB2312" w:cs="仿宋_GB2312" w:eastAsia="仿宋_GB2312"/>
                <w:sz w:val="20"/>
              </w:rPr>
              <w:t>GM/T 0015-2012</w:t>
            </w:r>
            <w:r>
              <w:rPr>
                <w:rFonts w:ascii="仿宋_GB2312" w:hAnsi="仿宋_GB2312" w:cs="仿宋_GB2312" w:eastAsia="仿宋_GB2312"/>
                <w:sz w:val="20"/>
              </w:rPr>
              <w:t>《基于</w:t>
            </w:r>
            <w:r>
              <w:rPr>
                <w:rFonts w:ascii="仿宋_GB2312" w:hAnsi="仿宋_GB2312" w:cs="仿宋_GB2312" w:eastAsia="仿宋_GB2312"/>
                <w:sz w:val="20"/>
              </w:rPr>
              <w:t>SM2密码算法的数字证书格式规范》</w:t>
            </w:r>
          </w:p>
          <w:p>
            <w:pPr>
              <w:pStyle w:val="null3"/>
              <w:jc w:val="both"/>
            </w:pPr>
            <w:r>
              <w:rPr>
                <w:rFonts w:ascii="仿宋_GB2312" w:hAnsi="仿宋_GB2312" w:cs="仿宋_GB2312" w:eastAsia="仿宋_GB2312"/>
                <w:sz w:val="20"/>
              </w:rPr>
              <w:t>GM/T 0016-2012</w:t>
            </w:r>
            <w:r>
              <w:rPr>
                <w:rFonts w:ascii="仿宋_GB2312" w:hAnsi="仿宋_GB2312" w:cs="仿宋_GB2312" w:eastAsia="仿宋_GB2312"/>
                <w:sz w:val="20"/>
              </w:rPr>
              <w:t>《智能密码钥匙密码应用接口规范》</w:t>
            </w:r>
          </w:p>
          <w:p>
            <w:pPr>
              <w:pStyle w:val="null3"/>
              <w:jc w:val="both"/>
            </w:pPr>
            <w:r>
              <w:rPr>
                <w:rFonts w:ascii="仿宋_GB2312" w:hAnsi="仿宋_GB2312" w:cs="仿宋_GB2312" w:eastAsia="仿宋_GB2312"/>
                <w:sz w:val="20"/>
              </w:rPr>
              <w:t>GM/T 0017-2012</w:t>
            </w:r>
            <w:r>
              <w:rPr>
                <w:rFonts w:ascii="仿宋_GB2312" w:hAnsi="仿宋_GB2312" w:cs="仿宋_GB2312" w:eastAsia="仿宋_GB2312"/>
                <w:sz w:val="20"/>
              </w:rPr>
              <w:t>《智能密码钥匙密码应用接口数据格式规范》</w:t>
            </w:r>
          </w:p>
          <w:p>
            <w:pPr>
              <w:pStyle w:val="null3"/>
              <w:jc w:val="both"/>
            </w:pPr>
            <w:r>
              <w:rPr>
                <w:rFonts w:ascii="仿宋_GB2312" w:hAnsi="仿宋_GB2312" w:cs="仿宋_GB2312" w:eastAsia="仿宋_GB2312"/>
                <w:sz w:val="20"/>
              </w:rPr>
              <w:t>GM/T 0018-2012</w:t>
            </w:r>
            <w:r>
              <w:rPr>
                <w:rFonts w:ascii="仿宋_GB2312" w:hAnsi="仿宋_GB2312" w:cs="仿宋_GB2312" w:eastAsia="仿宋_GB2312"/>
                <w:sz w:val="20"/>
              </w:rPr>
              <w:t>《密码设备应用接口规范》</w:t>
            </w:r>
          </w:p>
          <w:p>
            <w:pPr>
              <w:pStyle w:val="null3"/>
              <w:jc w:val="both"/>
            </w:pPr>
            <w:r>
              <w:rPr>
                <w:rFonts w:ascii="仿宋_GB2312" w:hAnsi="仿宋_GB2312" w:cs="仿宋_GB2312" w:eastAsia="仿宋_GB2312"/>
                <w:sz w:val="20"/>
              </w:rPr>
              <w:t>GM/T 0019-2012</w:t>
            </w:r>
            <w:r>
              <w:rPr>
                <w:rFonts w:ascii="仿宋_GB2312" w:hAnsi="仿宋_GB2312" w:cs="仿宋_GB2312" w:eastAsia="仿宋_GB2312"/>
                <w:sz w:val="20"/>
              </w:rPr>
              <w:t>《通用密码服务接口规范》</w:t>
            </w:r>
          </w:p>
          <w:p>
            <w:pPr>
              <w:pStyle w:val="null3"/>
              <w:jc w:val="both"/>
            </w:pPr>
            <w:r>
              <w:rPr>
                <w:rFonts w:ascii="仿宋_GB2312" w:hAnsi="仿宋_GB2312" w:cs="仿宋_GB2312" w:eastAsia="仿宋_GB2312"/>
                <w:sz w:val="20"/>
              </w:rPr>
              <w:t>GM/T 0020-2012</w:t>
            </w:r>
            <w:r>
              <w:rPr>
                <w:rFonts w:ascii="仿宋_GB2312" w:hAnsi="仿宋_GB2312" w:cs="仿宋_GB2312" w:eastAsia="仿宋_GB2312"/>
                <w:sz w:val="20"/>
              </w:rPr>
              <w:t>《证书应用综合服务接口规范》</w:t>
            </w:r>
          </w:p>
          <w:p>
            <w:pPr>
              <w:pStyle w:val="null3"/>
              <w:jc w:val="both"/>
            </w:pPr>
            <w:r>
              <w:rPr>
                <w:rFonts w:ascii="仿宋_GB2312" w:hAnsi="仿宋_GB2312" w:cs="仿宋_GB2312" w:eastAsia="仿宋_GB2312"/>
                <w:sz w:val="20"/>
              </w:rPr>
              <w:t>GM/T 0021-2012</w:t>
            </w:r>
            <w:r>
              <w:rPr>
                <w:rFonts w:ascii="仿宋_GB2312" w:hAnsi="仿宋_GB2312" w:cs="仿宋_GB2312" w:eastAsia="仿宋_GB2312"/>
                <w:sz w:val="20"/>
              </w:rPr>
              <w:t>《动态口令密码应用技术规范》</w:t>
            </w:r>
          </w:p>
          <w:p>
            <w:pPr>
              <w:pStyle w:val="null3"/>
              <w:jc w:val="both"/>
            </w:pPr>
            <w:r>
              <w:rPr>
                <w:rFonts w:ascii="仿宋_GB2312" w:hAnsi="仿宋_GB2312" w:cs="仿宋_GB2312" w:eastAsia="仿宋_GB2312"/>
                <w:sz w:val="20"/>
              </w:rPr>
              <w:t>GM/T 0022-2014</w:t>
            </w:r>
            <w:r>
              <w:rPr>
                <w:rFonts w:ascii="仿宋_GB2312" w:hAnsi="仿宋_GB2312" w:cs="仿宋_GB2312" w:eastAsia="仿宋_GB2312"/>
                <w:sz w:val="20"/>
              </w:rPr>
              <w:t>《</w:t>
            </w:r>
            <w:r>
              <w:rPr>
                <w:rFonts w:ascii="仿宋_GB2312" w:hAnsi="仿宋_GB2312" w:cs="仿宋_GB2312" w:eastAsia="仿宋_GB2312"/>
                <w:sz w:val="20"/>
              </w:rPr>
              <w:t>IPSec VPN 技术规范》</w:t>
            </w:r>
          </w:p>
          <w:p>
            <w:pPr>
              <w:pStyle w:val="null3"/>
              <w:jc w:val="both"/>
            </w:pPr>
            <w:r>
              <w:rPr>
                <w:rFonts w:ascii="仿宋_GB2312" w:hAnsi="仿宋_GB2312" w:cs="仿宋_GB2312" w:eastAsia="仿宋_GB2312"/>
                <w:sz w:val="20"/>
              </w:rPr>
              <w:t>GM/T 0023-2014</w:t>
            </w:r>
            <w:r>
              <w:rPr>
                <w:rFonts w:ascii="仿宋_GB2312" w:hAnsi="仿宋_GB2312" w:cs="仿宋_GB2312" w:eastAsia="仿宋_GB2312"/>
                <w:sz w:val="20"/>
              </w:rPr>
              <w:t>《</w:t>
            </w:r>
            <w:r>
              <w:rPr>
                <w:rFonts w:ascii="仿宋_GB2312" w:hAnsi="仿宋_GB2312" w:cs="仿宋_GB2312" w:eastAsia="仿宋_GB2312"/>
                <w:sz w:val="20"/>
              </w:rPr>
              <w:t>IPSec VPN 网关产品规范》</w:t>
            </w:r>
          </w:p>
          <w:p>
            <w:pPr>
              <w:pStyle w:val="null3"/>
              <w:jc w:val="both"/>
            </w:pPr>
            <w:r>
              <w:rPr>
                <w:rFonts w:ascii="仿宋_GB2312" w:hAnsi="仿宋_GB2312" w:cs="仿宋_GB2312" w:eastAsia="仿宋_GB2312"/>
                <w:sz w:val="20"/>
              </w:rPr>
              <w:t>GM/T 0024-2014</w:t>
            </w:r>
            <w:r>
              <w:rPr>
                <w:rFonts w:ascii="仿宋_GB2312" w:hAnsi="仿宋_GB2312" w:cs="仿宋_GB2312" w:eastAsia="仿宋_GB2312"/>
                <w:sz w:val="20"/>
              </w:rPr>
              <w:t>《</w:t>
            </w:r>
            <w:r>
              <w:rPr>
                <w:rFonts w:ascii="仿宋_GB2312" w:hAnsi="仿宋_GB2312" w:cs="仿宋_GB2312" w:eastAsia="仿宋_GB2312"/>
                <w:sz w:val="20"/>
              </w:rPr>
              <w:t>SSL VPN 技术规范》</w:t>
            </w:r>
          </w:p>
          <w:p>
            <w:pPr>
              <w:pStyle w:val="null3"/>
              <w:jc w:val="both"/>
            </w:pPr>
            <w:r>
              <w:rPr>
                <w:rFonts w:ascii="仿宋_GB2312" w:hAnsi="仿宋_GB2312" w:cs="仿宋_GB2312" w:eastAsia="仿宋_GB2312"/>
                <w:sz w:val="20"/>
              </w:rPr>
              <w:t>GM/T 0025-2014</w:t>
            </w:r>
            <w:r>
              <w:rPr>
                <w:rFonts w:ascii="仿宋_GB2312" w:hAnsi="仿宋_GB2312" w:cs="仿宋_GB2312" w:eastAsia="仿宋_GB2312"/>
                <w:sz w:val="20"/>
              </w:rPr>
              <w:t>《</w:t>
            </w:r>
            <w:r>
              <w:rPr>
                <w:rFonts w:ascii="仿宋_GB2312" w:hAnsi="仿宋_GB2312" w:cs="仿宋_GB2312" w:eastAsia="仿宋_GB2312"/>
                <w:sz w:val="20"/>
              </w:rPr>
              <w:t>SSL VPN 网关产品规范》</w:t>
            </w:r>
          </w:p>
          <w:p>
            <w:pPr>
              <w:pStyle w:val="null3"/>
              <w:jc w:val="both"/>
            </w:pPr>
            <w:r>
              <w:rPr>
                <w:rFonts w:ascii="仿宋_GB2312" w:hAnsi="仿宋_GB2312" w:cs="仿宋_GB2312" w:eastAsia="仿宋_GB2312"/>
                <w:sz w:val="20"/>
              </w:rPr>
              <w:t>GM/T 0026-2014</w:t>
            </w:r>
            <w:r>
              <w:rPr>
                <w:rFonts w:ascii="仿宋_GB2312" w:hAnsi="仿宋_GB2312" w:cs="仿宋_GB2312" w:eastAsia="仿宋_GB2312"/>
                <w:sz w:val="20"/>
              </w:rPr>
              <w:t>《安全认证网关产品规范》</w:t>
            </w:r>
          </w:p>
          <w:p>
            <w:pPr>
              <w:pStyle w:val="null3"/>
              <w:jc w:val="both"/>
            </w:pPr>
            <w:r>
              <w:rPr>
                <w:rFonts w:ascii="仿宋_GB2312" w:hAnsi="仿宋_GB2312" w:cs="仿宋_GB2312" w:eastAsia="仿宋_GB2312"/>
                <w:sz w:val="20"/>
              </w:rPr>
              <w:t>GM/T 0027-2014</w:t>
            </w:r>
            <w:r>
              <w:rPr>
                <w:rFonts w:ascii="仿宋_GB2312" w:hAnsi="仿宋_GB2312" w:cs="仿宋_GB2312" w:eastAsia="仿宋_GB2312"/>
                <w:sz w:val="20"/>
              </w:rPr>
              <w:t>《智能密码钥匙技术规范》</w:t>
            </w:r>
          </w:p>
          <w:p>
            <w:pPr>
              <w:pStyle w:val="null3"/>
              <w:jc w:val="both"/>
            </w:pPr>
            <w:r>
              <w:rPr>
                <w:rFonts w:ascii="仿宋_GB2312" w:hAnsi="仿宋_GB2312" w:cs="仿宋_GB2312" w:eastAsia="仿宋_GB2312"/>
                <w:sz w:val="20"/>
              </w:rPr>
              <w:t>GM/T 0028-2014</w:t>
            </w:r>
            <w:r>
              <w:rPr>
                <w:rFonts w:ascii="仿宋_GB2312" w:hAnsi="仿宋_GB2312" w:cs="仿宋_GB2312" w:eastAsia="仿宋_GB2312"/>
                <w:sz w:val="20"/>
              </w:rPr>
              <w:t>《密码模块安全技术要求》</w:t>
            </w:r>
          </w:p>
          <w:p>
            <w:pPr>
              <w:pStyle w:val="null3"/>
              <w:jc w:val="both"/>
            </w:pPr>
            <w:r>
              <w:rPr>
                <w:rFonts w:ascii="仿宋_GB2312" w:hAnsi="仿宋_GB2312" w:cs="仿宋_GB2312" w:eastAsia="仿宋_GB2312"/>
                <w:sz w:val="20"/>
              </w:rPr>
              <w:t>GM/T 0029-2014</w:t>
            </w:r>
            <w:r>
              <w:rPr>
                <w:rFonts w:ascii="仿宋_GB2312" w:hAnsi="仿宋_GB2312" w:cs="仿宋_GB2312" w:eastAsia="仿宋_GB2312"/>
                <w:sz w:val="20"/>
              </w:rPr>
              <w:t>《签名验签服务器技术规范》</w:t>
            </w:r>
          </w:p>
          <w:p>
            <w:pPr>
              <w:pStyle w:val="null3"/>
              <w:jc w:val="both"/>
            </w:pPr>
            <w:r>
              <w:rPr>
                <w:rFonts w:ascii="仿宋_GB2312" w:hAnsi="仿宋_GB2312" w:cs="仿宋_GB2312" w:eastAsia="仿宋_GB2312"/>
                <w:sz w:val="20"/>
              </w:rPr>
              <w:t>GM/T 0030-2014</w:t>
            </w:r>
            <w:r>
              <w:rPr>
                <w:rFonts w:ascii="仿宋_GB2312" w:hAnsi="仿宋_GB2312" w:cs="仿宋_GB2312" w:eastAsia="仿宋_GB2312"/>
                <w:sz w:val="20"/>
              </w:rPr>
              <w:t>《服务器密码机技术规范》</w:t>
            </w:r>
          </w:p>
          <w:p>
            <w:pPr>
              <w:pStyle w:val="null3"/>
              <w:jc w:val="both"/>
            </w:pPr>
            <w:r>
              <w:rPr>
                <w:rFonts w:ascii="仿宋_GB2312" w:hAnsi="仿宋_GB2312" w:cs="仿宋_GB2312" w:eastAsia="仿宋_GB2312"/>
                <w:sz w:val="20"/>
              </w:rPr>
              <w:t>GM/T 0031-2014</w:t>
            </w:r>
            <w:r>
              <w:rPr>
                <w:rFonts w:ascii="仿宋_GB2312" w:hAnsi="仿宋_GB2312" w:cs="仿宋_GB2312" w:eastAsia="仿宋_GB2312"/>
                <w:sz w:val="20"/>
              </w:rPr>
              <w:t>《安全电子签章密码技术规范》</w:t>
            </w:r>
          </w:p>
          <w:p>
            <w:pPr>
              <w:pStyle w:val="null3"/>
              <w:jc w:val="both"/>
            </w:pPr>
            <w:r>
              <w:rPr>
                <w:rFonts w:ascii="仿宋_GB2312" w:hAnsi="仿宋_GB2312" w:cs="仿宋_GB2312" w:eastAsia="仿宋_GB2312"/>
                <w:sz w:val="20"/>
              </w:rPr>
              <w:t>GM/T 0032-2014</w:t>
            </w:r>
            <w:r>
              <w:rPr>
                <w:rFonts w:ascii="仿宋_GB2312" w:hAnsi="仿宋_GB2312" w:cs="仿宋_GB2312" w:eastAsia="仿宋_GB2312"/>
                <w:sz w:val="20"/>
              </w:rPr>
              <w:t>《基于角色的授权管理与访问控制技术规范》</w:t>
            </w:r>
          </w:p>
          <w:p>
            <w:pPr>
              <w:pStyle w:val="null3"/>
              <w:jc w:val="both"/>
            </w:pPr>
            <w:r>
              <w:rPr>
                <w:rFonts w:ascii="仿宋_GB2312" w:hAnsi="仿宋_GB2312" w:cs="仿宋_GB2312" w:eastAsia="仿宋_GB2312"/>
                <w:sz w:val="20"/>
              </w:rPr>
              <w:t>GM/T 0033-2014</w:t>
            </w:r>
            <w:r>
              <w:rPr>
                <w:rFonts w:ascii="仿宋_GB2312" w:hAnsi="仿宋_GB2312" w:cs="仿宋_GB2312" w:eastAsia="仿宋_GB2312"/>
                <w:sz w:val="20"/>
              </w:rPr>
              <w:t>《时间戳接口规范》</w:t>
            </w:r>
          </w:p>
          <w:p>
            <w:pPr>
              <w:pStyle w:val="null3"/>
              <w:jc w:val="both"/>
            </w:pPr>
            <w:r>
              <w:rPr>
                <w:rFonts w:ascii="仿宋_GB2312" w:hAnsi="仿宋_GB2312" w:cs="仿宋_GB2312" w:eastAsia="仿宋_GB2312"/>
                <w:sz w:val="20"/>
              </w:rPr>
              <w:t>GM/T 0034-2014</w:t>
            </w:r>
            <w:r>
              <w:rPr>
                <w:rFonts w:ascii="仿宋_GB2312" w:hAnsi="仿宋_GB2312" w:cs="仿宋_GB2312" w:eastAsia="仿宋_GB2312"/>
                <w:sz w:val="20"/>
              </w:rPr>
              <w:t>《基于</w:t>
            </w:r>
            <w:r>
              <w:rPr>
                <w:rFonts w:ascii="仿宋_GB2312" w:hAnsi="仿宋_GB2312" w:cs="仿宋_GB2312" w:eastAsia="仿宋_GB2312"/>
                <w:sz w:val="20"/>
              </w:rPr>
              <w:t>SM2密码算法的证书认证系统密码及其相关安全技术规范》</w:t>
            </w:r>
          </w:p>
          <w:p>
            <w:pPr>
              <w:pStyle w:val="null3"/>
              <w:jc w:val="both"/>
            </w:pPr>
            <w:r>
              <w:rPr>
                <w:rFonts w:ascii="仿宋_GB2312" w:hAnsi="仿宋_GB2312" w:cs="仿宋_GB2312" w:eastAsia="仿宋_GB2312"/>
                <w:sz w:val="20"/>
              </w:rPr>
              <w:t>GM/T 0035.1-2014</w:t>
            </w:r>
            <w:r>
              <w:rPr>
                <w:rFonts w:ascii="仿宋_GB2312" w:hAnsi="仿宋_GB2312" w:cs="仿宋_GB2312" w:eastAsia="仿宋_GB2312"/>
                <w:sz w:val="20"/>
              </w:rPr>
              <w:t>《射频识别系统密码应用技术要求</w:t>
            </w:r>
            <w:r>
              <w:rPr>
                <w:rFonts w:ascii="仿宋_GB2312" w:hAnsi="仿宋_GB2312" w:cs="仿宋_GB2312" w:eastAsia="仿宋_GB2312"/>
                <w:sz w:val="20"/>
              </w:rPr>
              <w:t>第</w:t>
            </w:r>
            <w:r>
              <w:rPr>
                <w:rFonts w:ascii="仿宋_GB2312" w:hAnsi="仿宋_GB2312" w:cs="仿宋_GB2312" w:eastAsia="仿宋_GB2312"/>
                <w:sz w:val="20"/>
              </w:rPr>
              <w:t>1部分：密码安全保护框架及安全级别》</w:t>
            </w:r>
          </w:p>
          <w:p>
            <w:pPr>
              <w:pStyle w:val="null3"/>
              <w:jc w:val="both"/>
            </w:pPr>
            <w:r>
              <w:rPr>
                <w:rFonts w:ascii="仿宋_GB2312" w:hAnsi="仿宋_GB2312" w:cs="仿宋_GB2312" w:eastAsia="仿宋_GB2312"/>
                <w:sz w:val="20"/>
              </w:rPr>
              <w:t>GM/T 0035.2-2014</w:t>
            </w:r>
            <w:r>
              <w:rPr>
                <w:rFonts w:ascii="仿宋_GB2312" w:hAnsi="仿宋_GB2312" w:cs="仿宋_GB2312" w:eastAsia="仿宋_GB2312"/>
                <w:sz w:val="20"/>
              </w:rPr>
              <w:t>《射频识别系统密码应用技术要求</w:t>
            </w:r>
            <w:r>
              <w:rPr>
                <w:rFonts w:ascii="仿宋_GB2312" w:hAnsi="仿宋_GB2312" w:cs="仿宋_GB2312" w:eastAsia="仿宋_GB2312"/>
                <w:sz w:val="20"/>
              </w:rPr>
              <w:t>第</w:t>
            </w:r>
            <w:r>
              <w:rPr>
                <w:rFonts w:ascii="仿宋_GB2312" w:hAnsi="仿宋_GB2312" w:cs="仿宋_GB2312" w:eastAsia="仿宋_GB2312"/>
                <w:sz w:val="20"/>
              </w:rPr>
              <w:t>2部分：电子标签芯片密码应用技术要求》</w:t>
            </w:r>
          </w:p>
          <w:p>
            <w:pPr>
              <w:pStyle w:val="null3"/>
              <w:jc w:val="both"/>
            </w:pPr>
            <w:r>
              <w:rPr>
                <w:rFonts w:ascii="仿宋_GB2312" w:hAnsi="仿宋_GB2312" w:cs="仿宋_GB2312" w:eastAsia="仿宋_GB2312"/>
                <w:sz w:val="20"/>
              </w:rPr>
              <w:t>GM/T 0035.3-2014</w:t>
            </w:r>
            <w:r>
              <w:rPr>
                <w:rFonts w:ascii="仿宋_GB2312" w:hAnsi="仿宋_GB2312" w:cs="仿宋_GB2312" w:eastAsia="仿宋_GB2312"/>
                <w:sz w:val="20"/>
              </w:rPr>
              <w:t>《射频识别系统密码应用技术要求</w:t>
            </w:r>
            <w:r>
              <w:rPr>
                <w:rFonts w:ascii="仿宋_GB2312" w:hAnsi="仿宋_GB2312" w:cs="仿宋_GB2312" w:eastAsia="仿宋_GB2312"/>
                <w:sz w:val="20"/>
              </w:rPr>
              <w:t>第</w:t>
            </w:r>
            <w:r>
              <w:rPr>
                <w:rFonts w:ascii="仿宋_GB2312" w:hAnsi="仿宋_GB2312" w:cs="仿宋_GB2312" w:eastAsia="仿宋_GB2312"/>
                <w:sz w:val="20"/>
              </w:rPr>
              <w:t>3部分：读写器密码应用技术要求》</w:t>
            </w:r>
          </w:p>
          <w:p>
            <w:pPr>
              <w:pStyle w:val="null3"/>
              <w:jc w:val="both"/>
            </w:pPr>
            <w:r>
              <w:rPr>
                <w:rFonts w:ascii="仿宋_GB2312" w:hAnsi="仿宋_GB2312" w:cs="仿宋_GB2312" w:eastAsia="仿宋_GB2312"/>
                <w:sz w:val="20"/>
              </w:rPr>
              <w:t>GM/T 0035.4-2014</w:t>
            </w:r>
            <w:r>
              <w:rPr>
                <w:rFonts w:ascii="仿宋_GB2312" w:hAnsi="仿宋_GB2312" w:cs="仿宋_GB2312" w:eastAsia="仿宋_GB2312"/>
                <w:sz w:val="20"/>
              </w:rPr>
              <w:t>《射频识别系统密码应用技术要求</w:t>
            </w:r>
            <w:r>
              <w:rPr>
                <w:rFonts w:ascii="仿宋_GB2312" w:hAnsi="仿宋_GB2312" w:cs="仿宋_GB2312" w:eastAsia="仿宋_GB2312"/>
                <w:sz w:val="20"/>
              </w:rPr>
              <w:t>第</w:t>
            </w:r>
            <w:r>
              <w:rPr>
                <w:rFonts w:ascii="仿宋_GB2312" w:hAnsi="仿宋_GB2312" w:cs="仿宋_GB2312" w:eastAsia="仿宋_GB2312"/>
                <w:sz w:val="20"/>
              </w:rPr>
              <w:t>4部分：电子标签与读写器通信密码应用技术要求》</w:t>
            </w:r>
          </w:p>
          <w:p>
            <w:pPr>
              <w:pStyle w:val="null3"/>
              <w:jc w:val="both"/>
            </w:pPr>
            <w:r>
              <w:rPr>
                <w:rFonts w:ascii="仿宋_GB2312" w:hAnsi="仿宋_GB2312" w:cs="仿宋_GB2312" w:eastAsia="仿宋_GB2312"/>
                <w:sz w:val="20"/>
              </w:rPr>
              <w:t>GM/T 0035.5-2014</w:t>
            </w:r>
            <w:r>
              <w:rPr>
                <w:rFonts w:ascii="仿宋_GB2312" w:hAnsi="仿宋_GB2312" w:cs="仿宋_GB2312" w:eastAsia="仿宋_GB2312"/>
                <w:sz w:val="20"/>
              </w:rPr>
              <w:t>《射频识别系统密码应用技术要求</w:t>
            </w:r>
            <w:r>
              <w:rPr>
                <w:rFonts w:ascii="仿宋_GB2312" w:hAnsi="仿宋_GB2312" w:cs="仿宋_GB2312" w:eastAsia="仿宋_GB2312"/>
                <w:sz w:val="20"/>
              </w:rPr>
              <w:t>第</w:t>
            </w:r>
            <w:r>
              <w:rPr>
                <w:rFonts w:ascii="仿宋_GB2312" w:hAnsi="仿宋_GB2312" w:cs="仿宋_GB2312" w:eastAsia="仿宋_GB2312"/>
                <w:sz w:val="20"/>
              </w:rPr>
              <w:t>5部分：密钥管理技术要求》</w:t>
            </w:r>
          </w:p>
          <w:p>
            <w:pPr>
              <w:pStyle w:val="null3"/>
              <w:jc w:val="both"/>
            </w:pPr>
            <w:r>
              <w:rPr>
                <w:rFonts w:ascii="仿宋_GB2312" w:hAnsi="仿宋_GB2312" w:cs="仿宋_GB2312" w:eastAsia="仿宋_GB2312"/>
                <w:sz w:val="20"/>
              </w:rPr>
              <w:t>GM/T 0036-2014</w:t>
            </w:r>
            <w:r>
              <w:rPr>
                <w:rFonts w:ascii="仿宋_GB2312" w:hAnsi="仿宋_GB2312" w:cs="仿宋_GB2312" w:eastAsia="仿宋_GB2312"/>
                <w:sz w:val="20"/>
              </w:rPr>
              <w:t>《采用非接触卡的门禁系统密码应用技术指南》</w:t>
            </w:r>
          </w:p>
          <w:p>
            <w:pPr>
              <w:pStyle w:val="null3"/>
              <w:jc w:val="both"/>
            </w:pPr>
            <w:r>
              <w:rPr>
                <w:rFonts w:ascii="仿宋_GB2312" w:hAnsi="仿宋_GB2312" w:cs="仿宋_GB2312" w:eastAsia="仿宋_GB2312"/>
                <w:sz w:val="20"/>
              </w:rPr>
              <w:t>GM/T 0037-2014</w:t>
            </w:r>
            <w:r>
              <w:rPr>
                <w:rFonts w:ascii="仿宋_GB2312" w:hAnsi="仿宋_GB2312" w:cs="仿宋_GB2312" w:eastAsia="仿宋_GB2312"/>
                <w:sz w:val="20"/>
              </w:rPr>
              <w:t>《证书认证系统检测规范》</w:t>
            </w:r>
          </w:p>
          <w:p>
            <w:pPr>
              <w:pStyle w:val="null3"/>
              <w:jc w:val="both"/>
            </w:pPr>
            <w:r>
              <w:rPr>
                <w:rFonts w:ascii="仿宋_GB2312" w:hAnsi="仿宋_GB2312" w:cs="仿宋_GB2312" w:eastAsia="仿宋_GB2312"/>
                <w:sz w:val="20"/>
              </w:rPr>
              <w:t>GM/T 0038-2014</w:t>
            </w:r>
            <w:r>
              <w:rPr>
                <w:rFonts w:ascii="仿宋_GB2312" w:hAnsi="仿宋_GB2312" w:cs="仿宋_GB2312" w:eastAsia="仿宋_GB2312"/>
                <w:sz w:val="20"/>
              </w:rPr>
              <w:t>《证书认证密钥管理系统检测规范》</w:t>
            </w:r>
          </w:p>
          <w:p>
            <w:pPr>
              <w:pStyle w:val="null3"/>
              <w:jc w:val="both"/>
            </w:pPr>
            <w:r>
              <w:rPr>
                <w:rFonts w:ascii="仿宋_GB2312" w:hAnsi="仿宋_GB2312" w:cs="仿宋_GB2312" w:eastAsia="仿宋_GB2312"/>
                <w:sz w:val="20"/>
              </w:rPr>
              <w:t>GM/T 0039-2015</w:t>
            </w:r>
            <w:r>
              <w:rPr>
                <w:rFonts w:ascii="仿宋_GB2312" w:hAnsi="仿宋_GB2312" w:cs="仿宋_GB2312" w:eastAsia="仿宋_GB2312"/>
                <w:sz w:val="20"/>
              </w:rPr>
              <w:t>《密码模块安全检测要求》</w:t>
            </w:r>
          </w:p>
          <w:p>
            <w:pPr>
              <w:pStyle w:val="null3"/>
              <w:jc w:val="both"/>
            </w:pPr>
            <w:r>
              <w:rPr>
                <w:rFonts w:ascii="仿宋_GB2312" w:hAnsi="仿宋_GB2312" w:cs="仿宋_GB2312" w:eastAsia="仿宋_GB2312"/>
                <w:sz w:val="20"/>
              </w:rPr>
              <w:t>GM/T 0040-2015</w:t>
            </w:r>
            <w:r>
              <w:rPr>
                <w:rFonts w:ascii="仿宋_GB2312" w:hAnsi="仿宋_GB2312" w:cs="仿宋_GB2312" w:eastAsia="仿宋_GB2312"/>
                <w:sz w:val="20"/>
              </w:rPr>
              <w:t>《射频识别标签模块密码检测准则》</w:t>
            </w:r>
          </w:p>
          <w:p>
            <w:pPr>
              <w:pStyle w:val="null3"/>
              <w:jc w:val="both"/>
            </w:pPr>
            <w:r>
              <w:rPr>
                <w:rFonts w:ascii="仿宋_GB2312" w:hAnsi="仿宋_GB2312" w:cs="仿宋_GB2312" w:eastAsia="仿宋_GB2312"/>
                <w:sz w:val="20"/>
              </w:rPr>
              <w:t>GM/T 0041-2015</w:t>
            </w:r>
            <w:r>
              <w:rPr>
                <w:rFonts w:ascii="仿宋_GB2312" w:hAnsi="仿宋_GB2312" w:cs="仿宋_GB2312" w:eastAsia="仿宋_GB2312"/>
                <w:sz w:val="20"/>
              </w:rPr>
              <w:t>《智能</w:t>
            </w:r>
            <w:r>
              <w:rPr>
                <w:rFonts w:ascii="仿宋_GB2312" w:hAnsi="仿宋_GB2312" w:cs="仿宋_GB2312" w:eastAsia="仿宋_GB2312"/>
                <w:sz w:val="20"/>
              </w:rPr>
              <w:t>IC卡密码检测规范》</w:t>
            </w:r>
          </w:p>
          <w:p>
            <w:pPr>
              <w:pStyle w:val="null3"/>
              <w:jc w:val="both"/>
            </w:pPr>
            <w:r>
              <w:rPr>
                <w:rFonts w:ascii="仿宋_GB2312" w:hAnsi="仿宋_GB2312" w:cs="仿宋_GB2312" w:eastAsia="仿宋_GB2312"/>
                <w:sz w:val="20"/>
              </w:rPr>
              <w:t>GM/T 0042-2015</w:t>
            </w:r>
            <w:r>
              <w:rPr>
                <w:rFonts w:ascii="仿宋_GB2312" w:hAnsi="仿宋_GB2312" w:cs="仿宋_GB2312" w:eastAsia="仿宋_GB2312"/>
                <w:sz w:val="20"/>
              </w:rPr>
              <w:t>《三元对等密码安全协议测试规范》</w:t>
            </w:r>
          </w:p>
          <w:p>
            <w:pPr>
              <w:pStyle w:val="null3"/>
              <w:jc w:val="both"/>
            </w:pPr>
            <w:r>
              <w:rPr>
                <w:rFonts w:ascii="仿宋_GB2312" w:hAnsi="仿宋_GB2312" w:cs="仿宋_GB2312" w:eastAsia="仿宋_GB2312"/>
                <w:sz w:val="20"/>
              </w:rPr>
              <w:t>GM/T 0043-2015</w:t>
            </w:r>
            <w:r>
              <w:rPr>
                <w:rFonts w:ascii="仿宋_GB2312" w:hAnsi="仿宋_GB2312" w:cs="仿宋_GB2312" w:eastAsia="仿宋_GB2312"/>
                <w:sz w:val="20"/>
              </w:rPr>
              <w:t>《数字证书互操作检测规范》</w:t>
            </w:r>
          </w:p>
          <w:p>
            <w:pPr>
              <w:pStyle w:val="null3"/>
              <w:jc w:val="both"/>
            </w:pPr>
            <w:r>
              <w:rPr>
                <w:rFonts w:ascii="仿宋_GB2312" w:hAnsi="仿宋_GB2312" w:cs="仿宋_GB2312" w:eastAsia="仿宋_GB2312"/>
                <w:sz w:val="20"/>
              </w:rPr>
              <w:t>GM/T 0044-2016</w:t>
            </w:r>
            <w:r>
              <w:rPr>
                <w:rFonts w:ascii="仿宋_GB2312" w:hAnsi="仿宋_GB2312" w:cs="仿宋_GB2312" w:eastAsia="仿宋_GB2312"/>
                <w:sz w:val="20"/>
              </w:rPr>
              <w:t>《</w:t>
            </w:r>
            <w:r>
              <w:rPr>
                <w:rFonts w:ascii="仿宋_GB2312" w:hAnsi="仿宋_GB2312" w:cs="仿宋_GB2312" w:eastAsia="仿宋_GB2312"/>
                <w:sz w:val="20"/>
              </w:rPr>
              <w:t>SM9标识密码算法》</w:t>
            </w:r>
          </w:p>
          <w:p>
            <w:pPr>
              <w:pStyle w:val="null3"/>
              <w:jc w:val="both"/>
            </w:pPr>
            <w:r>
              <w:rPr>
                <w:rFonts w:ascii="仿宋_GB2312" w:hAnsi="仿宋_GB2312" w:cs="仿宋_GB2312" w:eastAsia="仿宋_GB2312"/>
                <w:sz w:val="20"/>
              </w:rPr>
              <w:t>GM/T 0045-2016</w:t>
            </w:r>
            <w:r>
              <w:rPr>
                <w:rFonts w:ascii="仿宋_GB2312" w:hAnsi="仿宋_GB2312" w:cs="仿宋_GB2312" w:eastAsia="仿宋_GB2312"/>
                <w:sz w:val="20"/>
              </w:rPr>
              <w:t>《金融数据密码机技术规范》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技术要求</w:t>
            </w:r>
          </w:p>
          <w:p>
            <w:pPr>
              <w:pStyle w:val="null3"/>
              <w:jc w:val="both"/>
            </w:pPr>
            <w:r>
              <w:rPr>
                <w:rFonts w:ascii="仿宋_GB2312" w:hAnsi="仿宋_GB2312" w:cs="仿宋_GB2312" w:eastAsia="仿宋_GB2312"/>
                <w:sz w:val="20"/>
              </w:rPr>
              <w:t>1、商用密码应用安全性评估技术要求；</w:t>
            </w:r>
          </w:p>
          <w:p>
            <w:pPr>
              <w:pStyle w:val="null3"/>
              <w:jc w:val="both"/>
            </w:pPr>
            <w:r>
              <w:rPr>
                <w:rFonts w:ascii="仿宋_GB2312" w:hAnsi="仿宋_GB2312" w:cs="仿宋_GB2312" w:eastAsia="仿宋_GB2312"/>
                <w:sz w:val="20"/>
              </w:rPr>
              <w:t>商用密码应用安全性评估工作依据《信息安全技术信息系统密码应用基本要求》、《信息系统密码应用测评要求》、《信息系统密码应用测评过程指南》标准，工作过程分为四项基本测评活动：测评准备活动、方案编制活动、现场测评活动、分析与报告编制活动。测评双方之间的沟通与洽谈贯穿整个测评过程。</w:t>
            </w:r>
          </w:p>
          <w:p>
            <w:pPr>
              <w:pStyle w:val="null3"/>
              <w:jc w:val="both"/>
            </w:pPr>
            <w:r>
              <w:rPr>
                <w:rFonts w:ascii="仿宋_GB2312" w:hAnsi="仿宋_GB2312" w:cs="仿宋_GB2312" w:eastAsia="仿宋_GB2312"/>
                <w:sz w:val="20"/>
              </w:rPr>
              <w:t>测评准备活动：本活动是开展测评工作的前提和基础，本活动的主要任务是掌握被测系统的详细情况，准备测评工具，为编制测评方案做好准备。</w:t>
            </w:r>
          </w:p>
          <w:p>
            <w:pPr>
              <w:pStyle w:val="null3"/>
              <w:jc w:val="both"/>
            </w:pPr>
            <w:r>
              <w:rPr>
                <w:rFonts w:ascii="仿宋_GB2312" w:hAnsi="仿宋_GB2312" w:cs="仿宋_GB2312" w:eastAsia="仿宋_GB2312"/>
                <w:sz w:val="20"/>
              </w:rPr>
              <w:t>方案编制活动：本活动是开展测评工作的关键活动，本活动的主要任务是确定与被测系统相适应的测评对象、测评指标及测评内容等，形成测评方案，为实施现场测评提供依据。</w:t>
            </w:r>
          </w:p>
          <w:p>
            <w:pPr>
              <w:pStyle w:val="null3"/>
              <w:jc w:val="both"/>
            </w:pPr>
            <w:r>
              <w:rPr>
                <w:rFonts w:ascii="仿宋_GB2312" w:hAnsi="仿宋_GB2312" w:cs="仿宋_GB2312" w:eastAsia="仿宋_GB2312"/>
                <w:sz w:val="20"/>
              </w:rPr>
              <w:t>现场测评活动：本活动是开展测评工作的核心活动。主要任务是按照测评方案的总体要求，分步实施所有测评项目，包括单项测评、测评单元和整体测评等方面，以了解系统的真实保护情况，获取足够证据，发现系统存在的密码应用安全性问题。</w:t>
            </w:r>
          </w:p>
          <w:p>
            <w:pPr>
              <w:pStyle w:val="null3"/>
              <w:jc w:val="both"/>
            </w:pPr>
            <w:r>
              <w:rPr>
                <w:rFonts w:ascii="仿宋_GB2312" w:hAnsi="仿宋_GB2312" w:cs="仿宋_GB2312" w:eastAsia="仿宋_GB2312"/>
                <w:sz w:val="20"/>
              </w:rPr>
              <w:t>分析与报告编制活动：本活动是给出测评工作结果的活动，是总结被测系统商用密码整体安全保护能力的综合评价活动。本活动的主要任务是根据现场测评结果和《信息系统密码应用基本要求》等文件的有关要求，通过单项测评结果判定、测评单元结果判定、整体测评和风险分析等方法，找出整个系统商用密码的安全保护现状与相应等级的保护要求之间的差距，并分析这些差距导致被测系统面临的风险，从而给出测评结论，形成测评报告文本。</w:t>
            </w:r>
          </w:p>
          <w:p>
            <w:pPr>
              <w:pStyle w:val="null3"/>
              <w:jc w:val="both"/>
            </w:pPr>
            <w:r>
              <w:rPr>
                <w:rFonts w:ascii="仿宋_GB2312" w:hAnsi="仿宋_GB2312" w:cs="仿宋_GB2312" w:eastAsia="仿宋_GB2312"/>
                <w:sz w:val="20"/>
              </w:rPr>
              <w:t>整改咨询阶段：建设整改咨询工作以测评发现的问题为重点，编写信息系统密码测评整改建议；开展建设整改工作时，投标人提供建设整改相关的咨询服务。</w:t>
            </w:r>
          </w:p>
          <w:p>
            <w:pPr>
              <w:pStyle w:val="null3"/>
              <w:jc w:val="both"/>
            </w:pPr>
            <w:r>
              <w:rPr>
                <w:rFonts w:ascii="仿宋_GB2312" w:hAnsi="仿宋_GB2312" w:cs="仿宋_GB2312" w:eastAsia="仿宋_GB2312"/>
                <w:sz w:val="20"/>
              </w:rPr>
              <w:t>2、其他要求；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1）服务资格要求：</w:t>
            </w:r>
            <w:r>
              <w:rPr>
                <w:rFonts w:ascii="仿宋_GB2312" w:hAnsi="仿宋_GB2312" w:cs="仿宋_GB2312" w:eastAsia="仿宋_GB2312"/>
                <w:sz w:val="20"/>
              </w:rPr>
              <w:t>供应商须在国家密码管理局第</w:t>
            </w:r>
            <w:r>
              <w:rPr>
                <w:rFonts w:ascii="仿宋_GB2312" w:hAnsi="仿宋_GB2312" w:cs="仿宋_GB2312" w:eastAsia="仿宋_GB2312"/>
                <w:sz w:val="20"/>
              </w:rPr>
              <w:t>49号公告《商用密码检测机构(商用密码应用安全性评估业务)目录》内。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服务质量保证：测评机构应能根据质量体系要求建立科学的质量保证体系，从人员配备、工具保障以及科学的测评方法论、工作过程等多方面保证项目实施过程的质量。并在重要环节进行文档评审，保证报告结论准确性。</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3）测评工具配备：要求在测评工作过程中配备专用测评工具，投标人应提供工具采购证明材料。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4）测评人员要求：本项目的测评人员需具有1年以上测评工作经验，项目负责人</w:t>
            </w:r>
            <w:r>
              <w:rPr>
                <w:rFonts w:ascii="仿宋_GB2312" w:hAnsi="仿宋_GB2312" w:cs="仿宋_GB2312" w:eastAsia="仿宋_GB2312"/>
                <w:sz w:val="20"/>
              </w:rPr>
              <w:t>或</w:t>
            </w:r>
            <w:r>
              <w:rPr>
                <w:rFonts w:ascii="仿宋_GB2312" w:hAnsi="仿宋_GB2312" w:cs="仿宋_GB2312" w:eastAsia="仿宋_GB2312"/>
                <w:sz w:val="20"/>
              </w:rPr>
              <w:t>质量负责人</w:t>
            </w:r>
            <w:r>
              <w:rPr>
                <w:rFonts w:ascii="仿宋_GB2312" w:hAnsi="仿宋_GB2312" w:cs="仿宋_GB2312" w:eastAsia="仿宋_GB2312"/>
                <w:sz w:val="20"/>
              </w:rPr>
              <w:t>必须具备丰富的安全服务经验及相关资质认证，并提供人员配备方案，并确保人员稳定。如需更换测评人员，须由招标单位同意。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5）测评人员配备：本项目要求测评人员不少于5人，项目经理与项目组成员要求具备“商用密码应用安全性评估人员测评能力考核合格证书”。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6）项目保密要求：a.采购人应严格遵守采购单位有关保密规定，不得泄漏相关系统的一切信息。</w:t>
            </w:r>
          </w:p>
          <w:p>
            <w:pPr>
              <w:pStyle w:val="null3"/>
              <w:jc w:val="both"/>
            </w:pPr>
            <w:r>
              <w:rPr>
                <w:rFonts w:ascii="仿宋_GB2312" w:hAnsi="仿宋_GB2312" w:cs="仿宋_GB2312" w:eastAsia="仿宋_GB2312"/>
                <w:sz w:val="20"/>
              </w:rPr>
              <w:t>b.采购人要对项目进行深入细致调研，并结合实际对测评方案进行完善。在测评过程中，采购人需保证工具测试过程中不影响系统正常运行，并保证网络拓扑、IP地址等信息不被泄露。</w:t>
            </w:r>
          </w:p>
          <w:p>
            <w:pPr>
              <w:pStyle w:val="null3"/>
              <w:jc w:val="both"/>
            </w:pPr>
            <w:r>
              <w:rPr>
                <w:rFonts w:ascii="仿宋_GB2312" w:hAnsi="仿宋_GB2312" w:cs="仿宋_GB2312" w:eastAsia="仿宋_GB2312"/>
                <w:sz w:val="20"/>
              </w:rPr>
              <w:t>c.在技术服务期间，采购人对接触到的有关采购单位商业活动、技术情报和技术资料等文件进行保密。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rPr>
              <w:t>四、成果验收及资料提交</w:t>
            </w:r>
          </w:p>
          <w:p>
            <w:pPr>
              <w:pStyle w:val="null3"/>
              <w:jc w:val="both"/>
            </w:pPr>
            <w:r>
              <w:rPr>
                <w:rFonts w:ascii="仿宋_GB2312" w:hAnsi="仿宋_GB2312" w:cs="仿宋_GB2312" w:eastAsia="仿宋_GB2312"/>
                <w:sz w:val="20"/>
              </w:rPr>
              <w:t>由采购人统一组织，采购人与相关人员组成验收小组完成验收。双方根据最终验收情况，编写验收报告。</w:t>
            </w:r>
          </w:p>
          <w:p>
            <w:pPr>
              <w:pStyle w:val="null3"/>
              <w:jc w:val="both"/>
            </w:pPr>
            <w:r>
              <w:rPr>
                <w:rFonts w:ascii="仿宋_GB2312" w:hAnsi="仿宋_GB2312" w:cs="仿宋_GB2312" w:eastAsia="仿宋_GB2312"/>
                <w:sz w:val="20"/>
              </w:rPr>
              <w:t>中标人应完成项目验收资料的准备，根据实际应用系统情况并出具《系统商用密码应用安全整改建议》，协助用户单位进行问题整改，整改后进行复测评工作，出具《商用密码应用安全性评估报告》并取得主管单位出具的《密评结果备案材料接受回执》。</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标的名称：陕西省传染病监测预警与应急指挥信息平台第三方软件测试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一、采购内容</w:t>
            </w:r>
          </w:p>
          <w:p>
            <w:pPr>
              <w:pStyle w:val="null3"/>
              <w:jc w:val="both"/>
            </w:pPr>
            <w:r>
              <w:rPr>
                <w:rFonts w:ascii="仿宋_GB2312" w:hAnsi="仿宋_GB2312" w:cs="仿宋_GB2312" w:eastAsia="仿宋_GB2312"/>
                <w:sz w:val="20"/>
              </w:rPr>
              <w:t>需检测的业务系统范围主要包括：</w:t>
            </w:r>
            <w:r>
              <w:rPr>
                <w:rFonts w:ascii="仿宋_GB2312" w:hAnsi="仿宋_GB2312" w:cs="仿宋_GB2312" w:eastAsia="仿宋_GB2312"/>
                <w:sz w:val="20"/>
              </w:rPr>
              <w:t>传染病多渠道监测系统、智慧预警、应急指挥、应急作业、计划免疫系统、综合管理系统本项目测试内容主要针对以上系统开展功能测试、性能测试、接口测试等。</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）功能测试要求</w:t>
            </w:r>
          </w:p>
          <w:p>
            <w:pPr>
              <w:pStyle w:val="null3"/>
              <w:jc w:val="both"/>
            </w:pPr>
            <w:r>
              <w:rPr>
                <w:rFonts w:ascii="仿宋_GB2312" w:hAnsi="仿宋_GB2312" w:cs="仿宋_GB2312" w:eastAsia="仿宋_GB2312"/>
                <w:sz w:val="20"/>
              </w:rPr>
              <w:t>1. 目的</w:t>
            </w:r>
          </w:p>
          <w:p>
            <w:pPr>
              <w:pStyle w:val="null3"/>
              <w:jc w:val="both"/>
            </w:pPr>
            <w:r>
              <w:rPr>
                <w:rFonts w:ascii="仿宋_GB2312" w:hAnsi="仿宋_GB2312" w:cs="仿宋_GB2312" w:eastAsia="仿宋_GB2312"/>
                <w:sz w:val="20"/>
              </w:rPr>
              <w:t>验证系统功能是否符合要求、是否覆盖系统需求文档、系统设计文档中的各个功能点、是否都实现正确。</w:t>
            </w:r>
          </w:p>
          <w:p>
            <w:pPr>
              <w:pStyle w:val="null3"/>
              <w:jc w:val="both"/>
            </w:pPr>
            <w:r>
              <w:rPr>
                <w:rFonts w:ascii="仿宋_GB2312" w:hAnsi="仿宋_GB2312" w:cs="仿宋_GB2312" w:eastAsia="仿宋_GB2312"/>
                <w:sz w:val="20"/>
              </w:rPr>
              <w:t>2.范围</w:t>
            </w:r>
          </w:p>
          <w:p>
            <w:pPr>
              <w:pStyle w:val="null3"/>
              <w:jc w:val="both"/>
            </w:pPr>
            <w:r>
              <w:rPr>
                <w:rFonts w:ascii="仿宋_GB2312" w:hAnsi="仿宋_GB2312" w:cs="仿宋_GB2312" w:eastAsia="仿宋_GB2312"/>
                <w:sz w:val="20"/>
              </w:rPr>
              <w:t>主要包含但不限于以下测试内容：</w:t>
            </w:r>
          </w:p>
          <w:p>
            <w:pPr>
              <w:pStyle w:val="null3"/>
              <w:jc w:val="both"/>
            </w:pPr>
            <w:r>
              <w:rPr>
                <w:rFonts w:ascii="仿宋_GB2312" w:hAnsi="仿宋_GB2312" w:cs="仿宋_GB2312" w:eastAsia="仿宋_GB2312"/>
                <w:sz w:val="20"/>
              </w:rPr>
              <w:t>(1) 基本功能类测试：主要验证各基础功能模块是否实现正确。</w:t>
            </w:r>
          </w:p>
          <w:p>
            <w:pPr>
              <w:pStyle w:val="null3"/>
              <w:jc w:val="both"/>
            </w:pPr>
            <w:r>
              <w:rPr>
                <w:rFonts w:ascii="仿宋_GB2312" w:hAnsi="仿宋_GB2312" w:cs="仿宋_GB2312" w:eastAsia="仿宋_GB2312"/>
                <w:sz w:val="20"/>
              </w:rPr>
              <w:t>(2) 后台管理类测试：主要验证人员权限分配、参数设置、报表查询、数据统计、操作日志等功能是否实现正确。</w:t>
            </w:r>
          </w:p>
          <w:p>
            <w:pPr>
              <w:pStyle w:val="null3"/>
              <w:jc w:val="both"/>
            </w:pPr>
            <w:r>
              <w:rPr>
                <w:rFonts w:ascii="仿宋_GB2312" w:hAnsi="仿宋_GB2312" w:cs="仿宋_GB2312" w:eastAsia="仿宋_GB2312"/>
                <w:sz w:val="20"/>
              </w:rPr>
              <w:t>(3) 核心业务流程类测试：主要验证数据信息流向是否正确。</w:t>
            </w:r>
          </w:p>
          <w:p>
            <w:pPr>
              <w:pStyle w:val="null3"/>
              <w:jc w:val="both"/>
            </w:pPr>
            <w:r>
              <w:rPr>
                <w:rFonts w:ascii="仿宋_GB2312" w:hAnsi="仿宋_GB2312" w:cs="仿宋_GB2312" w:eastAsia="仿宋_GB2312"/>
                <w:sz w:val="20"/>
              </w:rPr>
              <w:t>(4) 渠道业务功能测试：主要验证渠道权限、渠道管理、渠道监控等功能是否正确。</w:t>
            </w:r>
          </w:p>
          <w:p>
            <w:pPr>
              <w:pStyle w:val="null3"/>
              <w:jc w:val="both"/>
            </w:pPr>
            <w:r>
              <w:rPr>
                <w:rFonts w:ascii="仿宋_GB2312" w:hAnsi="仿宋_GB2312" w:cs="仿宋_GB2312" w:eastAsia="仿宋_GB2312"/>
                <w:sz w:val="20"/>
              </w:rPr>
              <w:t>(5) 身份认证及访问控制类测试：主要是验证系统用户的身份鉴别功能、访问控制功能是否正确。</w:t>
            </w:r>
          </w:p>
          <w:p>
            <w:pPr>
              <w:pStyle w:val="null3"/>
              <w:jc w:val="both"/>
            </w:pPr>
            <w:r>
              <w:rPr>
                <w:rFonts w:ascii="仿宋_GB2312" w:hAnsi="仿宋_GB2312" w:cs="仿宋_GB2312" w:eastAsia="仿宋_GB2312"/>
                <w:sz w:val="20"/>
              </w:rPr>
              <w:t>(6) 人机交互类测试：主要验证人机操作、界面显示、消息提示等功能能否正确。</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性能测试要求</w:t>
            </w:r>
          </w:p>
          <w:p>
            <w:pPr>
              <w:pStyle w:val="null3"/>
              <w:jc w:val="both"/>
            </w:pPr>
            <w:r>
              <w:rPr>
                <w:rFonts w:ascii="仿宋_GB2312" w:hAnsi="仿宋_GB2312" w:cs="仿宋_GB2312" w:eastAsia="仿宋_GB2312"/>
                <w:sz w:val="20"/>
              </w:rPr>
              <w:t>1. 目的</w:t>
            </w:r>
          </w:p>
          <w:p>
            <w:pPr>
              <w:pStyle w:val="null3"/>
              <w:jc w:val="both"/>
            </w:pPr>
            <w:r>
              <w:rPr>
                <w:rFonts w:ascii="仿宋_GB2312" w:hAnsi="仿宋_GB2312" w:cs="仿宋_GB2312" w:eastAsia="仿宋_GB2312"/>
                <w:sz w:val="20"/>
              </w:rPr>
              <w:t>验证系统技术文档中提出的各项性能指标是否满足性能需求。</w:t>
            </w:r>
          </w:p>
          <w:p>
            <w:pPr>
              <w:pStyle w:val="null3"/>
              <w:jc w:val="both"/>
            </w:pPr>
            <w:r>
              <w:rPr>
                <w:rFonts w:ascii="仿宋_GB2312" w:hAnsi="仿宋_GB2312" w:cs="仿宋_GB2312" w:eastAsia="仿宋_GB2312"/>
                <w:sz w:val="20"/>
              </w:rPr>
              <w:t>2.范围</w:t>
            </w:r>
          </w:p>
          <w:p>
            <w:pPr>
              <w:pStyle w:val="null3"/>
              <w:jc w:val="both"/>
            </w:pPr>
            <w:r>
              <w:rPr>
                <w:rFonts w:ascii="仿宋_GB2312" w:hAnsi="仿宋_GB2312" w:cs="仿宋_GB2312" w:eastAsia="仿宋_GB2312"/>
                <w:sz w:val="20"/>
              </w:rPr>
              <w:t>主要包含但不限于以下测试内容：</w:t>
            </w:r>
          </w:p>
          <w:p>
            <w:pPr>
              <w:pStyle w:val="null3"/>
              <w:jc w:val="both"/>
            </w:pPr>
            <w:r>
              <w:rPr>
                <w:rFonts w:ascii="仿宋_GB2312" w:hAnsi="仿宋_GB2312" w:cs="仿宋_GB2312" w:eastAsia="仿宋_GB2312"/>
                <w:sz w:val="20"/>
              </w:rPr>
              <w:t>(1) 负载测试：验证的对象包括事务吞吐量、事务响应时间。</w:t>
            </w:r>
          </w:p>
          <w:p>
            <w:pPr>
              <w:pStyle w:val="null3"/>
              <w:jc w:val="both"/>
            </w:pPr>
            <w:r>
              <w:rPr>
                <w:rFonts w:ascii="仿宋_GB2312" w:hAnsi="仿宋_GB2312" w:cs="仿宋_GB2312" w:eastAsia="仿宋_GB2312"/>
                <w:sz w:val="20"/>
              </w:rPr>
              <w:t>(2) 压力测试：通过长时间运行，验证系统资源使用情况是否稳定。</w:t>
            </w:r>
          </w:p>
          <w:p>
            <w:pPr>
              <w:pStyle w:val="null3"/>
              <w:jc w:val="both"/>
            </w:pPr>
            <w:r>
              <w:rPr>
                <w:rFonts w:ascii="仿宋_GB2312" w:hAnsi="仿宋_GB2312" w:cs="仿宋_GB2312" w:eastAsia="仿宋_GB2312"/>
                <w:sz w:val="20"/>
              </w:rPr>
              <w:t>3.轮次要求</w:t>
            </w:r>
          </w:p>
          <w:p>
            <w:pPr>
              <w:pStyle w:val="null3"/>
              <w:jc w:val="both"/>
            </w:pPr>
            <w:r>
              <w:rPr>
                <w:rFonts w:ascii="仿宋_GB2312" w:hAnsi="仿宋_GB2312" w:cs="仿宋_GB2312" w:eastAsia="仿宋_GB2312"/>
                <w:sz w:val="20"/>
              </w:rPr>
              <w:t>回归验证</w:t>
            </w:r>
            <w:r>
              <w:rPr>
                <w:rFonts w:ascii="仿宋_GB2312" w:hAnsi="仿宋_GB2312" w:cs="仿宋_GB2312" w:eastAsia="仿宋_GB2312"/>
                <w:sz w:val="20"/>
              </w:rPr>
              <w:t>1轮。</w:t>
            </w:r>
          </w:p>
          <w:p>
            <w:pPr>
              <w:pStyle w:val="null3"/>
              <w:jc w:val="both"/>
            </w:pPr>
            <w:r>
              <w:rPr>
                <w:rFonts w:ascii="仿宋_GB2312" w:hAnsi="仿宋_GB2312" w:cs="仿宋_GB2312" w:eastAsia="仿宋_GB2312"/>
                <w:sz w:val="20"/>
              </w:rPr>
              <w:t>4.通过标准（包括但不限于以下要求）</w:t>
            </w:r>
          </w:p>
          <w:p>
            <w:pPr>
              <w:pStyle w:val="null3"/>
              <w:jc w:val="both"/>
            </w:pPr>
            <w:r>
              <w:rPr>
                <w:rFonts w:ascii="仿宋_GB2312" w:hAnsi="仿宋_GB2312" w:cs="仿宋_GB2312" w:eastAsia="仿宋_GB2312"/>
                <w:sz w:val="20"/>
              </w:rPr>
              <w:t>(1) 所有测试场景100%测试完成；</w:t>
            </w:r>
          </w:p>
          <w:p>
            <w:pPr>
              <w:pStyle w:val="null3"/>
              <w:jc w:val="both"/>
            </w:pPr>
            <w:r>
              <w:rPr>
                <w:rFonts w:ascii="仿宋_GB2312" w:hAnsi="仿宋_GB2312" w:cs="仿宋_GB2312" w:eastAsia="仿宋_GB2312"/>
                <w:sz w:val="20"/>
              </w:rPr>
              <w:t>(2) 给出所要求性能指标实际测试结果；</w:t>
            </w:r>
          </w:p>
          <w:p>
            <w:pPr>
              <w:pStyle w:val="null3"/>
              <w:jc w:val="both"/>
            </w:pPr>
            <w:r>
              <w:rPr>
                <w:rFonts w:ascii="仿宋_GB2312" w:hAnsi="仿宋_GB2312" w:cs="仿宋_GB2312" w:eastAsia="仿宋_GB2312"/>
                <w:sz w:val="20"/>
              </w:rPr>
              <w:t>(3) 对于未达到要求之性能指标给予调优建议；</w:t>
            </w:r>
          </w:p>
          <w:p>
            <w:pPr>
              <w:pStyle w:val="null3"/>
              <w:jc w:val="both"/>
            </w:pPr>
            <w:r>
              <w:rPr>
                <w:rFonts w:ascii="仿宋_GB2312" w:hAnsi="仿宋_GB2312" w:cs="仿宋_GB2312" w:eastAsia="仿宋_GB2312"/>
                <w:sz w:val="20"/>
              </w:rPr>
              <w:t>(4) 如调优仍然无法达到所要求之性能指标，则给出结论。</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接口测试要求</w:t>
            </w:r>
          </w:p>
          <w:p>
            <w:pPr>
              <w:pStyle w:val="null3"/>
              <w:jc w:val="both"/>
            </w:pPr>
            <w:r>
              <w:rPr>
                <w:rFonts w:ascii="仿宋_GB2312" w:hAnsi="仿宋_GB2312" w:cs="仿宋_GB2312" w:eastAsia="仿宋_GB2312"/>
                <w:sz w:val="20"/>
              </w:rPr>
              <w:t>1. 目的</w:t>
            </w:r>
          </w:p>
          <w:p>
            <w:pPr>
              <w:pStyle w:val="null3"/>
              <w:jc w:val="both"/>
            </w:pPr>
            <w:r>
              <w:rPr>
                <w:rFonts w:ascii="仿宋_GB2312" w:hAnsi="仿宋_GB2312" w:cs="仿宋_GB2312" w:eastAsia="仿宋_GB2312"/>
                <w:sz w:val="20"/>
              </w:rPr>
              <w:t>验证系统对外提供的接口是否满足系统需求文档、系统设计文档中的要求，接口字段、接口请求处理及返回结果是否正</w:t>
            </w:r>
            <w:r>
              <w:rPr>
                <w:rFonts w:ascii="仿宋_GB2312" w:hAnsi="仿宋_GB2312" w:cs="仿宋_GB2312" w:eastAsia="仿宋_GB2312"/>
                <w:sz w:val="20"/>
              </w:rPr>
              <w:t>确等，保证系统能够满足接口设计要求。</w:t>
            </w:r>
          </w:p>
          <w:p>
            <w:pPr>
              <w:pStyle w:val="null3"/>
              <w:jc w:val="both"/>
            </w:pPr>
            <w:r>
              <w:rPr>
                <w:rFonts w:ascii="仿宋_GB2312" w:hAnsi="仿宋_GB2312" w:cs="仿宋_GB2312" w:eastAsia="仿宋_GB2312"/>
                <w:sz w:val="20"/>
              </w:rPr>
              <w:t>2.范围</w:t>
            </w:r>
          </w:p>
          <w:p>
            <w:pPr>
              <w:pStyle w:val="null3"/>
              <w:jc w:val="both"/>
            </w:pPr>
            <w:r>
              <w:rPr>
                <w:rFonts w:ascii="仿宋_GB2312" w:hAnsi="仿宋_GB2312" w:cs="仿宋_GB2312" w:eastAsia="仿宋_GB2312"/>
                <w:sz w:val="20"/>
              </w:rPr>
              <w:t>主要包含但不限于以下测试内容：</w:t>
            </w:r>
          </w:p>
          <w:p>
            <w:pPr>
              <w:pStyle w:val="null3"/>
              <w:jc w:val="both"/>
            </w:pPr>
            <w:r>
              <w:rPr>
                <w:rFonts w:ascii="仿宋_GB2312" w:hAnsi="仿宋_GB2312" w:cs="仿宋_GB2312" w:eastAsia="仿宋_GB2312"/>
                <w:sz w:val="20"/>
              </w:rPr>
              <w:t>(1) 接口通信协议；</w:t>
            </w:r>
          </w:p>
          <w:p>
            <w:pPr>
              <w:pStyle w:val="null3"/>
              <w:jc w:val="both"/>
            </w:pPr>
            <w:r>
              <w:rPr>
                <w:rFonts w:ascii="仿宋_GB2312" w:hAnsi="仿宋_GB2312" w:cs="仿宋_GB2312" w:eastAsia="仿宋_GB2312"/>
                <w:sz w:val="20"/>
              </w:rPr>
              <w:t>(2) 接口传输字段；</w:t>
            </w:r>
          </w:p>
          <w:p>
            <w:pPr>
              <w:pStyle w:val="null3"/>
              <w:jc w:val="both"/>
            </w:pPr>
            <w:r>
              <w:rPr>
                <w:rFonts w:ascii="仿宋_GB2312" w:hAnsi="仿宋_GB2312" w:cs="仿宋_GB2312" w:eastAsia="仿宋_GB2312"/>
                <w:sz w:val="20"/>
              </w:rPr>
              <w:t>(3) 接口请求数据；</w:t>
            </w:r>
          </w:p>
          <w:p>
            <w:pPr>
              <w:pStyle w:val="null3"/>
              <w:jc w:val="both"/>
            </w:pPr>
            <w:r>
              <w:rPr>
                <w:rFonts w:ascii="仿宋_GB2312" w:hAnsi="仿宋_GB2312" w:cs="仿宋_GB2312" w:eastAsia="仿宋_GB2312"/>
                <w:sz w:val="20"/>
              </w:rPr>
              <w:t>(4) 接口应答数据；</w:t>
            </w:r>
          </w:p>
          <w:p>
            <w:pPr>
              <w:pStyle w:val="null3"/>
              <w:jc w:val="both"/>
            </w:pPr>
            <w:r>
              <w:rPr>
                <w:rFonts w:ascii="仿宋_GB2312" w:hAnsi="仿宋_GB2312" w:cs="仿宋_GB2312" w:eastAsia="仿宋_GB2312"/>
                <w:sz w:val="20"/>
              </w:rPr>
              <w:t>3. 轮次要求</w:t>
            </w:r>
          </w:p>
          <w:p>
            <w:pPr>
              <w:pStyle w:val="null3"/>
              <w:jc w:val="both"/>
            </w:pPr>
            <w:r>
              <w:rPr>
                <w:rFonts w:ascii="仿宋_GB2312" w:hAnsi="仿宋_GB2312" w:cs="仿宋_GB2312" w:eastAsia="仿宋_GB2312"/>
                <w:sz w:val="20"/>
              </w:rPr>
              <w:t>回归验证</w:t>
            </w:r>
            <w:r>
              <w:rPr>
                <w:rFonts w:ascii="仿宋_GB2312" w:hAnsi="仿宋_GB2312" w:cs="仿宋_GB2312" w:eastAsia="仿宋_GB2312"/>
                <w:sz w:val="20"/>
              </w:rPr>
              <w:t>1轮。</w:t>
            </w:r>
          </w:p>
          <w:p>
            <w:pPr>
              <w:pStyle w:val="null3"/>
              <w:jc w:val="both"/>
            </w:pPr>
            <w:r>
              <w:rPr>
                <w:rFonts w:ascii="仿宋_GB2312" w:hAnsi="仿宋_GB2312" w:cs="仿宋_GB2312" w:eastAsia="仿宋_GB2312"/>
                <w:sz w:val="20"/>
              </w:rPr>
              <w:t>4. 通过标准（包括但不限于以下要求）</w:t>
            </w:r>
          </w:p>
          <w:p>
            <w:pPr>
              <w:pStyle w:val="null3"/>
              <w:jc w:val="both"/>
            </w:pPr>
            <w:r>
              <w:rPr>
                <w:rFonts w:ascii="仿宋_GB2312" w:hAnsi="仿宋_GB2312" w:cs="仿宋_GB2312" w:eastAsia="仿宋_GB2312"/>
                <w:sz w:val="20"/>
              </w:rPr>
              <w:t>(1) 所有测试脚本100%运行完成</w:t>
            </w:r>
          </w:p>
          <w:p>
            <w:pPr>
              <w:pStyle w:val="null3"/>
              <w:jc w:val="both"/>
            </w:pPr>
            <w:r>
              <w:rPr>
                <w:rFonts w:ascii="仿宋_GB2312" w:hAnsi="仿宋_GB2312" w:cs="仿宋_GB2312" w:eastAsia="仿宋_GB2312"/>
                <w:sz w:val="20"/>
              </w:rPr>
              <w:t>(2) 所有接口100%测试完成；</w:t>
            </w:r>
          </w:p>
          <w:p>
            <w:pPr>
              <w:pStyle w:val="null3"/>
              <w:jc w:val="both"/>
            </w:pPr>
            <w:r>
              <w:rPr>
                <w:rFonts w:ascii="仿宋_GB2312" w:hAnsi="仿宋_GB2312" w:cs="仿宋_GB2312" w:eastAsia="仿宋_GB2312"/>
                <w:sz w:val="20"/>
              </w:rPr>
              <w:t>(3) 测试发现的接口缺陷全部修复；</w:t>
            </w:r>
          </w:p>
          <w:p>
            <w:pPr>
              <w:pStyle w:val="null3"/>
              <w:jc w:val="both"/>
            </w:pPr>
            <w:r>
              <w:rPr>
                <w:rFonts w:ascii="仿宋_GB2312" w:hAnsi="仿宋_GB2312" w:cs="仿宋_GB2312" w:eastAsia="仿宋_GB2312"/>
                <w:sz w:val="20"/>
              </w:rPr>
              <w:t>(4) 若存在特殊问题，经过协商处理，达成一致。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测试标准</w:t>
            </w:r>
          </w:p>
          <w:p>
            <w:pPr>
              <w:pStyle w:val="null3"/>
              <w:jc w:val="both"/>
            </w:pPr>
            <w:r>
              <w:rPr>
                <w:rFonts w:ascii="仿宋_GB2312" w:hAnsi="仿宋_GB2312" w:cs="仿宋_GB2312" w:eastAsia="仿宋_GB2312"/>
                <w:sz w:val="20"/>
              </w:rPr>
              <w:t>GB/T 25000.51-2016《系统与软件工程 系统与软件质量要求和评价（SQuaRE）第51部分：就绪可用软件产品（RU SP）的质量要求和测试细则》</w:t>
            </w:r>
          </w:p>
          <w:p>
            <w:pPr>
              <w:pStyle w:val="null3"/>
              <w:jc w:val="both"/>
            </w:pPr>
            <w:r>
              <w:rPr>
                <w:rFonts w:ascii="仿宋_GB2312" w:hAnsi="仿宋_GB2312" w:cs="仿宋_GB2312" w:eastAsia="仿宋_GB2312"/>
                <w:sz w:val="20"/>
              </w:rPr>
              <w:t>（五）</w:t>
            </w:r>
            <w:r>
              <w:rPr>
                <w:rFonts w:ascii="仿宋_GB2312" w:hAnsi="仿宋_GB2312" w:cs="仿宋_GB2312" w:eastAsia="仿宋_GB2312"/>
                <w:sz w:val="20"/>
              </w:rPr>
              <w:t>交付物要求</w:t>
            </w:r>
          </w:p>
          <w:p>
            <w:pPr>
              <w:pStyle w:val="null3"/>
              <w:jc w:val="both"/>
            </w:pPr>
            <w:r>
              <w:rPr>
                <w:rFonts w:ascii="仿宋_GB2312" w:hAnsi="仿宋_GB2312" w:cs="仿宋_GB2312" w:eastAsia="仿宋_GB2312"/>
                <w:sz w:val="20"/>
              </w:rPr>
              <w:t>在提供测试服务的过程中，需向采购人提供的测试交付物为《陕西省传染病监测预警与应急指挥信息平台软件测试报告》</w:t>
            </w:r>
            <w:r>
              <w:rPr>
                <w:rFonts w:ascii="仿宋_GB2312" w:hAnsi="仿宋_GB2312" w:cs="仿宋_GB2312" w:eastAsia="仿宋_GB2312"/>
                <w:sz w:val="20"/>
              </w:rPr>
              <w:t>( 纸质版和电子版）。</w:t>
            </w:r>
          </w:p>
          <w:p>
            <w:pPr>
              <w:pStyle w:val="null3"/>
              <w:jc w:val="both"/>
            </w:pPr>
            <w:r>
              <w:rPr>
                <w:rFonts w:ascii="仿宋_GB2312" w:hAnsi="仿宋_GB2312" w:cs="仿宋_GB2312" w:eastAsia="仿宋_GB2312"/>
                <w:sz w:val="20"/>
              </w:rPr>
              <w:t>（六）验收要求</w:t>
            </w:r>
          </w:p>
          <w:p>
            <w:pPr>
              <w:pStyle w:val="null3"/>
              <w:jc w:val="both"/>
            </w:pPr>
            <w:r>
              <w:rPr>
                <w:rFonts w:ascii="仿宋_GB2312" w:hAnsi="仿宋_GB2312" w:cs="仿宋_GB2312" w:eastAsia="仿宋_GB2312"/>
                <w:sz w:val="20"/>
              </w:rPr>
              <w:t>供应商出具合格、完整、有效的软件测试报告。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满足项目实施需要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满足项目实施需要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项目完成通过验收后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在线提交所有通过电子化交易平台实施的政府采购项目的响应文件，另外，在磋商截止时间前向代理机构递交密封、系统生成的纸质版响应文件贰份（胶装，封袋标注供应商名称和项目名称及所投包号）。代理机构对递交的文件签收，由监标人查验密封情况并记录，开标后交磋商小组，作为评审的辅助资料。递交方式：现场递交，或快递邮寄。 2.供应商请仔细阅读采购文件《第一章 竞争性磋商邀请》第六条“电子化采购相关事项”，提前做好线上开标准备。 3.本项目磋商在采购系统线上进行，供应商需自行了解系统磋商的要求和操作流程。未按流程操作或无法联系以及供应商自身原因错过磋商的视为自动放弃磋商，其投标无效。 4.中小企业： ①是否属于中小企业，供应商按《统计上大中小微型企业划分办法（2017）》（国统字﹝2017﹞213号）软件和信息技术服务业划型标准判定，并承担责任。如判定原则与第六章及附件格式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中小企业。 5.补充说明： （1）本项目磋商一次，磋商后供应商根据磋商内容在规定时间通过交易系统递交磋商响应函，逾期未递交的视为自动放弃竞争，磋商保证金退还。 （2）本项目采用两轮报价，响应文件中的报价为首次报价，磋商后的报价为最终报价。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供应商代表授权</w:t>
            </w:r>
          </w:p>
        </w:tc>
        <w:tc>
          <w:tcPr>
            <w:tcW w:type="dxa" w:w="3322"/>
          </w:tcPr>
          <w:p>
            <w:pPr>
              <w:pStyle w:val="null3"/>
            </w:pPr>
            <w:r>
              <w:rPr>
                <w:rFonts w:ascii="仿宋_GB2312" w:hAnsi="仿宋_GB2312" w:cs="仿宋_GB2312" w:eastAsia="仿宋_GB2312"/>
              </w:rPr>
              <w:t>提供法定代表人证明书和代表人授权委托书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不接受联合体投标，提供非联合体书面声明。</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供应商具有公安部第三研究所颁发的《网络安全等级测评与检测评估机构服务认证证书》</w:t>
            </w:r>
          </w:p>
        </w:tc>
        <w:tc>
          <w:tcPr>
            <w:tcW w:type="dxa" w:w="1661"/>
          </w:tcPr>
          <w:p>
            <w:pPr>
              <w:pStyle w:val="null3"/>
            </w:pPr>
            <w:r>
              <w:rPr>
                <w:rFonts w:ascii="仿宋_GB2312" w:hAnsi="仿宋_GB2312" w:cs="仿宋_GB2312" w:eastAsia="仿宋_GB2312"/>
              </w:rPr>
              <w:t>资质证明＆资质证书.docx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供应商代表授权</w:t>
            </w:r>
          </w:p>
        </w:tc>
        <w:tc>
          <w:tcPr>
            <w:tcW w:type="dxa" w:w="3322"/>
          </w:tcPr>
          <w:p>
            <w:pPr>
              <w:pStyle w:val="null3"/>
            </w:pPr>
            <w:r>
              <w:rPr>
                <w:rFonts w:ascii="仿宋_GB2312" w:hAnsi="仿宋_GB2312" w:cs="仿宋_GB2312" w:eastAsia="仿宋_GB2312"/>
              </w:rPr>
              <w:t>提供法定代表人证明书和代表人授权委托书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不接受联合体投标，提供非联合体书面声明。</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在国家密码管理局第49号公告《商用密码检测机构(商用密码应用安全性评估业务)目录》内，提供截图。</w:t>
            </w:r>
          </w:p>
        </w:tc>
        <w:tc>
          <w:tcPr>
            <w:tcW w:type="dxa" w:w="1661"/>
          </w:tcPr>
          <w:p>
            <w:pPr>
              <w:pStyle w:val="null3"/>
            </w:pPr>
            <w:r>
              <w:rPr>
                <w:rFonts w:ascii="仿宋_GB2312" w:hAnsi="仿宋_GB2312" w:cs="仿宋_GB2312" w:eastAsia="仿宋_GB2312"/>
              </w:rPr>
              <w:t>资质证明＆资质证书.docx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供应商代表授权</w:t>
            </w:r>
          </w:p>
        </w:tc>
        <w:tc>
          <w:tcPr>
            <w:tcW w:type="dxa" w:w="3322"/>
          </w:tcPr>
          <w:p>
            <w:pPr>
              <w:pStyle w:val="null3"/>
            </w:pPr>
            <w:r>
              <w:rPr>
                <w:rFonts w:ascii="仿宋_GB2312" w:hAnsi="仿宋_GB2312" w:cs="仿宋_GB2312" w:eastAsia="仿宋_GB2312"/>
              </w:rPr>
              <w:t>提供法定代表人证明书和代表人授权委托书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不接受联合体投标，提供非联合体书面声明。</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具备市场监管部门颁发的《检验检测机构资质认定证书》（许可使用标志CMA），并且检验检测能力范围（大类）包含软件和信通服务</w:t>
            </w:r>
          </w:p>
        </w:tc>
        <w:tc>
          <w:tcPr>
            <w:tcW w:type="dxa" w:w="1661"/>
          </w:tcPr>
          <w:p>
            <w:pPr>
              <w:pStyle w:val="null3"/>
            </w:pPr>
            <w:r>
              <w:rPr>
                <w:rFonts w:ascii="仿宋_GB2312" w:hAnsi="仿宋_GB2312" w:cs="仿宋_GB2312" w:eastAsia="仿宋_GB2312"/>
              </w:rPr>
              <w:t>资质证明＆资质证书.docx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自合同签订后90天</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主要商务要求响应</w:t>
            </w:r>
          </w:p>
        </w:tc>
        <w:tc>
          <w:tcPr>
            <w:tcW w:type="dxa" w:w="3322"/>
          </w:tcPr>
          <w:p>
            <w:pPr>
              <w:pStyle w:val="null3"/>
            </w:pPr>
            <w:r>
              <w:rPr>
                <w:rFonts w:ascii="仿宋_GB2312" w:hAnsi="仿宋_GB2312" w:cs="仿宋_GB2312" w:eastAsia="仿宋_GB2312"/>
              </w:rPr>
              <w:t>合同签订后10天内，支付合同金额的50％； 项目完成通过验收后10天内，支付合同金额的50％。</w:t>
            </w:r>
          </w:p>
        </w:tc>
        <w:tc>
          <w:tcPr>
            <w:tcW w:type="dxa" w:w="1661"/>
          </w:tcPr>
          <w:p>
            <w:pPr>
              <w:pStyle w:val="null3"/>
            </w:pPr>
            <w:r>
              <w:rPr>
                <w:rFonts w:ascii="仿宋_GB2312" w:hAnsi="仿宋_GB2312" w:cs="仿宋_GB2312" w:eastAsia="仿宋_GB2312"/>
              </w:rPr>
              <w:t>主要商务条款响应偏离表.docx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自合同签订后90天</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主要商务要求响应</w:t>
            </w:r>
          </w:p>
        </w:tc>
        <w:tc>
          <w:tcPr>
            <w:tcW w:type="dxa" w:w="3322"/>
          </w:tcPr>
          <w:p>
            <w:pPr>
              <w:pStyle w:val="null3"/>
            </w:pPr>
            <w:r>
              <w:rPr>
                <w:rFonts w:ascii="仿宋_GB2312" w:hAnsi="仿宋_GB2312" w:cs="仿宋_GB2312" w:eastAsia="仿宋_GB2312"/>
              </w:rPr>
              <w:t>合同签订后10天内，支付合同金额的50％； 项目完成通过验收后10天内，支付合同金额的50％。</w:t>
            </w:r>
          </w:p>
        </w:tc>
        <w:tc>
          <w:tcPr>
            <w:tcW w:type="dxa" w:w="1661"/>
          </w:tcPr>
          <w:p>
            <w:pPr>
              <w:pStyle w:val="null3"/>
            </w:pPr>
            <w:r>
              <w:rPr>
                <w:rFonts w:ascii="仿宋_GB2312" w:hAnsi="仿宋_GB2312" w:cs="仿宋_GB2312" w:eastAsia="仿宋_GB2312"/>
              </w:rPr>
              <w:t>主要商务条款响应偏离表.docx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自合同签订后90天</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主要商务要求响应</w:t>
            </w:r>
          </w:p>
        </w:tc>
        <w:tc>
          <w:tcPr>
            <w:tcW w:type="dxa" w:w="3322"/>
          </w:tcPr>
          <w:p>
            <w:pPr>
              <w:pStyle w:val="null3"/>
            </w:pPr>
            <w:r>
              <w:rPr>
                <w:rFonts w:ascii="仿宋_GB2312" w:hAnsi="仿宋_GB2312" w:cs="仿宋_GB2312" w:eastAsia="仿宋_GB2312"/>
              </w:rPr>
              <w:t>合同签订后10天内，支付合同金额的50％； 项目完成通过验收后10天内，支付合同金额的50％。</w:t>
            </w:r>
          </w:p>
        </w:tc>
        <w:tc>
          <w:tcPr>
            <w:tcW w:type="dxa" w:w="1661"/>
          </w:tcPr>
          <w:p>
            <w:pPr>
              <w:pStyle w:val="null3"/>
            </w:pPr>
            <w:r>
              <w:rPr>
                <w:rFonts w:ascii="仿宋_GB2312" w:hAnsi="仿宋_GB2312" w:cs="仿宋_GB2312" w:eastAsia="仿宋_GB2312"/>
              </w:rPr>
              <w:t>主要商务条款响应偏离表.docx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供应商应根据自身实力和经验编制总体工作方案，方案包括但不限于①工作内容、工作目标②执行标准③工作思路、工作方法等。各项工作内容描述完整，工作目标明确，执行标准准确、工作思路清晰，工作方法具体可行，计6分。每缺少1项扣2分；每项中每有一处缺陷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总体工作方案.docx</w:t>
            </w:r>
          </w:p>
        </w:tc>
      </w:tr>
      <w:tr>
        <w:tc>
          <w:tcPr>
            <w:tcW w:type="dxa" w:w="831"/>
            <w:vMerge/>
          </w:tcPr>
          <w:p/>
        </w:tc>
        <w:tc>
          <w:tcPr>
            <w:tcW w:type="dxa" w:w="1661"/>
          </w:tcPr>
          <w:p>
            <w:pPr>
              <w:pStyle w:val="null3"/>
            </w:pPr>
            <w:r>
              <w:rPr>
                <w:rFonts w:ascii="仿宋_GB2312" w:hAnsi="仿宋_GB2312" w:cs="仿宋_GB2312" w:eastAsia="仿宋_GB2312"/>
              </w:rPr>
              <w:t>等级保护测评方案（单元）</w:t>
            </w:r>
          </w:p>
        </w:tc>
        <w:tc>
          <w:tcPr>
            <w:tcW w:type="dxa" w:w="2492"/>
          </w:tcPr>
          <w:p>
            <w:pPr>
              <w:pStyle w:val="null3"/>
            </w:pPr>
            <w:r>
              <w:rPr>
                <w:rFonts w:ascii="仿宋_GB2312" w:hAnsi="仿宋_GB2312" w:cs="仿宋_GB2312" w:eastAsia="仿宋_GB2312"/>
              </w:rPr>
              <w:t>供应商应根据采购需求、国家规范、标准以及自身经验提供等级保护测评方案（单元），方案包括但不限于①安全物理环境测评②安全通信网络测评③安全区域边界测评④安全计算环境测评⑤安全管理中心测评⑥安全管理制度测评⑦安全管理机构测评⑧安全管理人员测评⑨安全建设管理测评⑩系统运维管理测评。各项测评内容完整，测评流程清晰，测评指标明确，测评方法具体，测评对象准确，方案合理可行，满足采购需求并能较好的实现项目目标，计20分。每缺少1项扣2分；每项中每有一处缺陷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等级保护测评方案（单元）.docx</w:t>
            </w:r>
          </w:p>
        </w:tc>
      </w:tr>
      <w:tr>
        <w:tc>
          <w:tcPr>
            <w:tcW w:type="dxa" w:w="831"/>
            <w:vMerge/>
          </w:tcPr>
          <w:p/>
        </w:tc>
        <w:tc>
          <w:tcPr>
            <w:tcW w:type="dxa" w:w="1661"/>
          </w:tcPr>
          <w:p>
            <w:pPr>
              <w:pStyle w:val="null3"/>
            </w:pPr>
            <w:r>
              <w:rPr>
                <w:rFonts w:ascii="仿宋_GB2312" w:hAnsi="仿宋_GB2312" w:cs="仿宋_GB2312" w:eastAsia="仿宋_GB2312"/>
              </w:rPr>
              <w:t>整体测评方案</w:t>
            </w:r>
          </w:p>
        </w:tc>
        <w:tc>
          <w:tcPr>
            <w:tcW w:type="dxa" w:w="2492"/>
          </w:tcPr>
          <w:p>
            <w:pPr>
              <w:pStyle w:val="null3"/>
            </w:pPr>
            <w:r>
              <w:rPr>
                <w:rFonts w:ascii="仿宋_GB2312" w:hAnsi="仿宋_GB2312" w:cs="仿宋_GB2312" w:eastAsia="仿宋_GB2312"/>
              </w:rPr>
              <w:t>供应商应根据采购需求、国家规范、标准以及自身经验提供整体测评方案，方案包括但不限于单元测评中发现的问题进行系统整体测评分析，包括从安全控制点间、层面间、区域间和系统结构等方面进行安全测评。 测评内容完整，测评流程清晰，测评方法具体，方案合理可行，满足采购需求并能较好的实现项目目标，计2分。每有一处缺陷扣[1-0]分，扣完为止。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整体测评方案.docx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应根据自身实力和经验编制项目实施方案，方案包括但不限于①服务组织架构②分工及岗位职责③工具配置④项目进度计划等。服务组织架构清晰，岗位设置合理，人员分工明确，责任划分具体，工具配置投入具体，进度计划详细，得8分。每缺少1项扣2分；每项中每有一处缺陷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质控措施</w:t>
            </w:r>
          </w:p>
        </w:tc>
        <w:tc>
          <w:tcPr>
            <w:tcW w:type="dxa" w:w="2492"/>
          </w:tcPr>
          <w:p>
            <w:pPr>
              <w:pStyle w:val="null3"/>
            </w:pPr>
            <w:r>
              <w:rPr>
                <w:rFonts w:ascii="仿宋_GB2312" w:hAnsi="仿宋_GB2312" w:cs="仿宋_GB2312" w:eastAsia="仿宋_GB2312"/>
              </w:rPr>
              <w:t>供应商应根据采购需求、国家规范、标准以及自身经验提供质控措施。质控链条完整、措施具体、岗位设置合理、责任明确，溯源机制完善，得5分，每有一处缺陷，根据缺陷的程度扣[1-0]分，扣完为止。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质控措施.docx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1.具有信息系统项目管理师证书，得2分。 2.具有注册信息安全管理师（CISP-CISO）证书，得2分。 3.具有信息安全保障人员（CISAW）-风险管理认证证书，或数据安全评估师（CCRC-DSA）认证，或信息系统审计师(CCRC-ISA)认证中1种的，得1分，具有2种及以上的，得3分。 注：需提供证书、磋商截止时间前6个月内任意一个月本单位为其缴纳社保的凭证。</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团队人员（适用于1、3包）.docx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1.团队人员人数（含项目负责人）不得少于5人，否则本项（10分）不得分。 2.团队人员中（除项目负责人外）具有注册信息安全工程师（CISP-CISE）证书，每1人得1分，最高5分。 3.团队人员中（除项目负责人外）具有软件测评师资格，或信息安全保障人员（CISAW）-风险管理认证证书，或数据安全评估师（CCRC-DSA）认证证书，或信息系统审计师(CCRC-ISA)认证证书的，每1人得1分，最高5分。 注：需提供证书、磋商截止时间前6个月内任意一个月本单位为其缴纳社保的凭证。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团队人员（适用于1、3包）.docx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1.具有质量管理体系认证证书、信息安全管理体系认证证书、信息技术服务管理体系认证证书，得2分。 2.具有中国网络安全审查认证和市场监管大数据中心（CCRC）颁发的信息安全风险评估二级及以上资质证书，得2分。 3.具有中国网络安全审查认证和市场监管大数据中心（CCRC）颁发的网络安全审计服务二级及以上资质证书，得2分。 4.具有中国网络安全审查认证和市场监管大数据中心（CCRC）颁发的安全运维服务资质二级及以上资质证书，得2分。 5.投标人具备中国合格评定国家认可委员会（CNAS）颁发的实验室认可证书，得2分。 6.具备自研的检测工具，工具不限于网络安全等级保护测评、渗透测试类等，以提供的软件著作权证书为准，提供20个以上（含20个）得5分，提供10个以上（含10个）得3分，提供5个以上（含5个）得1分，5个以下不得分。 注:以上须提供有效证书。</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供应商实力.docx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供应商应根据自身的经验提供应急预案，包括测试过程中出现的系统故障、数据丢失等，预案全面，响应迅速，处置措施具体，能保证系统书的安全，得2分，每有一处缺陷，根据缺陷的程度扣[1-0]分，扣完为止。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需提供针对本项目的保密方案，方案包含但不限于:①保密制度②保密信息范围及保密主体等内容③测试过程的保密承诺。内容详细、责任清晰，措施具体，溯源机制完善，得6分;每缺少一项内容扣2分;每项中每有一处缺陷，根据缺陷的程度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供应商每提供1项增值服务得1分，最高2分。注：增值服务需磋商小组一致认同为有效。</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供应商提供2022年1月1日以来同类型（网络安全等级保护测试）项目业绩，每提供一份业绩计1分，满分7分。未提供不计分。注：业绩以合同为准，时间以合同签订时间为准、须提供完整合同复印件并加盖公章）。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磋商报价得分=(磋商基准价／磋商最终报价)×10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注：（1）根据《政府采购促进中小企业发展管理办法》的相关规定，对小型和微型企业的价格给予10%的扣除，用扣除后的价格参与评审。（2）根据《财政部民政部中国残疾人联合会关于促进残疾人就业政府采购政策的通知》（财库[2017]141号）的规定，对符合条件的残疾人福利性单位产品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供应商应根据自身实力和经验编制总体工作方案，方案包括但不限于①工作内容②工作目标③工作思路④工作方法⑤工作依据等。各项工作内容描述完整，工作目标明确，工作思路清晰，工作方法具体可行，工作依据准确，计10分。每缺少1项扣2分；每项中每有一处缺陷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总体工作方案.docx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应根据采购需求、国家规范、标准以及自身经验提供服务方案，方案包括但不限于①测评准备②评测方案编制③现场测评④分析与报告编制⑤整改咨询等。各项内容详细，链条完整，措施具体，满足采购需求并能较好的实现项目目标，计15分；每缺1项扣3分；每项中每有一处缺陷，根据缺陷程度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应根据自身实力和经验编制项目实施方案，方案包括但不限于①服务组织架构②分工及岗位职责③工具配置④项目进度计划等。服务组织架构清晰，岗位设置合理，人员分工明确，责任划分具体，工具配置投入具体，进度计划详细，得8分。每缺少1项扣2分；每项中每有一处缺陷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质控措施</w:t>
            </w:r>
          </w:p>
        </w:tc>
        <w:tc>
          <w:tcPr>
            <w:tcW w:type="dxa" w:w="2492"/>
          </w:tcPr>
          <w:p>
            <w:pPr>
              <w:pStyle w:val="null3"/>
            </w:pPr>
            <w:r>
              <w:rPr>
                <w:rFonts w:ascii="仿宋_GB2312" w:hAnsi="仿宋_GB2312" w:cs="仿宋_GB2312" w:eastAsia="仿宋_GB2312"/>
              </w:rPr>
              <w:t>供应商应根据采购需求、国家规范以及自身经验提供质控措施。质控链条完整、措施具体、岗位设置合理、责任明确，溯源机制完善，得5分，每有一处缺陷，根据缺陷的程度扣[1-0]分，扣完为止。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质控措施.docx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1.具有质量管理体系认证证书、信息安全管理体系认证证书、信息技术服务管理体系认证证书，得2分。 2.具有中国网络安全审查认证和市场监管大数据中心（CCRC）颁发的信息安全风险评估二级及以上资质证书，得2分。 3. 具有中国网络安全审查认证和市场监管大数据中心（CCRC）颁发的网络安全审计服务二级及以上资质证书，得2分。 4.具有中国网络安全审查认证和市场监管大数据中心（CCRC）颁发的安全运维服务资质二级及以上资质证书，得2分。 5.投标人具备中国合格评定国家认可委员会颁发的实验室认可证书，得2分，否则本项不计分。 6.具备自研的检测工具，工具不限于商密测评、渗透测试类等，以提供的软件著作权证书为准，提供20个以上（含20个）得5分，提供10个以上（含10个）得3分，提供5个以上（含5个）得1分，5个以下不得分。 注:以上须提供有效证书。</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供应商实力.docx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1.通过商用密码应用安全性评估从业人员考核，得1分。 2.具有注册渗透测试专家（CISP-PTS）证书或注册信息安全专业人员-密码技术专家（CISP-CTE）证书的，得2分。 3.具有信息系统项目管理师证书，得2分。 4.具有注册信息安全管理师（CISP-CISO）证书，或信息安全保障人员（CISAW）-风险管理认证证书，或数据安全评估师（CCRC-DSA）认证，或信息系统审计师(CCRC-ISA)认证中1种的，得1分，具有2种及以上的，得3分。 注：需提供考核证明、证书、磋商截止时间前6个月内任意一个月本单位为其缴纳社保的凭证。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团队人员（适用于2包）.docx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1.团队人员人数（含项目负责人）不得少于5人，否则本项（12分）不得分。 2.团队人员中（除项目负责人外）不少于5人通过商用密码应用安全性评估从业人员考核的，得3分。 3.团队人员中（除项目负责人外）具有注册渗透测试专家（CISP-PTS）证书或注册信息安全专业人员-密码技术专家（CISP-CTE）证书的，每1人得2分，具有注册渗透测试工程师（CISP-PTE）证书的，每1人得1分。本项最高4分。注：每个人只计算一个证书。 4.团队人员中（除项目负责人外）具有软件测评师资格的，或注册信息安全工程师（CISP-CISE）证书，或信息安全保障人员（CISAW）-风险管理认证证书，或数据安全评估师（CCRC-DSA）认证证书，或信息系统审计师(CCRC-ISA)认证证书的，每1人得1分，最高5分。 注：需提供考核证明、证书，磋商截止时间前6个月内任意一个月本单位为其缴纳社保的凭证。</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团队人员（适用于2包）.docx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根据自身的经验提供应急预案，包括测试过程中出现的系统故障、数据丢失等，预案全面，响应迅速，处置措施具体，能保证系统书的安全，得2分，每有一处缺陷，根据缺陷的程度扣[1-0]分，扣完为止。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需提供针对本项目的保密方案，方案包含但不限于:①保密制度②保密信息范围及保密主体等内容③测试过程的保密承诺。内容详细、责任清晰，措施具体，溯源机制完善，得6分;每缺少一项内容扣2分;每项中每有一处缺陷，根据缺陷的程度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供应商每提供1项增值服务的1分，最高3分。注：增值服务需磋商小组一致认同为有效。</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供应商每提供近1份2022年1月1日至今同类型（商用密码应用安全性评估服务）项目业绩，得1分，最高得6分。 注：①业绩以合同为准，时间以合同签订日期为准。②合同内容应完整。</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磋商报价得分=(磋商基准价／磋商最终报价)×10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注：（1）根据《政府采购促进中小企业发展管理办法》的相关规定，对小型和微型企业的价格给予10%的扣除，用扣除后的价格参与评审。（2）根据《财政部民政部中国残疾人联合会关于促进残疾人就业政府采购政策的通知》（财库[2017]141号）的规定，对符合条件的残疾人福利性单位产品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供应商应根据自身实力和经验编制总体工作方案，方案包括但不限于①工作内容、工作目标②执行标准③工作思路、工作方法等。各项工作内容描述完整，工作目标明确，执行标准准确，工作思路清晰，工作方法具体可行，计6分。每缺少1项扣2分；每项中每有一处缺陷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总体工作方案.docx</w:t>
            </w:r>
          </w:p>
        </w:tc>
      </w:tr>
      <w:tr>
        <w:tc>
          <w:tcPr>
            <w:tcW w:type="dxa" w:w="831"/>
            <w:vMerge/>
          </w:tcPr>
          <w:p/>
        </w:tc>
        <w:tc>
          <w:tcPr>
            <w:tcW w:type="dxa" w:w="1661"/>
          </w:tcPr>
          <w:p>
            <w:pPr>
              <w:pStyle w:val="null3"/>
            </w:pPr>
            <w:r>
              <w:rPr>
                <w:rFonts w:ascii="仿宋_GB2312" w:hAnsi="仿宋_GB2312" w:cs="仿宋_GB2312" w:eastAsia="仿宋_GB2312"/>
              </w:rPr>
              <w:t>测试方案</w:t>
            </w:r>
          </w:p>
        </w:tc>
        <w:tc>
          <w:tcPr>
            <w:tcW w:type="dxa" w:w="2492"/>
          </w:tcPr>
          <w:p>
            <w:pPr>
              <w:pStyle w:val="null3"/>
            </w:pPr>
            <w:r>
              <w:rPr>
                <w:rFonts w:ascii="仿宋_GB2312" w:hAnsi="仿宋_GB2312" w:cs="仿宋_GB2312" w:eastAsia="仿宋_GB2312"/>
              </w:rPr>
              <w:t>供应商应根据采购需求、国家规范、标准以及自身经验提供测试方案，范围包括①传染病多渠道监测系统②智慧预警③应急指挥④应急作业⑤计划免疫系统⑥综合管理系统，测试内容包括但不限于功能测试、性能测试、接口测试等。各项内容详细，测试链条完整，措施具体，方法规范，满足采购需求并能较好的实现项目目标，计24分；每缺1项扣4分；每项中每有一处缺陷，根据缺陷程度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测试方案.docx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应根据自身实力和经验编制项目实施方案，方案包括但不限于①组织架构②分工及岗位职责③工具配置④项目进度计划安排等。组织架构清晰，岗位设置合理，人员分工明确，责任划分具体，工具配置投入具体，进度计划详细，得8分。每缺少1项扣2分；每项中每有一处缺陷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质控措施</w:t>
            </w:r>
          </w:p>
        </w:tc>
        <w:tc>
          <w:tcPr>
            <w:tcW w:type="dxa" w:w="2492"/>
          </w:tcPr>
          <w:p>
            <w:pPr>
              <w:pStyle w:val="null3"/>
            </w:pPr>
            <w:r>
              <w:rPr>
                <w:rFonts w:ascii="仿宋_GB2312" w:hAnsi="仿宋_GB2312" w:cs="仿宋_GB2312" w:eastAsia="仿宋_GB2312"/>
              </w:rPr>
              <w:t>供应商应根据采购需求、国家规范以及自身经验提供质控措施。质控链条完整、措施具体、岗位设置合理、责任明确，溯源机制完善，得5分，每有一处缺陷，根据缺陷的程度扣[1-0]分，扣完为止。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质控措施.docx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需提供针对本项目的保密方案，方案包含但不限于:①保密制度②保密信息范围及保密主体等内容③测试过程的保密承诺。内容详细、责任清晰，措施具体，溯源机制完善，得6分;每缺少一项内容扣2分;每项中每有一处缺陷，根据缺陷的程度扣[1-0]分，扣完为止。 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1.具有质量管理体系认证证书、信息安全管理体系认证证书、信息技术服务管理体系认证证书，得2分。 2.具有中国网络安全审查认证和市场监管大数据中心（CCRC）颁发的软件安全开发服务资质认证二级以上资质证书，得2分。 3.投标人具备中国合格评定国家认可委员会颁发的实验室认可证书，得2分。 4.具备自研的检测工具，工具不限于软件测评、安全测试类、性能测试类等，以提供的软件著作权证书为准，提供20个以上（含20个）得5分，提供10个以上（含10个）得3分，提供5个以上（含5个）得1分，5个以下不得分。 注:以上须提供有效证书。</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供应商实力.docx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1.具有信息系统项目管理师证书，得2分。 2.具有注册信息安全专业人员（CISP）证书，得2分。注：CISP证书不限类别。 3.具有信息安全保障人员（CISAW）-风险管理认证证书，或数据安全评估师（CCRC-DSA）认证，或信息系统审计师(CCRC-ISA)认证中1种的，得1分，具有2种及以上的，得3分。 注：需提供证书，磋商截止时间前6个月内任意一个月本单位为其缴纳社保的凭证。</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团队人员（适用于1、3包）.docx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1.团队人员人数（含项目负责人）不得少于5人，否则本项（12分）不得分。 2.团队人员中（除项目负责人外）不少于5人具有软件测评师资格的，得4分。 3.团队人员中（除项目负责人外）具有注册信息安全专业人员（CISP）证书，每有1人得2分，最高8分。注：CISP证书不限类别。 注：需提供证书，磋商截止时间前6个月内任意一个月本单位为其缴纳社保的凭证。</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团队人员（适用于1、3包）.docx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根据自身的经验提供应急预案，包括测试过程中出现的系统故障、数据丢失等，预案全面，响应迅速，处置措施具体，能保证系统书的安全，得2分，每有一处缺陷，根据缺陷的程度扣[1-0]分，扣完为止。注：缺陷是指内容存在漏项、不完整或缺少关键点、只有简单描述无实质性内容；存在相互矛盾的内容、逻辑错误；非专门针对本项目或不适用本项目的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供应商每提供1项增值服务的1分，最高2分。注：增值服务需磋商小组一致认同为有效。</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供应商每提供近1份2022年1月1日至今同类型（软件测试服务）项目业绩，得1分，最高得7分。 注：①业绩以合同为准，时间以合同签订日期为准。②合同内容应完整。</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磋商报价得分=(磋商基准价／磋商最终报价)×10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注：（1）根据《政府采购促进中小企业发展管理办法》的相关规定，对小型和微型企业的价格给予10%的扣除，用扣除后的价格参与评审。（2）根据《财政部民政部中国残疾人联合会关于促进残疾人就业政府采购政策的通知》（财库[2017]141号）的规定，对符合条件的残疾人福利性单位产品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详见附件：资质证明＆资质证书.docx</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详见附件：等级保护测评方案（单元）.docx</w:t>
      </w:r>
    </w:p>
    <w:p>
      <w:pPr>
        <w:pStyle w:val="null3"/>
        <w:ind w:firstLine="960"/>
      </w:pPr>
      <w:r>
        <w:rPr>
          <w:rFonts w:ascii="仿宋_GB2312" w:hAnsi="仿宋_GB2312" w:cs="仿宋_GB2312" w:eastAsia="仿宋_GB2312"/>
        </w:rPr>
        <w:t>详见附件：供应商实力.docx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详见附件：团队人员（适用于1、3包）.docx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详见附件：整体测评方案.docx</w:t>
      </w:r>
    </w:p>
    <w:p>
      <w:pPr>
        <w:pStyle w:val="null3"/>
        <w:ind w:firstLine="960"/>
      </w:pPr>
      <w:r>
        <w:rPr>
          <w:rFonts w:ascii="仿宋_GB2312" w:hAnsi="仿宋_GB2312" w:cs="仿宋_GB2312" w:eastAsia="仿宋_GB2312"/>
        </w:rPr>
        <w:t>详见附件：质控措施.docx</w:t>
      </w:r>
    </w:p>
    <w:p>
      <w:pPr>
        <w:pStyle w:val="null3"/>
        <w:ind w:firstLine="960"/>
      </w:pPr>
      <w:r>
        <w:rPr>
          <w:rFonts w:ascii="仿宋_GB2312" w:hAnsi="仿宋_GB2312" w:cs="仿宋_GB2312" w:eastAsia="仿宋_GB2312"/>
        </w:rPr>
        <w:t>详见附件：总体工作方案.docx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详见附件：资质证明＆资质证书.docx</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详见附件：供应商实力.docx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详见附件：团队人员（适用于2包）.docx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详见附件：质控措施.docx</w:t>
      </w:r>
    </w:p>
    <w:p>
      <w:pPr>
        <w:pStyle w:val="null3"/>
        <w:ind w:firstLine="960"/>
      </w:pPr>
      <w:r>
        <w:rPr>
          <w:rFonts w:ascii="仿宋_GB2312" w:hAnsi="仿宋_GB2312" w:cs="仿宋_GB2312" w:eastAsia="仿宋_GB2312"/>
        </w:rPr>
        <w:t>详见附件：主要商务条款响应偏离表.docx</w:t>
      </w:r>
    </w:p>
    <w:p>
      <w:pPr>
        <w:pStyle w:val="null3"/>
        <w:ind w:firstLine="960"/>
      </w:pPr>
      <w:r>
        <w:rPr>
          <w:rFonts w:ascii="仿宋_GB2312" w:hAnsi="仿宋_GB2312" w:cs="仿宋_GB2312" w:eastAsia="仿宋_GB2312"/>
        </w:rPr>
        <w:t>详见附件：总体工作方案.docx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详见附件：资质证明＆资质证书.docx</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详见附件：测试方案.docx</w:t>
      </w:r>
    </w:p>
    <w:p>
      <w:pPr>
        <w:pStyle w:val="null3"/>
        <w:ind w:firstLine="960"/>
      </w:pPr>
      <w:r>
        <w:rPr>
          <w:rFonts w:ascii="仿宋_GB2312" w:hAnsi="仿宋_GB2312" w:cs="仿宋_GB2312" w:eastAsia="仿宋_GB2312"/>
        </w:rPr>
        <w:t>详见附件：供应商实力.docx</w:t>
      </w:r>
    </w:p>
    <w:p>
      <w:pPr>
        <w:pStyle w:val="null3"/>
        <w:ind w:firstLine="960"/>
      </w:pPr>
      <w:r>
        <w:rPr>
          <w:rFonts w:ascii="仿宋_GB2312" w:hAnsi="仿宋_GB2312" w:cs="仿宋_GB2312" w:eastAsia="仿宋_GB2312"/>
        </w:rPr>
        <w:t>详见附件：团队人员（适用于1、3包）.docx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详见附件：质控措施.docx</w:t>
      </w:r>
    </w:p>
    <w:p>
      <w:pPr>
        <w:pStyle w:val="null3"/>
        <w:ind w:firstLine="960"/>
      </w:pPr>
      <w:r>
        <w:rPr>
          <w:rFonts w:ascii="仿宋_GB2312" w:hAnsi="仿宋_GB2312" w:cs="仿宋_GB2312" w:eastAsia="仿宋_GB2312"/>
        </w:rPr>
        <w:t>详见附件：主要商务条款响应偏离表.docx</w:t>
      </w:r>
    </w:p>
    <w:p>
      <w:pPr>
        <w:pStyle w:val="null3"/>
        <w:ind w:firstLine="960"/>
      </w:pPr>
      <w:r>
        <w:rPr>
          <w:rFonts w:ascii="仿宋_GB2312" w:hAnsi="仿宋_GB2312" w:cs="仿宋_GB2312" w:eastAsia="仿宋_GB2312"/>
        </w:rPr>
        <w:t>详见附件：总体工作方案.docx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