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8D9B14">
      <w:pPr>
        <w:spacing w:line="360" w:lineRule="auto"/>
        <w:jc w:val="center"/>
        <w:rPr>
          <w:rFonts w:hint="eastAsia" w:ascii="黑体" w:hAnsi="宋体" w:eastAsia="黑体" w:cs="宋体"/>
          <w:color w:val="auto"/>
          <w:sz w:val="32"/>
          <w:szCs w:val="32"/>
          <w:highlight w:val="none"/>
        </w:rPr>
      </w:pPr>
      <w:r>
        <w:rPr>
          <w:rFonts w:hint="eastAsia" w:ascii="黑体" w:hAnsi="宋体" w:eastAsia="黑体" w:cs="宋体"/>
          <w:color w:val="auto"/>
          <w:sz w:val="32"/>
          <w:szCs w:val="32"/>
          <w:highlight w:val="none"/>
        </w:rPr>
        <w:t>陕西省地下水超采超载区监测站更新改造（2025年度）</w:t>
      </w:r>
    </w:p>
    <w:p w14:paraId="5DFF147A">
      <w:pPr>
        <w:spacing w:line="360" w:lineRule="auto"/>
        <w:jc w:val="center"/>
        <w:rPr>
          <w:rFonts w:hint="eastAsia" w:ascii="黑体" w:hAnsi="宋体" w:eastAsia="黑体" w:cs="宋体"/>
          <w:color w:val="auto"/>
          <w:sz w:val="32"/>
          <w:szCs w:val="32"/>
          <w:highlight w:val="none"/>
        </w:rPr>
      </w:pPr>
      <w:r>
        <w:rPr>
          <w:rFonts w:hint="eastAsia" w:ascii="黑体" w:hAnsi="宋体" w:eastAsia="黑体" w:cs="宋体"/>
          <w:color w:val="auto"/>
          <w:sz w:val="32"/>
          <w:szCs w:val="32"/>
          <w:highlight w:val="none"/>
        </w:rPr>
        <w:t>项目服务合同</w:t>
      </w:r>
    </w:p>
    <w:p w14:paraId="138CA8FB">
      <w:pPr>
        <w:spacing w:line="360" w:lineRule="auto"/>
        <w:ind w:firstLine="2100" w:firstLineChars="1000"/>
        <w:rPr>
          <w:rFonts w:hint="eastAsia" w:ascii="宋体" w:hAnsi="宋体"/>
          <w:color w:val="auto"/>
          <w:highlight w:val="none"/>
        </w:rPr>
      </w:pPr>
    </w:p>
    <w:p w14:paraId="20F2AA86">
      <w:pPr>
        <w:spacing w:line="360" w:lineRule="auto"/>
        <w:ind w:firstLine="2100" w:firstLineChars="1000"/>
        <w:rPr>
          <w:rFonts w:hint="eastAsia" w:ascii="宋体" w:hAnsi="宋体"/>
          <w:color w:val="auto"/>
          <w:highlight w:val="none"/>
        </w:rPr>
      </w:pPr>
    </w:p>
    <w:p w14:paraId="7CDE8D79">
      <w:pPr>
        <w:spacing w:line="360" w:lineRule="auto"/>
        <w:ind w:firstLine="2100" w:firstLineChars="1000"/>
        <w:rPr>
          <w:rFonts w:hint="eastAsia" w:ascii="宋体" w:hAnsi="宋体"/>
          <w:color w:val="auto"/>
          <w:highlight w:val="none"/>
        </w:rPr>
      </w:pPr>
    </w:p>
    <w:p w14:paraId="37239BA6">
      <w:pPr>
        <w:spacing w:line="360" w:lineRule="auto"/>
        <w:ind w:firstLine="2100" w:firstLineChars="1000"/>
        <w:rPr>
          <w:rFonts w:hint="eastAsia" w:ascii="宋体" w:hAnsi="宋体"/>
          <w:color w:val="auto"/>
          <w:highlight w:val="none"/>
        </w:rPr>
      </w:pPr>
    </w:p>
    <w:p w14:paraId="27B603D4">
      <w:pPr>
        <w:spacing w:line="360" w:lineRule="auto"/>
        <w:ind w:firstLine="2100" w:firstLineChars="1000"/>
        <w:rPr>
          <w:rFonts w:hint="eastAsia" w:ascii="宋体" w:hAnsi="宋体"/>
          <w:color w:val="auto"/>
          <w:highlight w:val="none"/>
        </w:rPr>
      </w:pPr>
    </w:p>
    <w:p w14:paraId="65233B20">
      <w:pPr>
        <w:spacing w:line="760" w:lineRule="exact"/>
        <w:ind w:firstLine="1260" w:firstLineChars="600"/>
        <w:jc w:val="left"/>
        <w:rPr>
          <w:rFonts w:hint="eastAsia" w:ascii="宋体" w:hAnsi="宋体" w:eastAsia="宋体" w:cs="宋体"/>
          <w:color w:val="auto"/>
          <w:highlight w:val="none"/>
        </w:rPr>
      </w:pPr>
      <w:r>
        <w:rPr>
          <w:rFonts w:ascii="宋体" w:hAnsi="宋体" w:cs="宋体"/>
          <w:color w:val="auto"/>
          <w:highlight w:val="none"/>
        </w:rPr>
        <w:t>工程名称：</w:t>
      </w:r>
      <w:r>
        <w:rPr>
          <w:rFonts w:hint="eastAsia" w:ascii="宋体" w:hAnsi="宋体" w:cs="宋体"/>
          <w:color w:val="auto"/>
          <w:highlight w:val="none"/>
          <w:u w:val="single"/>
        </w:rPr>
        <w:t>陕西省地下水超采超载区监测站更新改造（2025年度）项目</w:t>
      </w:r>
    </w:p>
    <w:p w14:paraId="0D05BFBD">
      <w:pPr>
        <w:wordWrap w:val="0"/>
        <w:spacing w:line="760" w:lineRule="exact"/>
        <w:ind w:firstLine="1260" w:firstLineChars="600"/>
        <w:jc w:val="left"/>
        <w:rPr>
          <w:rFonts w:hint="eastAsia" w:ascii="宋体" w:hAnsi="宋体" w:eastAsia="宋体" w:cs="宋体"/>
          <w:color w:val="auto"/>
          <w:highlight w:val="none"/>
        </w:rPr>
      </w:pPr>
      <w:r>
        <w:rPr>
          <w:rFonts w:ascii="宋体" w:hAnsi="宋体" w:cs="宋体"/>
          <w:color w:val="auto"/>
          <w:highlight w:val="none"/>
        </w:rPr>
        <w:t>合同编号：</w:t>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hint="eastAsia" w:ascii="宋体" w:hAnsi="宋体" w:cs="宋体"/>
          <w:color w:val="auto"/>
          <w:highlight w:val="none"/>
          <w:u w:val="single"/>
        </w:rPr>
        <w:t xml:space="preserve">                       </w:t>
      </w:r>
    </w:p>
    <w:p w14:paraId="27EAC489">
      <w:pPr>
        <w:wordWrap w:val="0"/>
        <w:spacing w:line="760" w:lineRule="exact"/>
        <w:ind w:firstLine="1260" w:firstLineChars="600"/>
        <w:jc w:val="left"/>
        <w:rPr>
          <w:rFonts w:hint="eastAsia" w:ascii="宋体" w:hAnsi="宋体" w:eastAsia="宋体" w:cs="宋体"/>
          <w:color w:val="auto"/>
          <w:highlight w:val="none"/>
        </w:rPr>
      </w:pPr>
      <w:r>
        <w:rPr>
          <w:rFonts w:ascii="宋体" w:hAnsi="宋体" w:cs="宋体"/>
          <w:color w:val="auto"/>
          <w:highlight w:val="none"/>
        </w:rPr>
        <w:t>甲</w:t>
      </w:r>
      <w:r>
        <w:rPr>
          <w:rFonts w:hint="eastAsia" w:ascii="宋体" w:hAnsi="宋体" w:cs="宋体"/>
          <w:color w:val="auto"/>
          <w:highlight w:val="none"/>
        </w:rPr>
        <w:t xml:space="preserve">    </w:t>
      </w:r>
      <w:r>
        <w:rPr>
          <w:rFonts w:ascii="宋体" w:hAnsi="宋体" w:cs="宋体"/>
          <w:color w:val="auto"/>
          <w:highlight w:val="none"/>
        </w:rPr>
        <w:t>方：</w:t>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hint="eastAsia" w:ascii="宋体" w:hAnsi="宋体" w:cs="宋体"/>
          <w:color w:val="auto"/>
          <w:highlight w:val="none"/>
          <w:u w:val="single"/>
        </w:rPr>
        <w:t xml:space="preserve">                       </w:t>
      </w:r>
    </w:p>
    <w:p w14:paraId="1CC8FB07">
      <w:pPr>
        <w:wordWrap w:val="0"/>
        <w:spacing w:line="760" w:lineRule="exact"/>
        <w:ind w:firstLine="1260" w:firstLineChars="600"/>
        <w:jc w:val="left"/>
        <w:rPr>
          <w:rFonts w:hint="eastAsia" w:ascii="宋体" w:hAnsi="宋体" w:eastAsia="宋体" w:cs="宋体"/>
          <w:color w:val="auto"/>
          <w:highlight w:val="none"/>
        </w:rPr>
      </w:pPr>
      <w:r>
        <w:rPr>
          <w:rFonts w:ascii="宋体" w:hAnsi="宋体" w:cs="宋体"/>
          <w:color w:val="auto"/>
          <w:highlight w:val="none"/>
        </w:rPr>
        <w:t>乙</w:t>
      </w:r>
      <w:r>
        <w:rPr>
          <w:rFonts w:hint="eastAsia" w:ascii="宋体" w:hAnsi="宋体" w:cs="宋体"/>
          <w:color w:val="auto"/>
          <w:highlight w:val="none"/>
        </w:rPr>
        <w:t xml:space="preserve">    </w:t>
      </w:r>
      <w:r>
        <w:rPr>
          <w:rFonts w:ascii="宋体" w:hAnsi="宋体" w:cs="宋体"/>
          <w:color w:val="auto"/>
          <w:highlight w:val="none"/>
        </w:rPr>
        <w:t>方：</w:t>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ascii="宋体" w:hAnsi="宋体" w:cs="宋体"/>
          <w:color w:val="auto"/>
          <w:highlight w:val="none"/>
          <w:u w:val="single"/>
        </w:rPr>
        <w:tab/>
      </w:r>
      <w:r>
        <w:rPr>
          <w:rFonts w:hint="eastAsia" w:ascii="宋体" w:hAnsi="宋体" w:cs="宋体"/>
          <w:color w:val="auto"/>
          <w:highlight w:val="none"/>
          <w:u w:val="single"/>
        </w:rPr>
        <w:t xml:space="preserve">                       </w:t>
      </w:r>
    </w:p>
    <w:p w14:paraId="3E1A0D90">
      <w:pPr>
        <w:wordWrap w:val="0"/>
        <w:spacing w:line="760" w:lineRule="exact"/>
        <w:ind w:firstLine="1260" w:firstLineChars="600"/>
        <w:jc w:val="left"/>
        <w:rPr>
          <w:rFonts w:hint="eastAsia" w:ascii="宋体" w:hAnsi="宋体" w:eastAsia="宋体" w:cs="宋体"/>
          <w:color w:val="auto"/>
          <w:highlight w:val="none"/>
          <w:u w:val="single"/>
        </w:rPr>
      </w:pPr>
      <w:r>
        <w:rPr>
          <w:rFonts w:ascii="宋体" w:hAnsi="宋体" w:cs="宋体"/>
          <w:color w:val="auto"/>
          <w:highlight w:val="none"/>
        </w:rPr>
        <w:t>签订日期：</w:t>
      </w:r>
      <w:r>
        <w:rPr>
          <w:rFonts w:hint="eastAsia" w:ascii="宋体" w:hAnsi="宋体" w:cs="宋体"/>
          <w:color w:val="auto"/>
          <w:highlight w:val="none"/>
          <w:u w:val="single"/>
        </w:rPr>
        <w:t xml:space="preserve">                                                      </w:t>
      </w:r>
    </w:p>
    <w:p w14:paraId="3E1D8028">
      <w:pPr>
        <w:wordWrap w:val="0"/>
        <w:spacing w:line="760" w:lineRule="exact"/>
        <w:ind w:firstLine="1260" w:firstLineChars="600"/>
        <w:jc w:val="left"/>
        <w:rPr>
          <w:rFonts w:hint="eastAsia" w:ascii="宋体" w:hAnsi="宋体" w:eastAsia="宋体" w:cs="宋体"/>
          <w:color w:val="auto"/>
          <w:highlight w:val="none"/>
          <w:u w:val="single"/>
        </w:rPr>
      </w:pPr>
      <w:r>
        <w:rPr>
          <w:rFonts w:hint="eastAsia" w:ascii="宋体" w:hAnsi="宋体" w:cs="宋体"/>
          <w:color w:val="auto"/>
          <w:highlight w:val="none"/>
        </w:rPr>
        <w:t>合同有效期：</w:t>
      </w:r>
      <w:r>
        <w:rPr>
          <w:rFonts w:hint="eastAsia" w:ascii="宋体" w:hAnsi="宋体" w:cs="宋体"/>
          <w:color w:val="auto"/>
          <w:highlight w:val="none"/>
          <w:u w:val="single"/>
        </w:rPr>
        <w:t xml:space="preserve">自签订之日起至质量保证期结束止                      </w:t>
      </w:r>
    </w:p>
    <w:p w14:paraId="25D45865">
      <w:pPr>
        <w:wordWrap w:val="0"/>
        <w:spacing w:line="760" w:lineRule="exact"/>
        <w:ind w:firstLine="1260" w:firstLineChars="600"/>
        <w:jc w:val="left"/>
        <w:rPr>
          <w:rFonts w:hint="eastAsia" w:ascii="宋体" w:hAnsi="宋体" w:eastAsia="宋体"/>
          <w:color w:val="auto"/>
          <w:highlight w:val="none"/>
        </w:rPr>
      </w:pPr>
      <w:r>
        <w:rPr>
          <w:rFonts w:hint="eastAsia" w:ascii="宋体" w:hAnsi="宋体" w:cs="宋体"/>
          <w:color w:val="auto"/>
          <w:highlight w:val="none"/>
        </w:rPr>
        <w:t>签订地点:</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西安                                    </w:t>
      </w:r>
    </w:p>
    <w:p w14:paraId="2D947F1C">
      <w:pPr>
        <w:spacing w:line="360" w:lineRule="auto"/>
        <w:ind w:firstLine="480"/>
        <w:rPr>
          <w:rFonts w:hint="eastAsia" w:ascii="宋体" w:hAnsi="宋体" w:cs="宋体"/>
          <w:color w:val="auto"/>
          <w:sz w:val="24"/>
          <w:highlight w:val="none"/>
          <w:u w:val="single"/>
        </w:rPr>
      </w:pPr>
      <w:r>
        <w:rPr>
          <w:rFonts w:hint="eastAsia" w:ascii="宋体" w:hAnsi="宋体"/>
          <w:color w:val="auto"/>
          <w:highlight w:val="none"/>
        </w:rPr>
        <w:br w:type="page"/>
      </w:r>
      <w:r>
        <w:rPr>
          <w:rFonts w:hint="eastAsia" w:ascii="宋体" w:hAnsi="宋体" w:cs="宋体"/>
          <w:color w:val="auto"/>
          <w:sz w:val="24"/>
          <w:highlight w:val="none"/>
        </w:rPr>
        <w:t>甲方：</w:t>
      </w:r>
      <w:r>
        <w:rPr>
          <w:rFonts w:hint="eastAsia" w:ascii="宋体" w:hAnsi="宋体" w:cs="宋体"/>
          <w:color w:val="auto"/>
          <w:sz w:val="24"/>
          <w:highlight w:val="none"/>
          <w:u w:val="single"/>
        </w:rPr>
        <w:t xml:space="preserve"> </w:t>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p>
    <w:p w14:paraId="588AE1CE">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 xml:space="preserve">乙方： </w:t>
      </w:r>
      <w:r>
        <w:rPr>
          <w:rFonts w:hint="eastAsia" w:ascii="宋体" w:hAnsi="宋体" w:cs="宋体"/>
          <w:color w:val="auto"/>
          <w:sz w:val="24"/>
          <w:highlight w:val="none"/>
          <w:u w:val="single"/>
        </w:rPr>
        <w:t xml:space="preserve"> </w:t>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r>
        <w:rPr>
          <w:rFonts w:ascii="宋体" w:hAnsi="宋体" w:cs="宋体"/>
          <w:color w:val="auto"/>
          <w:sz w:val="24"/>
          <w:highlight w:val="none"/>
          <w:u w:val="single"/>
        </w:rPr>
        <w:tab/>
      </w:r>
    </w:p>
    <w:p w14:paraId="54AC4465">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甲方委托乙方承担本项目建设任务。</w:t>
      </w:r>
    </w:p>
    <w:p w14:paraId="72CFFF76">
      <w:pPr>
        <w:spacing w:line="360" w:lineRule="auto"/>
        <w:ind w:firstLine="480"/>
        <w:rPr>
          <w:rFonts w:hint="eastAsia" w:ascii="宋体" w:hAnsi="宋体" w:cs="宋体"/>
          <w:color w:val="auto"/>
          <w:sz w:val="24"/>
          <w:highlight w:val="none"/>
        </w:rPr>
      </w:pPr>
      <w:r>
        <w:rPr>
          <w:rFonts w:ascii="宋体" w:hAnsi="宋体" w:cs="宋体"/>
          <w:color w:val="auto"/>
          <w:sz w:val="24"/>
          <w:highlight w:val="none"/>
        </w:rPr>
        <w:t>根据《中华人民共和国</w:t>
      </w:r>
      <w:r>
        <w:rPr>
          <w:rFonts w:hint="eastAsia" w:ascii="宋体" w:hAnsi="宋体" w:cs="宋体"/>
          <w:color w:val="auto"/>
          <w:sz w:val="24"/>
          <w:highlight w:val="none"/>
        </w:rPr>
        <w:t>民法典</w:t>
      </w:r>
      <w:r>
        <w:rPr>
          <w:rFonts w:ascii="宋体" w:hAnsi="宋体" w:cs="宋体"/>
          <w:color w:val="auto"/>
          <w:sz w:val="24"/>
          <w:highlight w:val="none"/>
        </w:rPr>
        <w:t>》</w:t>
      </w:r>
      <w:r>
        <w:rPr>
          <w:rFonts w:hint="eastAsia" w:ascii="宋体" w:hAnsi="宋体" w:cs="宋体"/>
          <w:color w:val="auto"/>
          <w:sz w:val="24"/>
          <w:highlight w:val="none"/>
        </w:rPr>
        <w:t>等</w:t>
      </w:r>
      <w:r>
        <w:rPr>
          <w:rFonts w:ascii="宋体" w:hAnsi="宋体" w:cs="宋体"/>
          <w:color w:val="auto"/>
          <w:sz w:val="24"/>
          <w:highlight w:val="none"/>
        </w:rPr>
        <w:t>有关法律</w:t>
      </w:r>
      <w:r>
        <w:rPr>
          <w:rFonts w:hint="eastAsia" w:ascii="宋体" w:hAnsi="宋体" w:cs="宋体"/>
          <w:color w:val="auto"/>
          <w:sz w:val="24"/>
          <w:highlight w:val="none"/>
        </w:rPr>
        <w:t>法</w:t>
      </w:r>
      <w:r>
        <w:rPr>
          <w:rFonts w:ascii="宋体" w:hAnsi="宋体" w:cs="宋体"/>
          <w:color w:val="auto"/>
          <w:sz w:val="24"/>
          <w:highlight w:val="none"/>
        </w:rPr>
        <w:t>规</w:t>
      </w:r>
      <w:r>
        <w:rPr>
          <w:rFonts w:hint="eastAsia" w:ascii="宋体" w:hAnsi="宋体" w:cs="宋体"/>
          <w:color w:val="auto"/>
          <w:sz w:val="24"/>
          <w:highlight w:val="none"/>
        </w:rPr>
        <w:t>的规定</w:t>
      </w:r>
      <w:r>
        <w:rPr>
          <w:rFonts w:ascii="宋体" w:hAnsi="宋体" w:cs="宋体"/>
          <w:color w:val="auto"/>
          <w:sz w:val="24"/>
          <w:highlight w:val="none"/>
        </w:rPr>
        <w:t>，遵循平等、自愿、公平和诚实信用的原则，双方</w:t>
      </w:r>
      <w:r>
        <w:rPr>
          <w:rFonts w:hint="eastAsia" w:ascii="宋体" w:hAnsi="宋体" w:cs="宋体"/>
          <w:color w:val="auto"/>
          <w:sz w:val="24"/>
          <w:highlight w:val="none"/>
        </w:rPr>
        <w:t>经协商一致，</w:t>
      </w:r>
      <w:r>
        <w:rPr>
          <w:rFonts w:ascii="宋体" w:hAnsi="宋体" w:cs="宋体"/>
          <w:color w:val="auto"/>
          <w:sz w:val="24"/>
          <w:highlight w:val="none"/>
        </w:rPr>
        <w:t>就</w:t>
      </w:r>
      <w:r>
        <w:rPr>
          <w:rFonts w:hint="eastAsia" w:ascii="宋体" w:hAnsi="宋体" w:cs="宋体"/>
          <w:color w:val="auto"/>
          <w:sz w:val="24"/>
          <w:highlight w:val="none"/>
        </w:rPr>
        <w:t>本项目建设</w:t>
      </w:r>
      <w:r>
        <w:rPr>
          <w:rFonts w:ascii="宋体" w:hAnsi="宋体" w:cs="宋体"/>
          <w:color w:val="auto"/>
          <w:sz w:val="24"/>
          <w:highlight w:val="none"/>
        </w:rPr>
        <w:t>及有关事项</w:t>
      </w:r>
      <w:r>
        <w:rPr>
          <w:rFonts w:hint="eastAsia" w:ascii="宋体" w:hAnsi="宋体" w:cs="宋体"/>
          <w:color w:val="auto"/>
          <w:sz w:val="24"/>
          <w:highlight w:val="none"/>
        </w:rPr>
        <w:t>，签订本合同。</w:t>
      </w:r>
    </w:p>
    <w:p w14:paraId="4387A3F5">
      <w:pPr>
        <w:spacing w:line="360" w:lineRule="auto"/>
        <w:ind w:firstLine="480"/>
        <w:rPr>
          <w:rFonts w:hint="eastAsia" w:ascii="宋体" w:hAnsi="宋体" w:cs="宋体"/>
          <w:b/>
          <w:color w:val="auto"/>
          <w:sz w:val="24"/>
          <w:highlight w:val="none"/>
        </w:rPr>
      </w:pPr>
      <w:r>
        <w:rPr>
          <w:rFonts w:hint="eastAsia" w:ascii="宋体" w:hAnsi="宋体" w:cs="宋体"/>
          <w:b/>
          <w:color w:val="auto"/>
          <w:sz w:val="24"/>
          <w:highlight w:val="none"/>
        </w:rPr>
        <w:t>本合同为总价承包合同，设计变更情况甲乙双方另行商定。</w:t>
      </w:r>
    </w:p>
    <w:p w14:paraId="42C93C3C">
      <w:pPr>
        <w:spacing w:line="360" w:lineRule="auto"/>
        <w:ind w:firstLine="482"/>
        <w:rPr>
          <w:rFonts w:hint="eastAsia" w:ascii="宋体" w:hAnsi="宋体" w:cs="宋体"/>
          <w:color w:val="auto"/>
          <w:sz w:val="24"/>
          <w:highlight w:val="none"/>
        </w:rPr>
      </w:pPr>
      <w:r>
        <w:rPr>
          <w:rFonts w:hint="eastAsia" w:ascii="宋体" w:hAnsi="宋体" w:cs="宋体"/>
          <w:b/>
          <w:color w:val="auto"/>
          <w:sz w:val="24"/>
          <w:highlight w:val="none"/>
        </w:rPr>
        <w:t>第一条　</w:t>
      </w:r>
      <w:r>
        <w:rPr>
          <w:rFonts w:hint="eastAsia" w:ascii="宋体" w:hAnsi="宋体" w:cs="宋体"/>
          <w:color w:val="auto"/>
          <w:sz w:val="24"/>
          <w:highlight w:val="none"/>
        </w:rPr>
        <w:t>本合同签订依据</w:t>
      </w:r>
    </w:p>
    <w:p w14:paraId="438C7D66">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1.1《中华人民共和国民法典》等</w:t>
      </w:r>
      <w:r>
        <w:rPr>
          <w:rFonts w:ascii="宋体" w:hAnsi="宋体" w:cs="宋体"/>
          <w:color w:val="auto"/>
          <w:sz w:val="24"/>
          <w:highlight w:val="none"/>
        </w:rPr>
        <w:t>有关法律</w:t>
      </w:r>
      <w:r>
        <w:rPr>
          <w:rFonts w:hint="eastAsia" w:ascii="宋体" w:hAnsi="宋体" w:cs="宋体"/>
          <w:color w:val="auto"/>
          <w:sz w:val="24"/>
          <w:highlight w:val="none"/>
        </w:rPr>
        <w:t>。</w:t>
      </w:r>
    </w:p>
    <w:p w14:paraId="266D9E9B">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1.2国家、水利部及地方有关建设管理法规和规章。</w:t>
      </w:r>
    </w:p>
    <w:p w14:paraId="65C7920C">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1.3建设工程批准文件。</w:t>
      </w:r>
    </w:p>
    <w:p w14:paraId="52AE8DCC">
      <w:pPr>
        <w:spacing w:line="360" w:lineRule="auto"/>
        <w:ind w:firstLine="482"/>
        <w:rPr>
          <w:rFonts w:hint="eastAsia" w:ascii="宋体" w:hAnsi="宋体" w:cs="宋体"/>
          <w:color w:val="auto"/>
          <w:sz w:val="24"/>
          <w:highlight w:val="none"/>
        </w:rPr>
      </w:pPr>
      <w:r>
        <w:rPr>
          <w:rFonts w:hint="eastAsia" w:ascii="宋体" w:hAnsi="宋体" w:cs="宋体"/>
          <w:b/>
          <w:color w:val="auto"/>
          <w:sz w:val="24"/>
          <w:highlight w:val="none"/>
        </w:rPr>
        <w:t>第二条　</w:t>
      </w:r>
      <w:r>
        <w:rPr>
          <w:rFonts w:hint="eastAsia" w:ascii="宋体" w:hAnsi="宋体" w:cs="宋体"/>
          <w:color w:val="auto"/>
          <w:sz w:val="24"/>
          <w:highlight w:val="none"/>
        </w:rPr>
        <w:t>建设依据</w:t>
      </w:r>
    </w:p>
    <w:p w14:paraId="059BA15B">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2.1本合同或甲方给乙方的委托书，包括与履行本合同有关的招标文件、澄清文件（如有）和问题答复（如有）、合同附件、中标通知书等。</w:t>
      </w:r>
    </w:p>
    <w:p w14:paraId="32A0C216">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2.2甲方提交的基础资料：</w:t>
      </w:r>
      <w:r>
        <w:rPr>
          <w:rFonts w:hint="eastAsia" w:ascii="宋体" w:hAnsi="宋体" w:cs="宋体"/>
          <w:color w:val="auto"/>
          <w:sz w:val="24"/>
          <w:highlight w:val="none"/>
          <w:u w:val="single"/>
        </w:rPr>
        <w:t xml:space="preserve">  实施方案报告及附件有关内容 </w:t>
      </w:r>
      <w:r>
        <w:rPr>
          <w:rFonts w:hint="eastAsia" w:ascii="宋体" w:hAnsi="宋体" w:cs="宋体"/>
          <w:color w:val="auto"/>
          <w:sz w:val="24"/>
          <w:highlight w:val="none"/>
        </w:rPr>
        <w:t>。</w:t>
      </w:r>
    </w:p>
    <w:p w14:paraId="5773E117">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2.3乙方采用的主要技术标准是：现行国家和行业的规范规程。</w:t>
      </w:r>
    </w:p>
    <w:p w14:paraId="6B5DFD03">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2.4施工必须符合工程建设强制性标准。</w:t>
      </w:r>
    </w:p>
    <w:p w14:paraId="20A47D61">
      <w:pPr>
        <w:spacing w:line="360" w:lineRule="auto"/>
        <w:ind w:firstLine="482"/>
        <w:rPr>
          <w:rFonts w:hint="eastAsia" w:ascii="宋体" w:hAnsi="宋体" w:cs="宋体"/>
          <w:color w:val="auto"/>
          <w:sz w:val="24"/>
          <w:highlight w:val="none"/>
        </w:rPr>
      </w:pPr>
      <w:r>
        <w:rPr>
          <w:rFonts w:hint="eastAsia" w:ascii="宋体" w:hAnsi="宋体" w:cs="宋体"/>
          <w:b/>
          <w:color w:val="auto"/>
          <w:sz w:val="24"/>
          <w:highlight w:val="none"/>
        </w:rPr>
        <w:t>第三条　</w:t>
      </w:r>
      <w:r>
        <w:rPr>
          <w:rFonts w:hint="eastAsia" w:ascii="宋体" w:hAnsi="宋体" w:cs="宋体"/>
          <w:color w:val="auto"/>
          <w:sz w:val="24"/>
          <w:highlight w:val="none"/>
        </w:rPr>
        <w:t>文件的优先次序</w:t>
      </w:r>
    </w:p>
    <w:p w14:paraId="239D8995">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构成本合同的文件可视为是能互相说明的，如果有关文件存在歧义或不一致，则根据如下优先次序来判断：</w:t>
      </w:r>
    </w:p>
    <w:p w14:paraId="79BFE6CA">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3.1合同书</w:t>
      </w:r>
    </w:p>
    <w:p w14:paraId="0FC823FE">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3.2中标通知书（文件）</w:t>
      </w:r>
    </w:p>
    <w:p w14:paraId="09C49F76">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3.3甲方要求及委托书（如有）</w:t>
      </w:r>
    </w:p>
    <w:p w14:paraId="0D1C37FD">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3.4投标书及其附件</w:t>
      </w:r>
    </w:p>
    <w:p w14:paraId="654181F4">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3.5招标文件</w:t>
      </w:r>
    </w:p>
    <w:p w14:paraId="40AE9511">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3.6标准、规范及有关技术文件</w:t>
      </w:r>
    </w:p>
    <w:p w14:paraId="626F6C3B">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当合同文件出现含糊不清或不相一致时，在不影响工程施工的情况下，由双方协商解决；双方意见仍不能一致的，按合同书第十二条约定的办法解决。</w:t>
      </w:r>
    </w:p>
    <w:p w14:paraId="2AF402EA">
      <w:pPr>
        <w:snapToGrid w:val="0"/>
        <w:spacing w:line="360" w:lineRule="auto"/>
        <w:ind w:firstLine="482"/>
        <w:rPr>
          <w:rFonts w:hint="eastAsia" w:ascii="宋体" w:hAnsi="宋体" w:cs="宋体"/>
          <w:color w:val="auto"/>
          <w:spacing w:val="6"/>
          <w:sz w:val="24"/>
          <w:highlight w:val="none"/>
        </w:rPr>
      </w:pPr>
      <w:r>
        <w:rPr>
          <w:rFonts w:hint="eastAsia" w:ascii="宋体" w:hAnsi="宋体" w:cs="宋体"/>
          <w:b/>
          <w:color w:val="auto"/>
          <w:sz w:val="24"/>
          <w:highlight w:val="none"/>
        </w:rPr>
        <w:t>第四条　</w:t>
      </w:r>
      <w:r>
        <w:rPr>
          <w:rFonts w:hint="eastAsia" w:ascii="宋体" w:hAnsi="宋体" w:cs="宋体"/>
          <w:color w:val="auto"/>
          <w:spacing w:val="6"/>
          <w:sz w:val="24"/>
          <w:highlight w:val="none"/>
        </w:rPr>
        <w:t>项目概况</w:t>
      </w:r>
    </w:p>
    <w:p w14:paraId="056F152F">
      <w:pPr>
        <w:snapToGrid w:val="0"/>
        <w:spacing w:line="360" w:lineRule="auto"/>
        <w:ind w:firstLine="504"/>
        <w:rPr>
          <w:rFonts w:hint="eastAsia" w:ascii="宋体" w:hAnsi="宋体" w:cs="宋体" w:eastAsiaTheme="minorEastAsia"/>
          <w:color w:val="auto"/>
          <w:spacing w:val="6"/>
          <w:sz w:val="24"/>
          <w:highlight w:val="none"/>
          <w:lang w:eastAsia="zh-CN"/>
        </w:rPr>
      </w:pPr>
      <w:r>
        <w:rPr>
          <w:rFonts w:hint="eastAsia" w:ascii="宋体" w:hAnsi="宋体" w:cs="宋体"/>
          <w:color w:val="auto"/>
          <w:spacing w:val="6"/>
          <w:sz w:val="24"/>
          <w:highlight w:val="none"/>
        </w:rPr>
        <w:t>4.1服务名称：陕西省地下水超采超载区监测站更新改造项目实施方案（2025年度</w:t>
      </w:r>
      <w:r>
        <w:rPr>
          <w:rFonts w:hint="eastAsia" w:ascii="宋体" w:hAnsi="宋体" w:cs="宋体"/>
          <w:color w:val="auto"/>
          <w:spacing w:val="6"/>
          <w:sz w:val="24"/>
          <w:highlight w:val="none"/>
          <w:lang w:eastAsia="zh-CN"/>
        </w:rPr>
        <w:t>）</w:t>
      </w:r>
    </w:p>
    <w:p w14:paraId="6DF17313">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4.2工程建设地点：</w:t>
      </w:r>
      <w:r>
        <w:rPr>
          <w:rFonts w:hint="eastAsia" w:ascii="宋体" w:hAnsi="宋体" w:cs="宋体"/>
          <w:color w:val="auto"/>
          <w:spacing w:val="6"/>
          <w:sz w:val="24"/>
          <w:highlight w:val="none"/>
          <w:u w:val="single"/>
        </w:rPr>
        <w:t>详见合同附件2技术条款。</w:t>
      </w:r>
    </w:p>
    <w:p w14:paraId="383CA436">
      <w:pPr>
        <w:snapToGrid w:val="0"/>
        <w:spacing w:line="360" w:lineRule="auto"/>
        <w:ind w:firstLine="504"/>
        <w:rPr>
          <w:color w:val="auto"/>
          <w:spacing w:val="6"/>
          <w:sz w:val="24"/>
          <w:highlight w:val="none"/>
        </w:rPr>
      </w:pPr>
      <w:r>
        <w:rPr>
          <w:rFonts w:hint="eastAsia" w:ascii="宋体" w:hAnsi="宋体" w:cs="宋体"/>
          <w:color w:val="auto"/>
          <w:spacing w:val="6"/>
          <w:sz w:val="24"/>
          <w:highlight w:val="none"/>
        </w:rPr>
        <w:t>4.3</w:t>
      </w:r>
      <w:r>
        <w:rPr>
          <w:rFonts w:hint="eastAsia"/>
          <w:color w:val="auto"/>
          <w:spacing w:val="6"/>
          <w:sz w:val="24"/>
          <w:highlight w:val="none"/>
        </w:rPr>
        <w:t>开工时间：2025年 月 日</w:t>
      </w:r>
    </w:p>
    <w:p w14:paraId="479DA17A">
      <w:pPr>
        <w:snapToGrid w:val="0"/>
        <w:spacing w:line="360" w:lineRule="auto"/>
        <w:ind w:firstLine="504"/>
        <w:rPr>
          <w:color w:val="auto"/>
          <w:spacing w:val="6"/>
          <w:sz w:val="24"/>
          <w:highlight w:val="none"/>
        </w:rPr>
      </w:pPr>
      <w:r>
        <w:rPr>
          <w:rFonts w:hint="eastAsia"/>
          <w:color w:val="auto"/>
          <w:spacing w:val="6"/>
          <w:sz w:val="24"/>
          <w:highlight w:val="none"/>
        </w:rPr>
        <w:t xml:space="preserve">   完工时间：     年  月  日</w:t>
      </w:r>
    </w:p>
    <w:p w14:paraId="6FF97126">
      <w:pPr>
        <w:snapToGrid w:val="0"/>
        <w:spacing w:line="360" w:lineRule="auto"/>
        <w:ind w:firstLine="504"/>
        <w:rPr>
          <w:rFonts w:hint="eastAsia" w:ascii="宋体" w:hAnsi="宋体" w:cs="宋体"/>
          <w:color w:val="auto"/>
          <w:spacing w:val="6"/>
          <w:sz w:val="24"/>
          <w:highlight w:val="none"/>
        </w:rPr>
      </w:pPr>
      <w:r>
        <w:rPr>
          <w:rFonts w:hint="eastAsia" w:ascii="宋体" w:hAnsi="宋体"/>
          <w:color w:val="auto"/>
          <w:spacing w:val="6"/>
          <w:sz w:val="24"/>
          <w:highlight w:val="none"/>
        </w:rPr>
        <w:t>4.4</w:t>
      </w:r>
      <w:r>
        <w:rPr>
          <w:rFonts w:hint="eastAsia" w:ascii="宋体" w:hAnsi="宋体" w:cs="宋体"/>
          <w:color w:val="auto"/>
          <w:spacing w:val="6"/>
          <w:sz w:val="24"/>
          <w:highlight w:val="none"/>
        </w:rPr>
        <w:t>服务内容与技术要求：</w:t>
      </w:r>
      <w:r>
        <w:rPr>
          <w:color w:val="auto"/>
          <w:spacing w:val="6"/>
          <w:sz w:val="24"/>
          <w:highlight w:val="none"/>
          <w:u w:val="single"/>
        </w:rPr>
        <w:t>详见</w:t>
      </w:r>
      <w:r>
        <w:rPr>
          <w:rFonts w:hint="eastAsia"/>
          <w:color w:val="auto"/>
          <w:spacing w:val="6"/>
          <w:sz w:val="24"/>
          <w:highlight w:val="none"/>
          <w:u w:val="single"/>
        </w:rPr>
        <w:t>合同附件2</w:t>
      </w:r>
      <w:r>
        <w:rPr>
          <w:color w:val="auto"/>
          <w:spacing w:val="6"/>
          <w:sz w:val="24"/>
          <w:highlight w:val="none"/>
          <w:u w:val="single"/>
        </w:rPr>
        <w:t>技术条款</w:t>
      </w:r>
      <w:r>
        <w:rPr>
          <w:rFonts w:hint="eastAsia" w:ascii="宋体" w:hAnsi="宋体" w:cs="宋体"/>
          <w:color w:val="auto"/>
          <w:spacing w:val="6"/>
          <w:sz w:val="24"/>
          <w:highlight w:val="none"/>
          <w:u w:val="single"/>
        </w:rPr>
        <w:t>。</w:t>
      </w:r>
    </w:p>
    <w:p w14:paraId="15930E53">
      <w:pPr>
        <w:snapToGrid w:val="0"/>
        <w:spacing w:line="360" w:lineRule="auto"/>
        <w:ind w:firstLine="504"/>
        <w:jc w:val="left"/>
        <w:rPr>
          <w:rFonts w:hint="eastAsia" w:ascii="宋体" w:hAnsi="宋体" w:cs="宋体"/>
          <w:color w:val="auto"/>
          <w:spacing w:val="6"/>
          <w:sz w:val="24"/>
          <w:highlight w:val="none"/>
          <w:u w:val="single"/>
        </w:rPr>
      </w:pPr>
      <w:r>
        <w:rPr>
          <w:rFonts w:hint="eastAsia" w:ascii="宋体" w:hAnsi="宋体" w:cs="宋体"/>
          <w:color w:val="auto"/>
          <w:spacing w:val="6"/>
          <w:sz w:val="24"/>
          <w:highlight w:val="none"/>
        </w:rPr>
        <w:t>4.5预计服务工作量:</w:t>
      </w:r>
      <w:r>
        <w:rPr>
          <w:color w:val="auto"/>
          <w:spacing w:val="6"/>
          <w:sz w:val="24"/>
          <w:highlight w:val="none"/>
          <w:u w:val="single"/>
        </w:rPr>
        <w:t xml:space="preserve"> 详见</w:t>
      </w:r>
      <w:r>
        <w:rPr>
          <w:rFonts w:hint="eastAsia"/>
          <w:color w:val="auto"/>
          <w:spacing w:val="6"/>
          <w:sz w:val="24"/>
          <w:highlight w:val="none"/>
          <w:u w:val="single"/>
        </w:rPr>
        <w:t>合同附件2</w:t>
      </w:r>
      <w:r>
        <w:rPr>
          <w:color w:val="auto"/>
          <w:spacing w:val="6"/>
          <w:sz w:val="24"/>
          <w:highlight w:val="none"/>
          <w:u w:val="single"/>
        </w:rPr>
        <w:t>技术条款</w:t>
      </w:r>
      <w:r>
        <w:rPr>
          <w:rFonts w:hint="eastAsia" w:ascii="宋体" w:hAnsi="宋体" w:cs="宋体"/>
          <w:color w:val="auto"/>
          <w:spacing w:val="6"/>
          <w:sz w:val="24"/>
          <w:highlight w:val="none"/>
          <w:u w:val="single"/>
        </w:rPr>
        <w:t>。</w:t>
      </w:r>
    </w:p>
    <w:p w14:paraId="584703D8">
      <w:pPr>
        <w:snapToGrid w:val="0"/>
        <w:spacing w:line="360" w:lineRule="auto"/>
        <w:ind w:firstLine="482"/>
        <w:rPr>
          <w:rFonts w:hint="eastAsia" w:ascii="宋体" w:hAnsi="宋体" w:cs="宋体"/>
          <w:color w:val="auto"/>
          <w:spacing w:val="6"/>
          <w:sz w:val="24"/>
          <w:highlight w:val="none"/>
        </w:rPr>
      </w:pPr>
      <w:r>
        <w:rPr>
          <w:rFonts w:hint="eastAsia" w:ascii="宋体" w:hAnsi="宋体" w:cs="宋体"/>
          <w:b/>
          <w:color w:val="auto"/>
          <w:sz w:val="24"/>
          <w:highlight w:val="none"/>
        </w:rPr>
        <w:t>第五条　</w:t>
      </w:r>
      <w:r>
        <w:rPr>
          <w:rFonts w:hint="eastAsia" w:ascii="宋体" w:hAnsi="宋体" w:cs="宋体"/>
          <w:color w:val="auto"/>
          <w:spacing w:val="6"/>
          <w:sz w:val="24"/>
          <w:highlight w:val="none"/>
        </w:rPr>
        <w:t xml:space="preserve">乙方负责向甲方提交本项目建设成果资料并对其质量负责（详见13.6条）。 </w:t>
      </w:r>
    </w:p>
    <w:p w14:paraId="295A868B">
      <w:pPr>
        <w:snapToGrid w:val="0"/>
        <w:spacing w:line="360" w:lineRule="auto"/>
        <w:ind w:firstLine="482"/>
        <w:rPr>
          <w:rFonts w:hint="eastAsia" w:ascii="宋体" w:hAnsi="宋体" w:cs="宋体"/>
          <w:color w:val="auto"/>
          <w:sz w:val="24"/>
          <w:highlight w:val="none"/>
        </w:rPr>
      </w:pPr>
      <w:r>
        <w:rPr>
          <w:rFonts w:hint="eastAsia" w:ascii="宋体" w:hAnsi="宋体" w:cs="宋体"/>
          <w:b/>
          <w:color w:val="auto"/>
          <w:sz w:val="24"/>
          <w:highlight w:val="none"/>
        </w:rPr>
        <w:t xml:space="preserve">第六条 </w:t>
      </w:r>
      <w:r>
        <w:rPr>
          <w:rFonts w:hint="eastAsia" w:ascii="宋体" w:hAnsi="宋体" w:cs="宋体"/>
          <w:color w:val="auto"/>
          <w:sz w:val="24"/>
          <w:highlight w:val="none"/>
        </w:rPr>
        <w:t>开工及提交</w:t>
      </w:r>
      <w:r>
        <w:rPr>
          <w:rFonts w:hint="eastAsia" w:ascii="宋体" w:hAnsi="宋体" w:cs="宋体"/>
          <w:color w:val="auto"/>
          <w:spacing w:val="6"/>
          <w:sz w:val="24"/>
          <w:highlight w:val="none"/>
        </w:rPr>
        <w:t>本项目施工工作</w:t>
      </w:r>
      <w:r>
        <w:rPr>
          <w:rFonts w:hint="eastAsia" w:ascii="宋体" w:hAnsi="宋体" w:cs="宋体"/>
          <w:color w:val="auto"/>
          <w:sz w:val="24"/>
          <w:highlight w:val="none"/>
        </w:rPr>
        <w:t>成果资料的时间和合同金额及支付方式</w:t>
      </w:r>
    </w:p>
    <w:p w14:paraId="6EEC96B4">
      <w:pPr>
        <w:snapToGrid w:val="0"/>
        <w:spacing w:line="360" w:lineRule="auto"/>
        <w:ind w:firstLine="504"/>
        <w:rPr>
          <w:rFonts w:hint="eastAsia" w:ascii="宋体" w:hAnsi="宋体" w:cs="宋体"/>
          <w:b/>
          <w:color w:val="auto"/>
          <w:spacing w:val="6"/>
          <w:sz w:val="24"/>
          <w:highlight w:val="none"/>
        </w:rPr>
      </w:pPr>
      <w:r>
        <w:rPr>
          <w:rFonts w:hint="eastAsia" w:ascii="宋体" w:hAnsi="宋体" w:cs="宋体"/>
          <w:b/>
          <w:color w:val="auto"/>
          <w:spacing w:val="6"/>
          <w:sz w:val="24"/>
          <w:highlight w:val="none"/>
        </w:rPr>
        <w:t>6.1开工及提交本项目施工工</w:t>
      </w:r>
      <w:r>
        <w:rPr>
          <w:rFonts w:hint="eastAsia" w:ascii="宋体" w:hAnsi="宋体" w:cs="宋体"/>
          <w:b/>
          <w:color w:val="auto"/>
          <w:szCs w:val="21"/>
          <w:highlight w:val="none"/>
        </w:rPr>
        <w:t>作</w:t>
      </w:r>
      <w:r>
        <w:rPr>
          <w:rFonts w:hint="eastAsia" w:ascii="宋体" w:hAnsi="宋体" w:cs="宋体"/>
          <w:b/>
          <w:color w:val="auto"/>
          <w:spacing w:val="6"/>
          <w:sz w:val="24"/>
          <w:highlight w:val="none"/>
        </w:rPr>
        <w:t>成果资料的时间</w:t>
      </w:r>
    </w:p>
    <w:p w14:paraId="68ECC035">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6.1.1乙方提交本项目施工工作成果资料时间：</w:t>
      </w:r>
      <w:r>
        <w:rPr>
          <w:rFonts w:hint="eastAsia" w:ascii="宋体" w:hAnsi="宋体" w:cs="宋体"/>
          <w:color w:val="auto"/>
          <w:spacing w:val="6"/>
          <w:sz w:val="24"/>
          <w:highlight w:val="none"/>
          <w:u w:val="single"/>
        </w:rPr>
        <w:t xml:space="preserve"> </w:t>
      </w:r>
      <w:r>
        <w:rPr>
          <w:rFonts w:hint="eastAsia"/>
          <w:color w:val="auto"/>
          <w:spacing w:val="6"/>
          <w:sz w:val="24"/>
          <w:highlight w:val="none"/>
          <w:u w:val="single"/>
        </w:rPr>
        <w:t xml:space="preserve">    年  月  日</w:t>
      </w:r>
      <w:r>
        <w:rPr>
          <w:rFonts w:hint="eastAsia" w:ascii="宋体" w:hAnsi="宋体" w:cs="宋体"/>
          <w:color w:val="auto"/>
          <w:spacing w:val="6"/>
          <w:sz w:val="24"/>
          <w:highlight w:val="none"/>
          <w:u w:val="single"/>
        </w:rPr>
        <w:t>前</w:t>
      </w:r>
      <w:r>
        <w:rPr>
          <w:rFonts w:hint="eastAsia" w:ascii="宋体" w:hAnsi="宋体" w:cs="宋体"/>
          <w:color w:val="auto"/>
          <w:spacing w:val="6"/>
          <w:sz w:val="24"/>
          <w:highlight w:val="none"/>
        </w:rPr>
        <w:t>。由于甲方或乙方的原因未能按期开工或提交成果资料时，按本合同第九条规定办理。</w:t>
      </w:r>
    </w:p>
    <w:p w14:paraId="711498C1">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6.1.2施工工作有效期限以合同规定的时间为准，如遇特殊情况（不可抗力影响以及非乙方原因造成的停、窝工等）时，工期顺延。</w:t>
      </w:r>
    </w:p>
    <w:p w14:paraId="7785BEC8">
      <w:pPr>
        <w:snapToGrid w:val="0"/>
        <w:spacing w:line="360" w:lineRule="auto"/>
        <w:ind w:firstLine="504" w:firstLineChars="200"/>
        <w:rPr>
          <w:rFonts w:hint="eastAsia" w:ascii="宋体" w:hAnsi="宋体" w:cs="宋体"/>
          <w:color w:val="auto"/>
          <w:spacing w:val="6"/>
          <w:sz w:val="24"/>
          <w:highlight w:val="none"/>
        </w:rPr>
      </w:pPr>
      <w:r>
        <w:rPr>
          <w:rFonts w:hint="eastAsia" w:ascii="宋体" w:hAnsi="宋体" w:cs="宋体"/>
          <w:color w:val="auto"/>
          <w:spacing w:val="6"/>
          <w:sz w:val="24"/>
          <w:highlight w:val="none"/>
        </w:rPr>
        <w:t>6.2合同金额及付款方式</w:t>
      </w:r>
    </w:p>
    <w:p w14:paraId="201E1115">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6.2.1本项目合同金额</w:t>
      </w:r>
      <w:r>
        <w:rPr>
          <w:rFonts w:ascii="宋体" w:hAnsi="宋体" w:cs="宋体"/>
          <w:b/>
          <w:color w:val="auto"/>
          <w:spacing w:val="6"/>
          <w:sz w:val="24"/>
          <w:highlight w:val="none"/>
          <w:u w:val="single"/>
        </w:rPr>
        <w:tab/>
      </w:r>
      <w:r>
        <w:rPr>
          <w:rFonts w:ascii="宋体" w:hAnsi="宋体" w:cs="宋体"/>
          <w:b/>
          <w:color w:val="auto"/>
          <w:spacing w:val="6"/>
          <w:sz w:val="24"/>
          <w:highlight w:val="none"/>
          <w:u w:val="single"/>
        </w:rPr>
        <w:tab/>
      </w:r>
      <w:r>
        <w:rPr>
          <w:rFonts w:hint="eastAsia" w:ascii="宋体" w:hAnsi="宋体" w:cs="宋体"/>
          <w:color w:val="auto"/>
          <w:spacing w:val="6"/>
          <w:sz w:val="24"/>
          <w:highlight w:val="none"/>
        </w:rPr>
        <w:t>元，</w:t>
      </w:r>
      <w:r>
        <w:rPr>
          <w:rFonts w:hint="eastAsia" w:ascii="宋体" w:hAnsi="宋体" w:cs="宋体"/>
          <w:b/>
          <w:color w:val="auto"/>
          <w:spacing w:val="6"/>
          <w:sz w:val="24"/>
          <w:highlight w:val="none"/>
        </w:rPr>
        <w:t>计人民币（大写）</w:t>
      </w:r>
      <w:r>
        <w:rPr>
          <w:rFonts w:ascii="宋体" w:hAnsi="宋体" w:cs="宋体"/>
          <w:b/>
          <w:color w:val="auto"/>
          <w:spacing w:val="6"/>
          <w:sz w:val="24"/>
          <w:highlight w:val="none"/>
          <w:u w:val="single"/>
        </w:rPr>
        <w:tab/>
      </w:r>
      <w:r>
        <w:rPr>
          <w:rFonts w:ascii="宋体" w:hAnsi="宋体" w:cs="宋体"/>
          <w:b/>
          <w:color w:val="auto"/>
          <w:spacing w:val="6"/>
          <w:sz w:val="24"/>
          <w:highlight w:val="none"/>
          <w:u w:val="single"/>
        </w:rPr>
        <w:tab/>
      </w:r>
      <w:r>
        <w:rPr>
          <w:rFonts w:ascii="宋体" w:hAnsi="宋体" w:cs="宋体"/>
          <w:b/>
          <w:color w:val="auto"/>
          <w:spacing w:val="6"/>
          <w:sz w:val="24"/>
          <w:highlight w:val="none"/>
          <w:u w:val="single"/>
        </w:rPr>
        <w:tab/>
      </w:r>
      <w:r>
        <w:rPr>
          <w:rFonts w:hint="eastAsia" w:ascii="宋体" w:hAnsi="宋体" w:cs="宋体"/>
          <w:color w:val="auto"/>
          <w:spacing w:val="6"/>
          <w:sz w:val="24"/>
          <w:highlight w:val="none"/>
        </w:rPr>
        <w:t>。合同金额包含合同文件中规定的项目施工费、设备费（含设备原价、税费、运杂费和采保费）、安装费、调试费、检测费、技术服务费、技术培训费、售后服务费、招标代理服务费、利润、税费、保险费、风险等全部费用。</w:t>
      </w:r>
    </w:p>
    <w:p w14:paraId="2D579E47">
      <w:pPr>
        <w:snapToGrid w:val="0"/>
        <w:spacing w:line="360" w:lineRule="auto"/>
        <w:ind w:firstLine="504"/>
        <w:rPr>
          <w:rFonts w:hint="eastAsia" w:ascii="宋体" w:hAnsi="宋体" w:cs="宋体"/>
          <w:b/>
          <w:color w:val="auto"/>
          <w:spacing w:val="6"/>
          <w:sz w:val="24"/>
          <w:highlight w:val="none"/>
        </w:rPr>
      </w:pPr>
      <w:r>
        <w:rPr>
          <w:rFonts w:hint="eastAsia" w:ascii="宋体" w:hAnsi="宋体" w:cs="宋体"/>
          <w:b/>
          <w:color w:val="auto"/>
          <w:spacing w:val="6"/>
          <w:sz w:val="24"/>
          <w:highlight w:val="none"/>
        </w:rPr>
        <w:t>6.2.2施工费支付方式：</w:t>
      </w:r>
    </w:p>
    <w:p w14:paraId="25C99446">
      <w:pPr>
        <w:snapToGrid w:val="0"/>
        <w:spacing w:line="360" w:lineRule="auto"/>
        <w:ind w:firstLine="504"/>
        <w:rPr>
          <w:rFonts w:hint="eastAsia" w:ascii="宋体" w:hAnsi="宋体" w:cs="宋体"/>
          <w:b/>
          <w:color w:val="auto"/>
          <w:spacing w:val="6"/>
          <w:sz w:val="24"/>
          <w:highlight w:val="none"/>
        </w:rPr>
      </w:pPr>
      <w:r>
        <w:rPr>
          <w:rFonts w:hint="eastAsia" w:ascii="宋体" w:hAnsi="宋体" w:cs="宋体"/>
          <w:b/>
          <w:color w:val="auto"/>
          <w:spacing w:val="6"/>
          <w:sz w:val="24"/>
          <w:highlight w:val="none"/>
        </w:rPr>
        <w:t>6.2.2.1第一次付款.本合同生效，甲方资金到位后</w:t>
      </w:r>
      <w:r>
        <w:rPr>
          <w:rFonts w:ascii="宋体" w:hAnsi="宋体" w:cs="宋体"/>
          <w:b/>
          <w:color w:val="auto"/>
          <w:spacing w:val="6"/>
          <w:sz w:val="24"/>
          <w:highlight w:val="none"/>
        </w:rPr>
        <w:t>，</w:t>
      </w:r>
      <w:r>
        <w:rPr>
          <w:rFonts w:hint="eastAsia" w:ascii="宋体" w:hAnsi="宋体" w:cs="宋体"/>
          <w:b/>
          <w:color w:val="auto"/>
          <w:spacing w:val="6"/>
          <w:sz w:val="24"/>
          <w:highlight w:val="none"/>
        </w:rPr>
        <w:t>且在收到如下单据且审核无误后2</w:t>
      </w:r>
      <w:r>
        <w:rPr>
          <w:rFonts w:ascii="宋体" w:hAnsi="宋体" w:cs="宋体"/>
          <w:b/>
          <w:color w:val="auto"/>
          <w:spacing w:val="6"/>
          <w:sz w:val="24"/>
          <w:highlight w:val="none"/>
        </w:rPr>
        <w:t>0</w:t>
      </w:r>
      <w:r>
        <w:rPr>
          <w:rFonts w:hint="eastAsia" w:ascii="宋体" w:hAnsi="宋体" w:cs="宋体"/>
          <w:b/>
          <w:color w:val="auto"/>
          <w:spacing w:val="6"/>
          <w:sz w:val="24"/>
          <w:highlight w:val="none"/>
        </w:rPr>
        <w:t>个工作日内向乙方支付合同总价40</w:t>
      </w:r>
      <w:r>
        <w:rPr>
          <w:rFonts w:ascii="宋体" w:hAnsi="宋体" w:cs="宋体"/>
          <w:b/>
          <w:color w:val="auto"/>
          <w:spacing w:val="6"/>
          <w:sz w:val="24"/>
          <w:highlight w:val="none"/>
        </w:rPr>
        <w:t>%</w:t>
      </w:r>
      <w:r>
        <w:rPr>
          <w:rFonts w:hint="eastAsia" w:ascii="宋体" w:hAnsi="宋体" w:cs="宋体"/>
          <w:b/>
          <w:color w:val="auto"/>
          <w:spacing w:val="6"/>
          <w:sz w:val="24"/>
          <w:highlight w:val="none"/>
        </w:rPr>
        <w:t>，计人民币（大写）</w:t>
      </w:r>
      <w:r>
        <w:rPr>
          <w:rFonts w:ascii="宋体" w:hAnsi="宋体" w:cs="宋体"/>
          <w:b/>
          <w:color w:val="auto"/>
          <w:spacing w:val="6"/>
          <w:sz w:val="24"/>
          <w:highlight w:val="none"/>
          <w:u w:val="single"/>
        </w:rPr>
        <w:tab/>
      </w:r>
      <w:r>
        <w:rPr>
          <w:rFonts w:ascii="宋体" w:hAnsi="宋体" w:cs="宋体"/>
          <w:b/>
          <w:color w:val="auto"/>
          <w:spacing w:val="6"/>
          <w:sz w:val="24"/>
          <w:highlight w:val="none"/>
          <w:u w:val="single"/>
        </w:rPr>
        <w:tab/>
      </w:r>
      <w:r>
        <w:rPr>
          <w:rFonts w:ascii="宋体" w:hAnsi="宋体" w:cs="宋体"/>
          <w:b/>
          <w:color w:val="auto"/>
          <w:spacing w:val="6"/>
          <w:sz w:val="24"/>
          <w:highlight w:val="none"/>
          <w:u w:val="single"/>
        </w:rPr>
        <w:tab/>
      </w:r>
      <w:r>
        <w:rPr>
          <w:rFonts w:hint="eastAsia" w:ascii="宋体" w:hAnsi="宋体" w:cs="宋体"/>
          <w:b/>
          <w:color w:val="auto"/>
          <w:spacing w:val="6"/>
          <w:sz w:val="24"/>
          <w:highlight w:val="none"/>
          <w:u w:val="single"/>
        </w:rPr>
        <w:t>(¥</w:t>
      </w:r>
      <w:r>
        <w:rPr>
          <w:rFonts w:ascii="宋体" w:hAnsi="宋体" w:cs="宋体"/>
          <w:b/>
          <w:color w:val="auto"/>
          <w:spacing w:val="6"/>
          <w:sz w:val="24"/>
          <w:highlight w:val="none"/>
          <w:u w:val="single"/>
        </w:rPr>
        <w:tab/>
      </w:r>
      <w:r>
        <w:rPr>
          <w:rFonts w:hint="eastAsia" w:ascii="宋体" w:hAnsi="宋体" w:cs="宋体"/>
          <w:b/>
          <w:color w:val="auto"/>
          <w:spacing w:val="6"/>
          <w:sz w:val="24"/>
          <w:highlight w:val="none"/>
          <w:u w:val="single"/>
        </w:rPr>
        <w:t xml:space="preserve">   元）</w:t>
      </w:r>
      <w:r>
        <w:rPr>
          <w:rFonts w:hint="eastAsia" w:ascii="宋体" w:hAnsi="宋体" w:cs="宋体"/>
          <w:b/>
          <w:color w:val="auto"/>
          <w:spacing w:val="6"/>
          <w:sz w:val="24"/>
          <w:highlight w:val="none"/>
        </w:rPr>
        <w:t>。</w:t>
      </w:r>
    </w:p>
    <w:p w14:paraId="4A09B4A4">
      <w:pPr>
        <w:snapToGrid w:val="0"/>
        <w:spacing w:line="360" w:lineRule="auto"/>
        <w:ind w:firstLine="504"/>
        <w:rPr>
          <w:b/>
          <w:color w:val="auto"/>
          <w:spacing w:val="6"/>
          <w:sz w:val="24"/>
          <w:highlight w:val="none"/>
        </w:rPr>
      </w:pPr>
      <w:r>
        <w:rPr>
          <w:b/>
          <w:color w:val="auto"/>
          <w:spacing w:val="6"/>
          <w:sz w:val="24"/>
          <w:highlight w:val="none"/>
        </w:rPr>
        <w:t>（1）</w:t>
      </w:r>
      <w:bookmarkStart w:id="0" w:name="_Hlk172825550"/>
      <w:r>
        <w:rPr>
          <w:b/>
          <w:color w:val="auto"/>
          <w:spacing w:val="6"/>
          <w:sz w:val="24"/>
          <w:highlight w:val="none"/>
        </w:rPr>
        <w:t>与支付金额相同的正式商业发票</w:t>
      </w:r>
      <w:bookmarkEnd w:id="0"/>
      <w:r>
        <w:rPr>
          <w:b/>
          <w:color w:val="auto"/>
          <w:spacing w:val="6"/>
          <w:sz w:val="24"/>
          <w:highlight w:val="none"/>
        </w:rPr>
        <w:t>正本1份。</w:t>
      </w:r>
    </w:p>
    <w:p w14:paraId="2BE6C8D3">
      <w:pPr>
        <w:snapToGrid w:val="0"/>
        <w:spacing w:line="360" w:lineRule="auto"/>
        <w:ind w:firstLine="504"/>
        <w:rPr>
          <w:rFonts w:hint="eastAsia" w:ascii="宋体" w:hAnsi="宋体" w:cs="宋体"/>
          <w:b/>
          <w:color w:val="auto"/>
          <w:spacing w:val="6"/>
          <w:sz w:val="24"/>
          <w:highlight w:val="none"/>
        </w:rPr>
      </w:pPr>
      <w:r>
        <w:rPr>
          <w:b/>
          <w:color w:val="auto"/>
          <w:spacing w:val="6"/>
          <w:sz w:val="24"/>
          <w:highlight w:val="none"/>
        </w:rPr>
        <w:t>（2）</w:t>
      </w:r>
      <w:r>
        <w:rPr>
          <w:rFonts w:hint="eastAsia" w:ascii="宋体" w:hAnsi="宋体" w:cs="宋体"/>
          <w:b/>
          <w:color w:val="auto"/>
          <w:spacing w:val="6"/>
          <w:sz w:val="24"/>
          <w:highlight w:val="none"/>
        </w:rPr>
        <w:t>乙方须按甲方的要求出具合同总价10%金额的履约保函1份，有效期截止至项目合同验收（有效期不少于240天）。在合同执行期间，乙方须保证履约保函有效合法。</w:t>
      </w:r>
    </w:p>
    <w:p w14:paraId="3A9F210A">
      <w:pPr>
        <w:snapToGrid w:val="0"/>
        <w:spacing w:line="360" w:lineRule="auto"/>
        <w:ind w:firstLine="504"/>
        <w:rPr>
          <w:rFonts w:hint="eastAsia" w:ascii="宋体" w:hAnsi="宋体" w:cs="宋体"/>
          <w:b/>
          <w:color w:val="auto"/>
          <w:spacing w:val="6"/>
          <w:sz w:val="24"/>
          <w:highlight w:val="none"/>
        </w:rPr>
      </w:pPr>
      <w:r>
        <w:rPr>
          <w:rFonts w:hint="eastAsia" w:ascii="宋体" w:hAnsi="宋体" w:cs="宋体"/>
          <w:b/>
          <w:color w:val="auto"/>
          <w:spacing w:val="6"/>
          <w:sz w:val="24"/>
          <w:highlight w:val="none"/>
        </w:rPr>
        <w:t>6.2.2.2第二次付款.乙方已完成监测井建设土建工程量的60%，甲方根据资金到位情况，且在收到与支付金额相同的正式商业发票且审核无误后20个工作日内，本次支付合同总价的50%,计人民币（大写）</w:t>
      </w:r>
      <w:r>
        <w:rPr>
          <w:rFonts w:ascii="宋体" w:hAnsi="宋体" w:cs="宋体"/>
          <w:b/>
          <w:color w:val="auto"/>
          <w:spacing w:val="6"/>
          <w:sz w:val="24"/>
          <w:highlight w:val="none"/>
          <w:u w:val="single"/>
        </w:rPr>
        <w:tab/>
      </w:r>
      <w:r>
        <w:rPr>
          <w:rFonts w:ascii="宋体" w:hAnsi="宋体" w:cs="宋体"/>
          <w:b/>
          <w:color w:val="auto"/>
          <w:spacing w:val="6"/>
          <w:sz w:val="24"/>
          <w:highlight w:val="none"/>
          <w:u w:val="single"/>
        </w:rPr>
        <w:tab/>
      </w:r>
      <w:r>
        <w:rPr>
          <w:rFonts w:ascii="宋体" w:hAnsi="宋体" w:cs="宋体"/>
          <w:b/>
          <w:color w:val="auto"/>
          <w:spacing w:val="6"/>
          <w:sz w:val="24"/>
          <w:highlight w:val="none"/>
          <w:u w:val="single"/>
        </w:rPr>
        <w:tab/>
      </w:r>
      <w:r>
        <w:rPr>
          <w:rFonts w:hint="eastAsia" w:ascii="宋体" w:hAnsi="宋体" w:cs="宋体"/>
          <w:b/>
          <w:color w:val="auto"/>
          <w:spacing w:val="6"/>
          <w:sz w:val="24"/>
          <w:highlight w:val="none"/>
          <w:u w:val="single"/>
        </w:rPr>
        <w:t xml:space="preserve">(¥  </w:t>
      </w:r>
      <w:r>
        <w:rPr>
          <w:rFonts w:ascii="宋体" w:hAnsi="宋体" w:cs="宋体"/>
          <w:b/>
          <w:color w:val="auto"/>
          <w:spacing w:val="6"/>
          <w:sz w:val="24"/>
          <w:highlight w:val="none"/>
          <w:u w:val="single"/>
        </w:rPr>
        <w:tab/>
      </w:r>
      <w:r>
        <w:rPr>
          <w:rFonts w:hint="eastAsia" w:ascii="宋体" w:hAnsi="宋体" w:cs="宋体"/>
          <w:b/>
          <w:color w:val="auto"/>
          <w:spacing w:val="6"/>
          <w:sz w:val="24"/>
          <w:highlight w:val="none"/>
          <w:u w:val="single"/>
        </w:rPr>
        <w:t>元）</w:t>
      </w:r>
      <w:r>
        <w:rPr>
          <w:rFonts w:hint="eastAsia" w:ascii="宋体" w:hAnsi="宋体" w:cs="宋体"/>
          <w:b/>
          <w:color w:val="auto"/>
          <w:spacing w:val="6"/>
          <w:sz w:val="24"/>
          <w:highlight w:val="none"/>
        </w:rPr>
        <w:t>。</w:t>
      </w:r>
    </w:p>
    <w:p w14:paraId="45AF072F">
      <w:pPr>
        <w:snapToGrid w:val="0"/>
        <w:spacing w:line="360" w:lineRule="auto"/>
        <w:ind w:firstLine="504"/>
        <w:rPr>
          <w:rFonts w:hint="eastAsia" w:ascii="宋体" w:hAnsi="宋体" w:cs="宋体"/>
          <w:b/>
          <w:color w:val="auto"/>
          <w:spacing w:val="6"/>
          <w:sz w:val="24"/>
          <w:highlight w:val="none"/>
        </w:rPr>
      </w:pPr>
      <w:r>
        <w:rPr>
          <w:rFonts w:hint="eastAsia" w:ascii="宋体" w:hAnsi="宋体" w:cs="宋体"/>
          <w:b/>
          <w:color w:val="auto"/>
          <w:spacing w:val="6"/>
          <w:sz w:val="24"/>
          <w:highlight w:val="none"/>
        </w:rPr>
        <w:t>6.2.2.3第三次付款. 乙方完成本合同约定</w:t>
      </w:r>
      <w:r>
        <w:rPr>
          <w:rFonts w:ascii="宋体" w:hAnsi="宋体" w:cs="宋体"/>
          <w:b/>
          <w:color w:val="auto"/>
          <w:spacing w:val="6"/>
          <w:sz w:val="24"/>
          <w:highlight w:val="none"/>
        </w:rPr>
        <w:t>的所有</w:t>
      </w:r>
      <w:r>
        <w:rPr>
          <w:rFonts w:hint="eastAsia" w:ascii="宋体" w:hAnsi="宋体" w:cs="宋体"/>
          <w:b/>
          <w:color w:val="auto"/>
          <w:spacing w:val="6"/>
          <w:sz w:val="24"/>
          <w:highlight w:val="none"/>
        </w:rPr>
        <w:t>工程量后，</w:t>
      </w:r>
      <w:r>
        <w:rPr>
          <w:rFonts w:ascii="宋体" w:hAnsi="宋体" w:cs="宋体"/>
          <w:b/>
          <w:color w:val="auto"/>
          <w:spacing w:val="6"/>
          <w:sz w:val="24"/>
          <w:highlight w:val="none"/>
        </w:rPr>
        <w:t>施工</w:t>
      </w:r>
      <w:r>
        <w:rPr>
          <w:rFonts w:hint="eastAsia" w:ascii="宋体" w:hAnsi="宋体" w:cs="宋体"/>
          <w:b/>
          <w:color w:val="auto"/>
          <w:spacing w:val="6"/>
          <w:sz w:val="24"/>
          <w:highlight w:val="none"/>
        </w:rPr>
        <w:t>及合同验收</w:t>
      </w:r>
      <w:r>
        <w:rPr>
          <w:rFonts w:ascii="宋体" w:hAnsi="宋体" w:cs="宋体"/>
          <w:b/>
          <w:color w:val="auto"/>
          <w:spacing w:val="6"/>
          <w:sz w:val="24"/>
          <w:highlight w:val="none"/>
        </w:rPr>
        <w:t>资料</w:t>
      </w:r>
      <w:r>
        <w:rPr>
          <w:rFonts w:hint="eastAsia" w:ascii="宋体" w:hAnsi="宋体" w:cs="宋体"/>
          <w:b/>
          <w:color w:val="auto"/>
          <w:spacing w:val="6"/>
          <w:sz w:val="24"/>
          <w:highlight w:val="none"/>
        </w:rPr>
        <w:t>齐全，</w:t>
      </w:r>
      <w:r>
        <w:rPr>
          <w:rFonts w:ascii="宋体" w:hAnsi="宋体" w:cs="宋体"/>
          <w:b/>
          <w:color w:val="auto"/>
          <w:spacing w:val="6"/>
          <w:sz w:val="24"/>
          <w:highlight w:val="none"/>
        </w:rPr>
        <w:t>验收完成</w:t>
      </w:r>
      <w:r>
        <w:rPr>
          <w:rFonts w:hint="eastAsia" w:ascii="宋体" w:hAnsi="宋体" w:cs="宋体"/>
          <w:b/>
          <w:color w:val="auto"/>
          <w:spacing w:val="6"/>
          <w:sz w:val="24"/>
          <w:highlight w:val="none"/>
        </w:rPr>
        <w:t>，经甲方</w:t>
      </w:r>
      <w:r>
        <w:rPr>
          <w:rFonts w:ascii="宋体" w:hAnsi="宋体" w:cs="宋体"/>
          <w:b/>
          <w:color w:val="auto"/>
          <w:spacing w:val="6"/>
          <w:sz w:val="24"/>
          <w:highlight w:val="none"/>
        </w:rPr>
        <w:t>确认无误后</w:t>
      </w:r>
      <w:r>
        <w:rPr>
          <w:rFonts w:hint="eastAsia" w:ascii="宋体" w:hAnsi="宋体" w:cs="宋体"/>
          <w:b/>
          <w:color w:val="auto"/>
          <w:spacing w:val="6"/>
          <w:sz w:val="24"/>
          <w:highlight w:val="none"/>
        </w:rPr>
        <w:t>，甲方根据资金到位情况，且在收到与支付金额相同的正式商业发票且审核无误后20个工作日内，本次支付合同总价的10%,计人民币（大写）</w:t>
      </w:r>
      <w:r>
        <w:rPr>
          <w:rFonts w:ascii="宋体" w:hAnsi="宋体" w:cs="宋体"/>
          <w:b/>
          <w:color w:val="auto"/>
          <w:spacing w:val="6"/>
          <w:sz w:val="24"/>
          <w:highlight w:val="none"/>
          <w:u w:val="single"/>
        </w:rPr>
        <w:tab/>
      </w:r>
      <w:r>
        <w:rPr>
          <w:rFonts w:ascii="宋体" w:hAnsi="宋体" w:cs="宋体"/>
          <w:b/>
          <w:color w:val="auto"/>
          <w:spacing w:val="6"/>
          <w:sz w:val="24"/>
          <w:highlight w:val="none"/>
          <w:u w:val="single"/>
        </w:rPr>
        <w:tab/>
      </w:r>
      <w:r>
        <w:rPr>
          <w:rFonts w:ascii="宋体" w:hAnsi="宋体" w:cs="宋体"/>
          <w:b/>
          <w:color w:val="auto"/>
          <w:spacing w:val="6"/>
          <w:sz w:val="24"/>
          <w:highlight w:val="none"/>
          <w:u w:val="single"/>
        </w:rPr>
        <w:tab/>
      </w:r>
      <w:r>
        <w:rPr>
          <w:rFonts w:hint="eastAsia" w:ascii="宋体" w:hAnsi="宋体" w:cs="宋体"/>
          <w:b/>
          <w:color w:val="auto"/>
          <w:spacing w:val="6"/>
          <w:sz w:val="24"/>
          <w:highlight w:val="none"/>
          <w:u w:val="single"/>
        </w:rPr>
        <w:t xml:space="preserve">(¥  </w:t>
      </w:r>
      <w:r>
        <w:rPr>
          <w:rFonts w:ascii="宋体" w:hAnsi="宋体" w:cs="宋体"/>
          <w:b/>
          <w:color w:val="auto"/>
          <w:spacing w:val="6"/>
          <w:sz w:val="24"/>
          <w:highlight w:val="none"/>
          <w:u w:val="single"/>
        </w:rPr>
        <w:tab/>
      </w:r>
      <w:r>
        <w:rPr>
          <w:rFonts w:hint="eastAsia" w:ascii="宋体" w:hAnsi="宋体" w:cs="宋体"/>
          <w:b/>
          <w:color w:val="auto"/>
          <w:spacing w:val="6"/>
          <w:sz w:val="24"/>
          <w:highlight w:val="none"/>
          <w:u w:val="single"/>
        </w:rPr>
        <w:t>元）</w:t>
      </w:r>
      <w:r>
        <w:rPr>
          <w:rFonts w:hint="eastAsia" w:ascii="宋体" w:hAnsi="宋体" w:cs="宋体"/>
          <w:b/>
          <w:color w:val="auto"/>
          <w:spacing w:val="6"/>
          <w:sz w:val="24"/>
          <w:highlight w:val="none"/>
        </w:rPr>
        <w:t>。</w:t>
      </w:r>
    </w:p>
    <w:p w14:paraId="0A2DAA4D">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6.3乙方根据合同第七条的规定向甲方支付违约金、罚款和赔偿金时，甲方有权从相应付款中予以扣除。</w:t>
      </w:r>
    </w:p>
    <w:p w14:paraId="35CD1CAF">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6.4甲方发生的银行费用应由甲方负担，甲方银行账户以外发生的一切费用均应由乙方负担。</w:t>
      </w:r>
    </w:p>
    <w:p w14:paraId="09072BC6">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6.5由于甲方因办理国库支付手续而造成的合同款的支付延误，不视为违约。</w:t>
      </w:r>
    </w:p>
    <w:p w14:paraId="4F569FDF">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6.6双方委托银行代付代收有关费用。</w:t>
      </w:r>
    </w:p>
    <w:p w14:paraId="6920D1A8">
      <w:pPr>
        <w:spacing w:line="360" w:lineRule="auto"/>
        <w:ind w:firstLine="482"/>
        <w:rPr>
          <w:rFonts w:ascii="Times New Roman" w:hAnsi="Times New Roman"/>
          <w:color w:val="auto"/>
          <w:sz w:val="24"/>
          <w:highlight w:val="none"/>
        </w:rPr>
      </w:pPr>
      <w:r>
        <w:rPr>
          <w:rFonts w:ascii="Times New Roman" w:hAnsi="Times New Roman"/>
          <w:b/>
          <w:color w:val="auto"/>
          <w:sz w:val="24"/>
          <w:highlight w:val="none"/>
        </w:rPr>
        <w:t>第</w:t>
      </w:r>
      <w:r>
        <w:rPr>
          <w:rFonts w:hint="eastAsia" w:ascii="Times New Roman" w:hAnsi="Times New Roman"/>
          <w:b/>
          <w:color w:val="auto"/>
          <w:sz w:val="24"/>
          <w:highlight w:val="none"/>
        </w:rPr>
        <w:t>七</w:t>
      </w:r>
      <w:r>
        <w:rPr>
          <w:rFonts w:ascii="Times New Roman" w:hAnsi="Times New Roman"/>
          <w:b/>
          <w:color w:val="auto"/>
          <w:sz w:val="24"/>
          <w:highlight w:val="none"/>
        </w:rPr>
        <w:t>条　</w:t>
      </w:r>
      <w:r>
        <w:rPr>
          <w:rFonts w:ascii="Times New Roman" w:hAnsi="Times New Roman"/>
          <w:color w:val="auto"/>
          <w:sz w:val="24"/>
          <w:highlight w:val="none"/>
        </w:rPr>
        <w:t>双方责任</w:t>
      </w:r>
    </w:p>
    <w:p w14:paraId="61082426">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7.1甲方责任</w:t>
      </w:r>
    </w:p>
    <w:p w14:paraId="27C77F66">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7.1.1甲方按本合同第二条规定的内容，在合同签订后</w:t>
      </w:r>
      <w:r>
        <w:rPr>
          <w:rFonts w:hint="eastAsia" w:ascii="宋体" w:hAnsi="宋体" w:cs="宋体"/>
          <w:color w:val="auto"/>
          <w:spacing w:val="6"/>
          <w:sz w:val="24"/>
          <w:highlight w:val="none"/>
          <w:u w:val="single"/>
        </w:rPr>
        <w:t xml:space="preserve">  7</w:t>
      </w:r>
      <w:r>
        <w:rPr>
          <w:rFonts w:hint="eastAsia" w:ascii="宋体" w:hAnsi="宋体" w:cs="宋体"/>
          <w:color w:val="auto"/>
          <w:spacing w:val="6"/>
          <w:sz w:val="24"/>
          <w:highlight w:val="none"/>
        </w:rPr>
        <w:t>天内向乙方提交基础资料，并对其完整性、正确性及时限负责。甲方不得要求乙方违反国家有关标准进行建设工作。</w:t>
      </w:r>
    </w:p>
    <w:p w14:paraId="102C01C7">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7.1.2甲方应按本合同规定的金额和日期向乙方支付</w:t>
      </w:r>
      <w:r>
        <w:rPr>
          <w:rFonts w:ascii="Times New Roman" w:hAnsi="Times New Roman"/>
          <w:color w:val="auto"/>
          <w:spacing w:val="6"/>
          <w:sz w:val="24"/>
          <w:highlight w:val="none"/>
        </w:rPr>
        <w:t>合同款</w:t>
      </w:r>
      <w:r>
        <w:rPr>
          <w:rFonts w:hint="eastAsia" w:ascii="宋体" w:hAnsi="宋体" w:cs="宋体"/>
          <w:color w:val="auto"/>
          <w:spacing w:val="6"/>
          <w:sz w:val="24"/>
          <w:highlight w:val="none"/>
        </w:rPr>
        <w:t>。</w:t>
      </w:r>
    </w:p>
    <w:p w14:paraId="5ED0CC3C">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7.1.3甲方应保护乙方的施工方案、报告书、文件、资料图纸、数据、特殊工艺（方法）、专利技术和合理化建议。</w:t>
      </w:r>
    </w:p>
    <w:p w14:paraId="07F82AA1">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7.1.4本合同有关条款和补充协议中规定的甲方应负的其它责任。</w:t>
      </w:r>
    </w:p>
    <w:p w14:paraId="30C319DF">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7.2乙方责任</w:t>
      </w:r>
    </w:p>
    <w:p w14:paraId="045888B6">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7.2.1乙方应按国家技术规范、标准、规程和甲方的技术要求进行工程建设。按本合同规定的时间提交质量合格的施工成果文件，并对其负责。</w:t>
      </w:r>
    </w:p>
    <w:p w14:paraId="3A312F0C">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7.2.2乙方应按任务的要求编制施工方案并经甲方审核同意。</w:t>
      </w:r>
    </w:p>
    <w:p w14:paraId="440AC1BB">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7.2.3乙方应提供所有关键工作、工序的图表、照片、文字资料、影像资料。</w:t>
      </w:r>
    </w:p>
    <w:p w14:paraId="4F1514B1">
      <w:pPr>
        <w:snapToGrid w:val="0"/>
        <w:spacing w:line="360" w:lineRule="auto"/>
        <w:ind w:firstLine="504" w:firstLineChars="200"/>
        <w:rPr>
          <w:rFonts w:hint="eastAsia" w:ascii="宋体" w:hAnsi="宋体" w:cs="宋体"/>
          <w:color w:val="auto"/>
          <w:spacing w:val="6"/>
          <w:sz w:val="24"/>
          <w:highlight w:val="none"/>
        </w:rPr>
      </w:pPr>
      <w:r>
        <w:rPr>
          <w:rFonts w:hint="eastAsia" w:ascii="宋体" w:hAnsi="宋体" w:cs="宋体"/>
          <w:color w:val="auto"/>
          <w:spacing w:val="6"/>
          <w:sz w:val="24"/>
          <w:highlight w:val="none"/>
        </w:rPr>
        <w:t>7.2.4乙方应做好监测站占地、施工占地及施工道路等有关工作，提交监测站占地协议（特殊情况另行说明）并承担相应的费用。</w:t>
      </w:r>
    </w:p>
    <w:p w14:paraId="7EEC549E">
      <w:pPr>
        <w:snapToGrid w:val="0"/>
        <w:spacing w:before="240" w:line="360" w:lineRule="auto"/>
        <w:ind w:firstLine="504"/>
        <w:rPr>
          <w:rFonts w:hint="eastAsia" w:ascii="宋体" w:hAnsi="宋体" w:cs="宋体"/>
          <w:b/>
          <w:color w:val="auto"/>
          <w:spacing w:val="6"/>
          <w:sz w:val="24"/>
          <w:highlight w:val="none"/>
        </w:rPr>
      </w:pPr>
      <w:r>
        <w:rPr>
          <w:rFonts w:hint="eastAsia" w:ascii="宋体" w:hAnsi="宋体" w:cs="宋体"/>
          <w:color w:val="auto"/>
          <w:spacing w:val="6"/>
          <w:sz w:val="24"/>
          <w:highlight w:val="none"/>
        </w:rPr>
        <w:t>7.2.5工程使用年限应符合国家和行业现行规范规程及设计的要求。</w:t>
      </w:r>
      <w:r>
        <w:rPr>
          <w:rFonts w:hint="eastAsia" w:ascii="宋体" w:hAnsi="宋体" w:cs="宋体"/>
          <w:b/>
          <w:bCs/>
          <w:color w:val="auto"/>
          <w:spacing w:val="6"/>
          <w:sz w:val="24"/>
          <w:highlight w:val="none"/>
        </w:rPr>
        <w:t>监测井及附属设置质量保修期为3年，监测设备质量保质期为2年，电池质保质期为1年。</w:t>
      </w:r>
      <w:r>
        <w:rPr>
          <w:rFonts w:hint="eastAsia" w:ascii="宋体" w:hAnsi="宋体" w:cs="宋体"/>
          <w:color w:val="auto"/>
          <w:spacing w:val="6"/>
          <w:sz w:val="24"/>
          <w:highlight w:val="none"/>
        </w:rPr>
        <w:t>质量保修（保证）期内工程主体及设备质量出现问题，施工单位应及时维修或更换。</w:t>
      </w:r>
      <w:r>
        <w:rPr>
          <w:rFonts w:hint="eastAsia" w:ascii="宋体" w:hAnsi="宋体" w:cs="宋体"/>
          <w:b/>
          <w:color w:val="auto"/>
          <w:spacing w:val="6"/>
          <w:sz w:val="24"/>
          <w:highlight w:val="none"/>
        </w:rPr>
        <w:t>质量保证时间从合同工程完工验收通过后开始计算。</w:t>
      </w:r>
    </w:p>
    <w:p w14:paraId="0ACCE64C">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7.2.6乙方对施工成果文件出现的遗漏或错误负责修改或补充。由于乙方施工错误造成工程质量事故损失，乙方除负责采取补救措施外，应免收受损失部分的合同款，并根据损失程度向甲方支付赔偿金，赔偿金数额最高为合同总价款的</w:t>
      </w:r>
      <w:r>
        <w:rPr>
          <w:rFonts w:hint="eastAsia" w:ascii="宋体" w:hAnsi="宋体" w:cs="宋体"/>
          <w:color w:val="auto"/>
          <w:spacing w:val="6"/>
          <w:sz w:val="24"/>
          <w:highlight w:val="none"/>
          <w:u w:val="single"/>
        </w:rPr>
        <w:t>100</w:t>
      </w:r>
      <w:r>
        <w:rPr>
          <w:rFonts w:hint="eastAsia" w:ascii="宋体" w:hAnsi="宋体" w:cs="宋体"/>
          <w:color w:val="auto"/>
          <w:spacing w:val="6"/>
          <w:sz w:val="24"/>
          <w:highlight w:val="none"/>
        </w:rPr>
        <w:t>％。</w:t>
      </w:r>
    </w:p>
    <w:p w14:paraId="42FBC474">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7.2.7乙方交付施工成果文件后，应接受甲方组织的审查，并根据审查意见进行调整补充，直至审查通过为止。</w:t>
      </w:r>
    </w:p>
    <w:p w14:paraId="3415A344">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7.2.8乙方不得将主体工程分包给第三人。</w:t>
      </w:r>
    </w:p>
    <w:p w14:paraId="5B7BE084">
      <w:pPr>
        <w:spacing w:line="360" w:lineRule="auto"/>
        <w:ind w:firstLine="480"/>
        <w:rPr>
          <w:rFonts w:hint="eastAsia" w:ascii="宋体" w:hAnsi="宋体" w:cs="宋体"/>
          <w:color w:val="auto"/>
          <w:spacing w:val="6"/>
          <w:sz w:val="24"/>
          <w:highlight w:val="none"/>
        </w:rPr>
      </w:pPr>
      <w:r>
        <w:rPr>
          <w:rFonts w:hint="eastAsia" w:ascii="宋体" w:hAnsi="宋体" w:cs="宋体"/>
          <w:color w:val="auto"/>
          <w:spacing w:val="6"/>
          <w:sz w:val="24"/>
          <w:highlight w:val="none"/>
        </w:rPr>
        <w:t>7.2.9乙方对参加本项目施工的工作人员的人身、财产及投入使用的设备安全负全部责任，应按照《陕西省水利厅关于印发&lt;陕西省水利工程建设安全生产责任保险实施意见（试行）&gt;的通知》(陕水建发〔2024〕73号)文件精神，应办理相关人员的人身意外伤害险，如发生安全事故由乙方承担责任。要做好施工场地的安全防护和环境保护工作，如发生安全事故或纠纷由乙方负责。</w:t>
      </w:r>
      <w:r>
        <w:rPr>
          <w:rFonts w:hint="eastAsia" w:ascii="Times New Roman" w:hAnsi="Times New Roman"/>
          <w:color w:val="auto"/>
          <w:sz w:val="24"/>
          <w:highlight w:val="none"/>
        </w:rPr>
        <w:t>保险费含在合同总价之中。</w:t>
      </w:r>
    </w:p>
    <w:p w14:paraId="7C3685EE">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7.2.10乙方应接受甲方或其委托人员的要求对项目质量的监督检查。</w:t>
      </w:r>
    </w:p>
    <w:p w14:paraId="3E92F69D">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7.2.11乙方还应向甲方提交由本合同产生的其他应归档文件资料。乙方对所提交资料完整性、真实性负责。</w:t>
      </w:r>
    </w:p>
    <w:p w14:paraId="115EEE77">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7.2.12本合同有关条款规定和补充协议中乙方应负的其它责任。</w:t>
      </w:r>
    </w:p>
    <w:p w14:paraId="1E7FB411">
      <w:pPr>
        <w:spacing w:line="360" w:lineRule="auto"/>
        <w:ind w:firstLine="480" w:firstLineChars="200"/>
        <w:jc w:val="left"/>
        <w:rPr>
          <w:rFonts w:ascii="Times New Roman" w:hAnsi="Times New Roman"/>
          <w:bCs/>
          <w:color w:val="auto"/>
          <w:sz w:val="24"/>
          <w:szCs w:val="20"/>
          <w:highlight w:val="none"/>
        </w:rPr>
      </w:pPr>
      <w:r>
        <w:rPr>
          <w:rFonts w:ascii="Times New Roman" w:hAnsi="Times New Roman"/>
          <w:b/>
          <w:color w:val="auto"/>
          <w:sz w:val="24"/>
          <w:highlight w:val="none"/>
        </w:rPr>
        <w:t>第</w:t>
      </w:r>
      <w:r>
        <w:rPr>
          <w:rFonts w:hint="eastAsia" w:ascii="Times New Roman" w:hAnsi="Times New Roman"/>
          <w:b/>
          <w:color w:val="auto"/>
          <w:sz w:val="24"/>
          <w:highlight w:val="none"/>
        </w:rPr>
        <w:t>八</w:t>
      </w:r>
      <w:r>
        <w:rPr>
          <w:rFonts w:ascii="Times New Roman" w:hAnsi="Times New Roman"/>
          <w:b/>
          <w:color w:val="auto"/>
          <w:sz w:val="24"/>
          <w:highlight w:val="none"/>
        </w:rPr>
        <w:t>条　</w:t>
      </w:r>
      <w:r>
        <w:rPr>
          <w:rFonts w:hint="eastAsia" w:ascii="Times New Roman" w:hAnsi="Times New Roman"/>
          <w:bCs/>
          <w:color w:val="auto"/>
          <w:sz w:val="24"/>
          <w:szCs w:val="20"/>
          <w:highlight w:val="none"/>
        </w:rPr>
        <w:t>售后服务</w:t>
      </w:r>
    </w:p>
    <w:p w14:paraId="6B772723">
      <w:pPr>
        <w:tabs>
          <w:tab w:val="left" w:pos="7920"/>
        </w:tabs>
        <w:snapToGrid w:val="0"/>
        <w:spacing w:line="360" w:lineRule="auto"/>
        <w:ind w:firstLine="480" w:firstLineChars="200"/>
        <w:jc w:val="left"/>
        <w:rPr>
          <w:rFonts w:ascii="Times New Roman" w:hAnsi="Times New Roman"/>
          <w:color w:val="auto"/>
          <w:sz w:val="24"/>
          <w:szCs w:val="20"/>
          <w:highlight w:val="none"/>
        </w:rPr>
      </w:pPr>
      <w:r>
        <w:rPr>
          <w:rFonts w:hint="eastAsia" w:ascii="Times New Roman" w:hAnsi="Times New Roman"/>
          <w:color w:val="auto"/>
          <w:sz w:val="24"/>
          <w:szCs w:val="20"/>
          <w:highlight w:val="none"/>
        </w:rPr>
        <w:t>8.1 乙方应免费提供给甲方本次招标仪器设备总套数不低于10%的整套（即3台套）同款产品作为替换备用设备，并应推荐设备长期运行必需的备品备件的品种、规格、单价。甲方再次购买备品备件的价格不得高于本次合同中同类备品备件的价格，并保证备品、备件是可提供的。</w:t>
      </w:r>
    </w:p>
    <w:p w14:paraId="7C33991B">
      <w:pPr>
        <w:tabs>
          <w:tab w:val="left" w:pos="7920"/>
        </w:tabs>
        <w:snapToGrid w:val="0"/>
        <w:spacing w:line="360" w:lineRule="auto"/>
        <w:ind w:firstLine="480" w:firstLineChars="200"/>
        <w:jc w:val="left"/>
        <w:rPr>
          <w:rFonts w:ascii="Times New Roman" w:hAnsi="Times New Roman"/>
          <w:color w:val="auto"/>
          <w:sz w:val="24"/>
          <w:szCs w:val="20"/>
          <w:highlight w:val="none"/>
        </w:rPr>
      </w:pPr>
      <w:r>
        <w:rPr>
          <w:rFonts w:hint="eastAsia" w:ascii="Times New Roman" w:hAnsi="Times New Roman"/>
          <w:b/>
          <w:color w:val="auto"/>
          <w:sz w:val="24"/>
          <w:szCs w:val="20"/>
          <w:highlight w:val="none"/>
        </w:rPr>
        <w:t xml:space="preserve">8.2 </w:t>
      </w:r>
      <w:r>
        <w:rPr>
          <w:rFonts w:hint="eastAsia" w:ascii="Times New Roman" w:hAnsi="Times New Roman"/>
          <w:b/>
          <w:bCs/>
          <w:color w:val="auto"/>
          <w:sz w:val="24"/>
          <w:szCs w:val="20"/>
          <w:highlight w:val="none"/>
        </w:rPr>
        <w:t>乙方对合同自动监测设备在质保期内免费维修或更换</w:t>
      </w:r>
      <w:r>
        <w:rPr>
          <w:rFonts w:hint="eastAsia" w:ascii="Times New Roman" w:hAnsi="Times New Roman"/>
          <w:color w:val="auto"/>
          <w:sz w:val="24"/>
          <w:szCs w:val="20"/>
          <w:highlight w:val="none"/>
        </w:rPr>
        <w:t>。质保期的服务内容包括：设备的维护和保养、非人为故障的排除、提供仪器软件的升级服务等。质保期间对于人为或违反操作规程导致仪器设备损坏、损毁，应提供维修服务，可视情况收取适量的服务费。</w:t>
      </w:r>
    </w:p>
    <w:p w14:paraId="2449D974">
      <w:pPr>
        <w:tabs>
          <w:tab w:val="left" w:pos="7920"/>
        </w:tabs>
        <w:snapToGrid w:val="0"/>
        <w:spacing w:line="360" w:lineRule="auto"/>
        <w:ind w:firstLine="480" w:firstLineChars="200"/>
        <w:jc w:val="left"/>
        <w:rPr>
          <w:rFonts w:ascii="Times New Roman" w:hAnsi="Times New Roman"/>
          <w:color w:val="auto"/>
          <w:sz w:val="24"/>
          <w:szCs w:val="20"/>
          <w:highlight w:val="none"/>
        </w:rPr>
      </w:pPr>
      <w:r>
        <w:rPr>
          <w:rFonts w:hint="eastAsia" w:ascii="Times New Roman" w:hAnsi="Times New Roman"/>
          <w:color w:val="auto"/>
          <w:sz w:val="24"/>
          <w:szCs w:val="20"/>
          <w:highlight w:val="none"/>
        </w:rPr>
        <w:t>8.3 售后服务响应及到达现场的时间：乙方接到自动监测设备报修或故障通知后，乙方应在24小时内给出电话服务支持或技术响应，3个工作日内制定完整解决方案，5个工作日内免费现场解决故障问题，期间乙方产生的所有费用自行承担。监测井及附属设施工程保修根据实际情况进行响应处理。</w:t>
      </w:r>
    </w:p>
    <w:p w14:paraId="1A977F62">
      <w:pPr>
        <w:tabs>
          <w:tab w:val="left" w:pos="7920"/>
        </w:tabs>
        <w:snapToGrid w:val="0"/>
        <w:spacing w:line="360" w:lineRule="auto"/>
        <w:ind w:firstLine="480" w:firstLineChars="200"/>
        <w:jc w:val="left"/>
        <w:rPr>
          <w:rFonts w:ascii="Times New Roman" w:hAnsi="Times New Roman"/>
          <w:b/>
          <w:bCs/>
          <w:color w:val="auto"/>
          <w:sz w:val="24"/>
          <w:szCs w:val="20"/>
          <w:highlight w:val="none"/>
        </w:rPr>
      </w:pPr>
      <w:r>
        <w:rPr>
          <w:rFonts w:hint="eastAsia" w:ascii="Times New Roman" w:hAnsi="Times New Roman"/>
          <w:b/>
          <w:bCs/>
          <w:color w:val="auto"/>
          <w:sz w:val="24"/>
          <w:szCs w:val="20"/>
          <w:highlight w:val="none"/>
        </w:rPr>
        <w:t>8.4合同验收后，乙方应对甲方就自动监测设备的使用、调试和维护进行必要的培训。培训费用由乙方承担。</w:t>
      </w:r>
    </w:p>
    <w:p w14:paraId="23947D09">
      <w:pPr>
        <w:tabs>
          <w:tab w:val="left" w:pos="7920"/>
        </w:tabs>
        <w:snapToGrid w:val="0"/>
        <w:spacing w:line="360" w:lineRule="auto"/>
        <w:ind w:firstLine="480" w:firstLineChars="200"/>
        <w:jc w:val="left"/>
        <w:rPr>
          <w:rFonts w:ascii="Times New Roman" w:hAnsi="Times New Roman"/>
          <w:color w:val="auto"/>
          <w:sz w:val="24"/>
          <w:szCs w:val="20"/>
          <w:highlight w:val="none"/>
        </w:rPr>
      </w:pPr>
      <w:r>
        <w:rPr>
          <w:rFonts w:hint="eastAsia" w:ascii="Times New Roman" w:hAnsi="Times New Roman"/>
          <w:color w:val="auto"/>
          <w:sz w:val="24"/>
          <w:szCs w:val="20"/>
          <w:highlight w:val="none"/>
        </w:rPr>
        <w:t>8.5售后服务未尽事宜以乙方投标文件中承诺的内容为基础。</w:t>
      </w:r>
    </w:p>
    <w:p w14:paraId="48760646">
      <w:pPr>
        <w:spacing w:line="360" w:lineRule="auto"/>
        <w:ind w:firstLine="482"/>
        <w:rPr>
          <w:rFonts w:ascii="Times New Roman" w:hAnsi="Times New Roman"/>
          <w:color w:val="auto"/>
          <w:sz w:val="24"/>
          <w:highlight w:val="none"/>
        </w:rPr>
      </w:pPr>
      <w:r>
        <w:rPr>
          <w:rFonts w:ascii="Times New Roman" w:hAnsi="Times New Roman"/>
          <w:b/>
          <w:color w:val="auto"/>
          <w:sz w:val="24"/>
          <w:highlight w:val="none"/>
        </w:rPr>
        <w:t>第</w:t>
      </w:r>
      <w:r>
        <w:rPr>
          <w:rFonts w:hint="eastAsia" w:ascii="Times New Roman" w:hAnsi="Times New Roman"/>
          <w:b/>
          <w:color w:val="auto"/>
          <w:sz w:val="24"/>
          <w:highlight w:val="none"/>
        </w:rPr>
        <w:t>九</w:t>
      </w:r>
      <w:r>
        <w:rPr>
          <w:rFonts w:ascii="Times New Roman" w:hAnsi="Times New Roman"/>
          <w:b/>
          <w:color w:val="auto"/>
          <w:sz w:val="24"/>
          <w:highlight w:val="none"/>
        </w:rPr>
        <w:t>条　</w:t>
      </w:r>
      <w:r>
        <w:rPr>
          <w:rFonts w:hint="eastAsia" w:ascii="Times New Roman" w:hAnsi="Times New Roman"/>
          <w:color w:val="auto"/>
          <w:sz w:val="24"/>
          <w:highlight w:val="none"/>
        </w:rPr>
        <w:t>违约</w:t>
      </w:r>
      <w:r>
        <w:rPr>
          <w:rFonts w:ascii="Times New Roman" w:hAnsi="Times New Roman"/>
          <w:color w:val="auto"/>
          <w:sz w:val="24"/>
          <w:highlight w:val="none"/>
        </w:rPr>
        <w:t>责任</w:t>
      </w:r>
    </w:p>
    <w:p w14:paraId="32539119">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9.1</w:t>
      </w:r>
      <w:r>
        <w:rPr>
          <w:rFonts w:hint="eastAsia"/>
          <w:bCs/>
          <w:color w:val="auto"/>
          <w:spacing w:val="6"/>
          <w:sz w:val="24"/>
          <w:highlight w:val="none"/>
        </w:rPr>
        <w:t>甲方</w:t>
      </w:r>
      <w:r>
        <w:rPr>
          <w:rFonts w:hint="eastAsia" w:ascii="宋体" w:hAnsi="宋体" w:cs="宋体"/>
          <w:color w:val="auto"/>
          <w:spacing w:val="6"/>
          <w:sz w:val="24"/>
          <w:highlight w:val="none"/>
        </w:rPr>
        <w:t>未按照合同规定时间及内容交付基础资料，超过规定期限15天以内，乙方按本合同第六条规定的交付施工成果资料的时间顺延；甲方交付上述资料及文件超过规定期限15天以上时，乙方有权重新确定提交成果的时间。</w:t>
      </w:r>
    </w:p>
    <w:p w14:paraId="1FA5A631">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9.2甲方未按合同规定时间支付合同款，乙方提交成果的时间顺延。逾期支付超过60天以上时，乙方有权暂停履行下阶段工作，并书面通知甲方。</w:t>
      </w:r>
    </w:p>
    <w:p w14:paraId="24F1E0F1">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9.3合同生效后，因乙方责任中止或解除合同，已经发生支付的，乙方应双倍返还甲方已支付的款项，未发生支付的，乙方向甲方支付</w:t>
      </w:r>
      <w:r>
        <w:rPr>
          <w:rFonts w:hint="eastAsia" w:ascii="宋体" w:hAnsi="宋体" w:cs="宋体"/>
          <w:color w:val="auto"/>
          <w:spacing w:val="6"/>
          <w:sz w:val="24"/>
          <w:highlight w:val="none"/>
          <w:u w:val="single"/>
        </w:rPr>
        <w:t>合同总额10%的</w:t>
      </w:r>
      <w:r>
        <w:rPr>
          <w:rFonts w:hint="eastAsia" w:ascii="宋体" w:hAnsi="宋体" w:cs="宋体"/>
          <w:color w:val="auto"/>
          <w:spacing w:val="6"/>
          <w:sz w:val="24"/>
          <w:highlight w:val="none"/>
        </w:rPr>
        <w:t>违约金。</w:t>
      </w:r>
    </w:p>
    <w:p w14:paraId="098C65ED">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9.4乙方未按合同规定时间提交合格的成果，每超过一日，应扣减合同款千分之一；提交合格成果的时间延误60天及以上，甲方有权解除合同，并要求乙方返还全部合同款，由此给甲方造成损失的，乙方承担全部赔偿责任。</w:t>
      </w:r>
    </w:p>
    <w:p w14:paraId="7347837C">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9.5在工程建设期间，工程质量未达到规定要求的应按甲方要求进行整改，如整改后质量仍未达到要求的,甲方有权解除合同，并要求乙方返还全部合同款，由此给甲方造成损失的，乙方承担全部赔偿责任。</w:t>
      </w:r>
    </w:p>
    <w:p w14:paraId="32FE5211">
      <w:pPr>
        <w:snapToGrid w:val="0"/>
        <w:spacing w:line="360" w:lineRule="auto"/>
        <w:ind w:firstLine="504"/>
        <w:rPr>
          <w:rFonts w:hint="eastAsia" w:ascii="宋体" w:hAnsi="宋体" w:cs="宋体"/>
          <w:color w:val="auto"/>
          <w:spacing w:val="6"/>
          <w:sz w:val="24"/>
          <w:highlight w:val="none"/>
        </w:rPr>
      </w:pPr>
      <w:r>
        <w:rPr>
          <w:rFonts w:hint="eastAsia" w:ascii="宋体" w:hAnsi="宋体" w:cs="宋体"/>
          <w:color w:val="auto"/>
          <w:spacing w:val="6"/>
          <w:sz w:val="24"/>
          <w:highlight w:val="none"/>
        </w:rPr>
        <w:t>9.6在工程质量保修（保证）期内，如发生质量问题乙方应进行修复或重建，所发生的所有费用应由乙方全部承担。</w:t>
      </w:r>
    </w:p>
    <w:p w14:paraId="56FA3FE4">
      <w:pPr>
        <w:snapToGrid w:val="0"/>
        <w:spacing w:line="360" w:lineRule="auto"/>
        <w:ind w:firstLine="504"/>
        <w:rPr>
          <w:rFonts w:ascii="Times New Roman" w:hAnsi="Times New Roman"/>
          <w:color w:val="auto"/>
          <w:spacing w:val="6"/>
          <w:sz w:val="24"/>
          <w:highlight w:val="none"/>
        </w:rPr>
      </w:pPr>
      <w:r>
        <w:rPr>
          <w:rFonts w:hint="eastAsia" w:ascii="Times New Roman" w:hAnsi="Times New Roman"/>
          <w:color w:val="auto"/>
          <w:spacing w:val="6"/>
          <w:sz w:val="24"/>
          <w:highlight w:val="none"/>
        </w:rPr>
        <w:t>9</w:t>
      </w:r>
      <w:r>
        <w:rPr>
          <w:rFonts w:ascii="Times New Roman" w:hAnsi="Times New Roman"/>
          <w:color w:val="auto"/>
          <w:spacing w:val="6"/>
          <w:sz w:val="24"/>
          <w:highlight w:val="none"/>
        </w:rPr>
        <w:t>.7</w:t>
      </w:r>
      <w:r>
        <w:rPr>
          <w:rFonts w:hint="eastAsia" w:ascii="Times New Roman" w:hAnsi="Times New Roman"/>
          <w:color w:val="auto"/>
          <w:spacing w:val="6"/>
          <w:sz w:val="24"/>
          <w:highlight w:val="none"/>
        </w:rPr>
        <w:t>投入本工程的项目经理及施工主要技术人员应与投标文件一致，未经发包人同意不得变更项目经理和技术负责人。</w:t>
      </w:r>
    </w:p>
    <w:p w14:paraId="6A950E36">
      <w:pPr>
        <w:spacing w:line="360" w:lineRule="auto"/>
        <w:ind w:firstLine="482"/>
        <w:rPr>
          <w:rFonts w:hint="eastAsia" w:ascii="宋体" w:hAnsi="宋体" w:cs="宋体"/>
          <w:color w:val="auto"/>
          <w:sz w:val="24"/>
          <w:highlight w:val="none"/>
        </w:rPr>
      </w:pPr>
      <w:r>
        <w:rPr>
          <w:rFonts w:hint="eastAsia" w:ascii="宋体" w:hAnsi="宋体" w:cs="宋体"/>
          <w:b/>
          <w:color w:val="auto"/>
          <w:sz w:val="24"/>
          <w:highlight w:val="none"/>
        </w:rPr>
        <w:t>第十条　</w:t>
      </w:r>
      <w:r>
        <w:rPr>
          <w:rFonts w:hint="eastAsia" w:ascii="宋体" w:hAnsi="宋体" w:cs="宋体"/>
          <w:color w:val="auto"/>
          <w:sz w:val="24"/>
          <w:highlight w:val="none"/>
        </w:rPr>
        <w:t>保密及知识产权</w:t>
      </w:r>
    </w:p>
    <w:p w14:paraId="45641057">
      <w:pPr>
        <w:spacing w:line="360" w:lineRule="auto"/>
        <w:ind w:firstLine="480" w:firstLineChars="200"/>
        <w:rPr>
          <w:rFonts w:hint="eastAsia" w:ascii="宋体" w:hAnsi="宋体" w:cs="宋体"/>
          <w:color w:val="auto"/>
          <w:spacing w:val="6"/>
          <w:sz w:val="24"/>
          <w:highlight w:val="none"/>
        </w:rPr>
      </w:pPr>
      <w:r>
        <w:rPr>
          <w:rFonts w:hint="eastAsia" w:ascii="宋体" w:hAnsi="宋体" w:cs="宋体"/>
          <w:color w:val="auto"/>
          <w:sz w:val="24"/>
          <w:highlight w:val="none"/>
        </w:rPr>
        <w:t>10.1</w:t>
      </w:r>
      <w:r>
        <w:rPr>
          <w:rFonts w:hint="eastAsia" w:ascii="宋体" w:hAnsi="宋体" w:cs="宋体"/>
          <w:color w:val="auto"/>
          <w:spacing w:val="6"/>
          <w:sz w:val="24"/>
          <w:highlight w:val="none"/>
        </w:rPr>
        <w:t>乙方在履行本合同过程中从甲方获取的任何资料和重要信息、合同执行过程中产生的水质、水文地质、经纬度等涉密信息，无论在本合同期限内还是合同终止后，均有保密责任。未经甲方事先书面授权，不得以任何方式向任何其他组织或个人泄露、转让、许可使用、交换、赠与或与任何组织或个人共同使用或不正当使用。违反本条规定，造成泄密或给甲方造成损失的，乙方应承担相应的法律和刑事或民事赔偿责任</w:t>
      </w:r>
    </w:p>
    <w:p w14:paraId="1ADC1E0F">
      <w:pPr>
        <w:spacing w:line="360" w:lineRule="auto"/>
        <w:ind w:firstLine="504" w:firstLineChars="200"/>
        <w:rPr>
          <w:rFonts w:hint="eastAsia" w:ascii="宋体" w:hAnsi="宋体" w:cs="宋体"/>
          <w:color w:val="auto"/>
          <w:spacing w:val="6"/>
          <w:sz w:val="24"/>
          <w:highlight w:val="none"/>
        </w:rPr>
      </w:pPr>
      <w:r>
        <w:rPr>
          <w:rFonts w:hint="eastAsia" w:ascii="宋体" w:hAnsi="宋体" w:cs="宋体"/>
          <w:color w:val="auto"/>
          <w:spacing w:val="6"/>
          <w:sz w:val="24"/>
          <w:highlight w:val="none"/>
        </w:rPr>
        <w:t>10.2 甲方在履行本合同过程中从乙方处获知的技术秘密和商业秘密，无论在本合同期限内还是协议终止后，均有保密责任。违反本条规定，给乙方造成损失的，甲方应承担相应的法律和民事赔偿责任。</w:t>
      </w:r>
    </w:p>
    <w:p w14:paraId="421CB731">
      <w:pPr>
        <w:spacing w:line="360" w:lineRule="auto"/>
        <w:ind w:firstLine="504" w:firstLineChars="200"/>
        <w:rPr>
          <w:rFonts w:hint="eastAsia" w:ascii="宋体" w:hAnsi="宋体" w:cs="宋体"/>
          <w:color w:val="auto"/>
          <w:spacing w:val="6"/>
          <w:sz w:val="24"/>
          <w:highlight w:val="none"/>
        </w:rPr>
      </w:pPr>
      <w:r>
        <w:rPr>
          <w:rFonts w:hint="eastAsia" w:ascii="宋体" w:hAnsi="宋体" w:cs="宋体"/>
          <w:color w:val="auto"/>
          <w:spacing w:val="6"/>
          <w:sz w:val="24"/>
          <w:highlight w:val="none"/>
        </w:rPr>
        <w:t>10</w:t>
      </w:r>
      <w:r>
        <w:rPr>
          <w:rFonts w:ascii="宋体" w:hAnsi="宋体" w:cs="宋体"/>
          <w:color w:val="auto"/>
          <w:spacing w:val="6"/>
          <w:sz w:val="24"/>
          <w:highlight w:val="none"/>
        </w:rPr>
        <w:t>.</w:t>
      </w:r>
      <w:r>
        <w:rPr>
          <w:rFonts w:hint="eastAsia" w:ascii="宋体" w:hAnsi="宋体" w:cs="宋体"/>
          <w:color w:val="auto"/>
          <w:spacing w:val="6"/>
          <w:sz w:val="24"/>
          <w:highlight w:val="none"/>
        </w:rPr>
        <w:t>3合同双方均有义务要求己方接触保密信息的关联公司人员及己方职员对保密信息进行保密。任何一方的关联公司人员及职员违背上述承诺，向第三方披露保密信息的，或依据该保密信息向第三方提出任何建议，均被视为该方违反本合同规定。</w:t>
      </w:r>
    </w:p>
    <w:p w14:paraId="6CF35C35">
      <w:pPr>
        <w:spacing w:line="360" w:lineRule="auto"/>
        <w:ind w:firstLine="504" w:firstLineChars="200"/>
        <w:rPr>
          <w:rFonts w:hint="eastAsia" w:ascii="宋体" w:hAnsi="宋体" w:cs="宋体"/>
          <w:color w:val="auto"/>
          <w:spacing w:val="6"/>
          <w:sz w:val="24"/>
          <w:highlight w:val="none"/>
        </w:rPr>
      </w:pPr>
      <w:r>
        <w:rPr>
          <w:rFonts w:hint="eastAsia" w:ascii="宋体" w:hAnsi="宋体" w:cs="宋体"/>
          <w:color w:val="auto"/>
          <w:spacing w:val="6"/>
          <w:sz w:val="24"/>
          <w:highlight w:val="none"/>
        </w:rPr>
        <w:t>10</w:t>
      </w:r>
      <w:r>
        <w:rPr>
          <w:rFonts w:ascii="宋体" w:hAnsi="宋体" w:cs="宋体"/>
          <w:color w:val="auto"/>
          <w:spacing w:val="6"/>
          <w:sz w:val="24"/>
          <w:highlight w:val="none"/>
        </w:rPr>
        <w:t>.</w:t>
      </w:r>
      <w:r>
        <w:rPr>
          <w:rFonts w:hint="eastAsia" w:ascii="宋体" w:hAnsi="宋体" w:cs="宋体"/>
          <w:color w:val="auto"/>
          <w:spacing w:val="6"/>
          <w:sz w:val="24"/>
          <w:highlight w:val="none"/>
        </w:rPr>
        <w:t>4乙方在完成本项目施工成果并经甲方审查确认或验收合格后，乙方应将该成果及其相关的技术资料和文件以书面文本和电子介质方式同时提交给甲方，自此，甲方享有该成果及其相关技术资料和文本的所有权。非经甲方书面同意，乙方不得再将该成果文件及其相关技术资料和文件的一部分或全部使用于其他任何目的。</w:t>
      </w:r>
    </w:p>
    <w:p w14:paraId="00D5C50D">
      <w:pPr>
        <w:spacing w:line="360" w:lineRule="auto"/>
        <w:ind w:firstLine="480" w:firstLineChars="200"/>
        <w:jc w:val="left"/>
        <w:rPr>
          <w:rFonts w:ascii="Times New Roman" w:hAnsi="Times New Roman"/>
          <w:b/>
          <w:color w:val="auto"/>
          <w:sz w:val="24"/>
          <w:szCs w:val="20"/>
          <w:highlight w:val="none"/>
        </w:rPr>
      </w:pPr>
      <w:r>
        <w:rPr>
          <w:rFonts w:ascii="Times New Roman" w:hAnsi="Times New Roman"/>
          <w:b/>
          <w:color w:val="auto"/>
          <w:sz w:val="24"/>
          <w:highlight w:val="none"/>
        </w:rPr>
        <w:t>第</w:t>
      </w:r>
      <w:r>
        <w:rPr>
          <w:rFonts w:hint="eastAsia" w:ascii="Times New Roman" w:hAnsi="Times New Roman"/>
          <w:b/>
          <w:color w:val="auto"/>
          <w:sz w:val="24"/>
          <w:highlight w:val="none"/>
        </w:rPr>
        <w:t>十一</w:t>
      </w:r>
      <w:r>
        <w:rPr>
          <w:rFonts w:ascii="Times New Roman" w:hAnsi="Times New Roman"/>
          <w:b/>
          <w:color w:val="auto"/>
          <w:sz w:val="24"/>
          <w:highlight w:val="none"/>
        </w:rPr>
        <w:t>条</w:t>
      </w:r>
      <w:r>
        <w:rPr>
          <w:rFonts w:ascii="Times New Roman" w:hAnsi="Times New Roman"/>
          <w:b/>
          <w:color w:val="auto"/>
          <w:sz w:val="24"/>
          <w:szCs w:val="20"/>
          <w:highlight w:val="none"/>
        </w:rPr>
        <w:tab/>
      </w:r>
      <w:r>
        <w:rPr>
          <w:rFonts w:hint="eastAsia" w:ascii="Times New Roman" w:hAnsi="Times New Roman"/>
          <w:color w:val="auto"/>
          <w:sz w:val="24"/>
          <w:highlight w:val="none"/>
        </w:rPr>
        <w:t>履约保证金</w:t>
      </w:r>
    </w:p>
    <w:p w14:paraId="3E9FC68C">
      <w:pPr>
        <w:tabs>
          <w:tab w:val="left" w:pos="510"/>
        </w:tabs>
        <w:autoSpaceDE w:val="0"/>
        <w:autoSpaceDN w:val="0"/>
        <w:adjustRightInd w:val="0"/>
        <w:spacing w:line="360" w:lineRule="auto"/>
        <w:ind w:right="210" w:firstLine="480" w:firstLineChars="200"/>
        <w:textAlignment w:val="baseline"/>
        <w:rPr>
          <w:rFonts w:hint="eastAsia" w:ascii="宋体" w:hAnsi="宋体"/>
          <w:bCs/>
          <w:color w:val="auto"/>
          <w:spacing w:val="-8"/>
          <w:kern w:val="0"/>
          <w:sz w:val="24"/>
          <w:szCs w:val="20"/>
          <w:highlight w:val="none"/>
        </w:rPr>
      </w:pPr>
      <w:r>
        <w:rPr>
          <w:rFonts w:hint="eastAsia" w:ascii="Times New Roman" w:hAnsi="Times New Roman"/>
          <w:color w:val="auto"/>
          <w:sz w:val="24"/>
          <w:szCs w:val="20"/>
          <w:highlight w:val="none"/>
        </w:rPr>
        <w:t>11.</w:t>
      </w:r>
      <w:r>
        <w:rPr>
          <w:rFonts w:ascii="Times New Roman" w:hAnsi="Times New Roman"/>
          <w:color w:val="auto"/>
          <w:sz w:val="24"/>
          <w:szCs w:val="20"/>
          <w:highlight w:val="none"/>
        </w:rPr>
        <w:t>1</w:t>
      </w:r>
      <w:r>
        <w:rPr>
          <w:rFonts w:hint="eastAsia" w:ascii="宋体" w:hAnsi="宋体"/>
          <w:bCs/>
          <w:color w:val="auto"/>
          <w:spacing w:val="-8"/>
          <w:kern w:val="0"/>
          <w:sz w:val="24"/>
          <w:szCs w:val="20"/>
          <w:highlight w:val="none"/>
        </w:rPr>
        <w:t>履约保证金金额为合同总价的 10％，履约保证金以履约保函的形式由乙方及时提交给甲方。</w:t>
      </w:r>
    </w:p>
    <w:p w14:paraId="2CB3DD3D">
      <w:pPr>
        <w:spacing w:line="360" w:lineRule="auto"/>
        <w:ind w:firstLine="480" w:firstLineChars="200"/>
        <w:jc w:val="left"/>
        <w:rPr>
          <w:rFonts w:hint="eastAsia" w:ascii="宋体" w:hAnsi="宋体" w:cs="宋体"/>
          <w:color w:val="auto"/>
          <w:spacing w:val="6"/>
          <w:sz w:val="24"/>
          <w:highlight w:val="none"/>
        </w:rPr>
      </w:pPr>
      <w:r>
        <w:rPr>
          <w:rFonts w:hint="eastAsia" w:ascii="Times New Roman" w:hAnsi="Times New Roman"/>
          <w:color w:val="auto"/>
          <w:sz w:val="24"/>
          <w:szCs w:val="20"/>
          <w:highlight w:val="none"/>
        </w:rPr>
        <w:t>11</w:t>
      </w:r>
      <w:r>
        <w:rPr>
          <w:rFonts w:ascii="Times New Roman" w:hAnsi="Times New Roman"/>
          <w:color w:val="auto"/>
          <w:sz w:val="24"/>
          <w:szCs w:val="20"/>
          <w:highlight w:val="none"/>
        </w:rPr>
        <w:t>.2</w:t>
      </w:r>
      <w:r>
        <w:rPr>
          <w:rFonts w:hint="eastAsia" w:ascii="宋体" w:hAnsi="宋体"/>
          <w:bCs/>
          <w:color w:val="auto"/>
          <w:spacing w:val="-8"/>
          <w:kern w:val="0"/>
          <w:sz w:val="24"/>
          <w:szCs w:val="20"/>
          <w:highlight w:val="none"/>
        </w:rPr>
        <w:t>项目合同验收结束后30个工作日内</w:t>
      </w:r>
      <w:r>
        <w:rPr>
          <w:rFonts w:ascii="宋体" w:hAnsi="宋体"/>
          <w:bCs/>
          <w:color w:val="auto"/>
          <w:spacing w:val="-8"/>
          <w:kern w:val="0"/>
          <w:sz w:val="24"/>
          <w:szCs w:val="20"/>
          <w:highlight w:val="none"/>
        </w:rPr>
        <w:t>，</w:t>
      </w:r>
      <w:r>
        <w:rPr>
          <w:rFonts w:hint="eastAsia" w:ascii="宋体" w:hAnsi="宋体"/>
          <w:bCs/>
          <w:color w:val="auto"/>
          <w:spacing w:val="-8"/>
          <w:kern w:val="0"/>
          <w:sz w:val="24"/>
          <w:szCs w:val="20"/>
          <w:highlight w:val="none"/>
        </w:rPr>
        <w:t>甲方退还乙方履约保函文件。</w:t>
      </w:r>
    </w:p>
    <w:p w14:paraId="7A8043E7">
      <w:pPr>
        <w:spacing w:line="360" w:lineRule="auto"/>
        <w:ind w:firstLine="482"/>
        <w:rPr>
          <w:rFonts w:ascii="Times New Roman" w:hAnsi="Times New Roman"/>
          <w:color w:val="auto"/>
          <w:sz w:val="24"/>
          <w:highlight w:val="none"/>
        </w:rPr>
      </w:pPr>
      <w:r>
        <w:rPr>
          <w:rFonts w:ascii="Times New Roman" w:hAnsi="Times New Roman"/>
          <w:b/>
          <w:color w:val="auto"/>
          <w:sz w:val="24"/>
          <w:highlight w:val="none"/>
        </w:rPr>
        <w:t>第十</w:t>
      </w:r>
      <w:r>
        <w:rPr>
          <w:rFonts w:hint="eastAsia" w:ascii="Times New Roman" w:hAnsi="Times New Roman"/>
          <w:b/>
          <w:color w:val="auto"/>
          <w:sz w:val="24"/>
          <w:highlight w:val="none"/>
        </w:rPr>
        <w:t>二</w:t>
      </w:r>
      <w:r>
        <w:rPr>
          <w:rFonts w:ascii="Times New Roman" w:hAnsi="Times New Roman"/>
          <w:b/>
          <w:color w:val="auto"/>
          <w:sz w:val="24"/>
          <w:highlight w:val="none"/>
        </w:rPr>
        <w:t>条　</w:t>
      </w:r>
      <w:r>
        <w:rPr>
          <w:rFonts w:ascii="Times New Roman" w:hAnsi="Times New Roman"/>
          <w:color w:val="auto"/>
          <w:sz w:val="24"/>
          <w:highlight w:val="none"/>
        </w:rPr>
        <w:t>争议解决</w:t>
      </w:r>
    </w:p>
    <w:p w14:paraId="0A31BC37">
      <w:pPr>
        <w:spacing w:line="360" w:lineRule="auto"/>
        <w:ind w:firstLine="480"/>
        <w:rPr>
          <w:rFonts w:ascii="Times New Roman" w:hAnsi="Times New Roman"/>
          <w:color w:val="auto"/>
          <w:sz w:val="24"/>
          <w:highlight w:val="none"/>
        </w:rPr>
      </w:pPr>
      <w:r>
        <w:rPr>
          <w:rFonts w:ascii="Times New Roman" w:hAnsi="Times New Roman"/>
          <w:color w:val="auto"/>
          <w:sz w:val="24"/>
          <w:highlight w:val="none"/>
        </w:rPr>
        <w:t>本合同发生争议，甲方与乙方应及时协商解决。也可由当地行政主管部门调解，调解不成时，可</w:t>
      </w:r>
      <w:r>
        <w:rPr>
          <w:rFonts w:hint="eastAsia" w:ascii="Times New Roman" w:hAnsi="Times New Roman"/>
          <w:color w:val="auto"/>
          <w:sz w:val="24"/>
          <w:highlight w:val="none"/>
        </w:rPr>
        <w:t>向西安市仲裁委申请仲裁</w:t>
      </w:r>
      <w:r>
        <w:rPr>
          <w:rFonts w:ascii="Times New Roman" w:hAnsi="Times New Roman"/>
          <w:color w:val="auto"/>
          <w:sz w:val="24"/>
          <w:highlight w:val="none"/>
        </w:rPr>
        <w:t>。双方当事人未达成仲裁书面协议的，可向人民法院起诉。</w:t>
      </w:r>
    </w:p>
    <w:p w14:paraId="689A7BA5">
      <w:pPr>
        <w:spacing w:line="360" w:lineRule="auto"/>
        <w:ind w:firstLine="482"/>
        <w:rPr>
          <w:rFonts w:hint="eastAsia" w:ascii="宋体" w:hAnsi="宋体" w:cs="宋体"/>
          <w:color w:val="auto"/>
          <w:sz w:val="24"/>
          <w:highlight w:val="none"/>
        </w:rPr>
      </w:pPr>
      <w:r>
        <w:rPr>
          <w:rFonts w:ascii="Times New Roman" w:hAnsi="Times New Roman"/>
          <w:b/>
          <w:color w:val="auto"/>
          <w:sz w:val="24"/>
          <w:highlight w:val="none"/>
        </w:rPr>
        <w:t>第十</w:t>
      </w:r>
      <w:r>
        <w:rPr>
          <w:rFonts w:hint="eastAsia" w:ascii="Times New Roman" w:hAnsi="Times New Roman"/>
          <w:b/>
          <w:color w:val="auto"/>
          <w:sz w:val="24"/>
          <w:highlight w:val="none"/>
        </w:rPr>
        <w:t>三</w:t>
      </w:r>
      <w:r>
        <w:rPr>
          <w:rFonts w:ascii="Times New Roman" w:hAnsi="Times New Roman"/>
          <w:b/>
          <w:color w:val="auto"/>
          <w:sz w:val="24"/>
          <w:highlight w:val="none"/>
        </w:rPr>
        <w:t>条　</w:t>
      </w:r>
      <w:r>
        <w:rPr>
          <w:rFonts w:hint="eastAsia" w:ascii="宋体" w:hAnsi="宋体" w:cs="宋体"/>
          <w:color w:val="auto"/>
          <w:sz w:val="24"/>
          <w:highlight w:val="none"/>
        </w:rPr>
        <w:t>合同生效及其他</w:t>
      </w:r>
    </w:p>
    <w:p w14:paraId="6AA9DEC8">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13.1本合同自甲方、乙方签字盖章后生效；甲方、乙方履行完合同规定的义务后，本合同终止。</w:t>
      </w:r>
    </w:p>
    <w:p w14:paraId="393DA4CC">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13.2甲方委托乙方承担本合同内容以外的工作服务，另行签订协议并支付费用。</w:t>
      </w:r>
    </w:p>
    <w:p w14:paraId="6C1AF95B">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13.3由于不可抗力因素致使合同无法履行时，双方应及时协商解决。</w:t>
      </w:r>
    </w:p>
    <w:p w14:paraId="557B7FDA">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13.4本合同一式</w:t>
      </w:r>
      <w:r>
        <w:rPr>
          <w:rFonts w:hint="eastAsia" w:ascii="宋体" w:hAnsi="宋体" w:cs="宋体"/>
          <w:b/>
          <w:color w:val="auto"/>
          <w:sz w:val="24"/>
          <w:highlight w:val="none"/>
          <w:u w:val="single"/>
        </w:rPr>
        <w:t>8</w:t>
      </w:r>
      <w:r>
        <w:rPr>
          <w:rFonts w:hint="eastAsia" w:ascii="宋体" w:hAnsi="宋体" w:cs="宋体"/>
          <w:color w:val="auto"/>
          <w:sz w:val="24"/>
          <w:highlight w:val="none"/>
        </w:rPr>
        <w:t>份，正本</w:t>
      </w:r>
      <w:r>
        <w:rPr>
          <w:rFonts w:hint="eastAsia" w:ascii="宋体" w:hAnsi="宋体" w:cs="宋体"/>
          <w:b/>
          <w:color w:val="auto"/>
          <w:sz w:val="24"/>
          <w:highlight w:val="none"/>
          <w:u w:val="single"/>
        </w:rPr>
        <w:t xml:space="preserve"> 2</w:t>
      </w:r>
      <w:r>
        <w:rPr>
          <w:rFonts w:hint="eastAsia" w:ascii="宋体" w:hAnsi="宋体" w:cs="宋体"/>
          <w:color w:val="auto"/>
          <w:sz w:val="24"/>
          <w:highlight w:val="none"/>
        </w:rPr>
        <w:t>份，双方各持</w:t>
      </w:r>
      <w:r>
        <w:rPr>
          <w:rFonts w:hint="eastAsia" w:ascii="宋体" w:hAnsi="宋体" w:cs="宋体"/>
          <w:b/>
          <w:color w:val="auto"/>
          <w:sz w:val="24"/>
          <w:highlight w:val="none"/>
          <w:u w:val="single"/>
        </w:rPr>
        <w:t>1</w:t>
      </w:r>
      <w:r>
        <w:rPr>
          <w:rFonts w:hint="eastAsia" w:ascii="宋体" w:hAnsi="宋体" w:cs="宋体"/>
          <w:color w:val="auto"/>
          <w:sz w:val="24"/>
          <w:highlight w:val="none"/>
        </w:rPr>
        <w:t>份。副本</w:t>
      </w:r>
      <w:r>
        <w:rPr>
          <w:rFonts w:hint="eastAsia" w:ascii="宋体" w:hAnsi="宋体" w:cs="宋体"/>
          <w:b/>
          <w:color w:val="auto"/>
          <w:sz w:val="24"/>
          <w:highlight w:val="none"/>
          <w:u w:val="single"/>
        </w:rPr>
        <w:t>6</w:t>
      </w:r>
      <w:r>
        <w:rPr>
          <w:rFonts w:hint="eastAsia" w:ascii="宋体" w:hAnsi="宋体" w:cs="宋体"/>
          <w:color w:val="auto"/>
          <w:sz w:val="24"/>
          <w:highlight w:val="none"/>
        </w:rPr>
        <w:t>份，双方各持</w:t>
      </w:r>
      <w:r>
        <w:rPr>
          <w:rFonts w:hint="eastAsia" w:ascii="宋体" w:hAnsi="宋体" w:cs="宋体"/>
          <w:b/>
          <w:color w:val="auto"/>
          <w:sz w:val="24"/>
          <w:highlight w:val="none"/>
          <w:u w:val="single"/>
        </w:rPr>
        <w:t>3</w:t>
      </w:r>
      <w:r>
        <w:rPr>
          <w:rFonts w:hint="eastAsia" w:ascii="宋体" w:hAnsi="宋体" w:cs="宋体"/>
          <w:color w:val="auto"/>
          <w:sz w:val="24"/>
          <w:highlight w:val="none"/>
        </w:rPr>
        <w:t>份。</w:t>
      </w:r>
    </w:p>
    <w:p w14:paraId="476139A0">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13.5未尽事宜，经双方协商一致，签订补充协议，补充协议与本合同具有同等效力。</w:t>
      </w:r>
    </w:p>
    <w:p w14:paraId="3962F6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13.6提交成果资料（包括但不限于）：</w:t>
      </w:r>
    </w:p>
    <w:p w14:paraId="1F9A0F30">
      <w:pPr>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（1）施工和验收相关管理资料和报告。</w:t>
      </w:r>
    </w:p>
    <w:p w14:paraId="50EDDD8B">
      <w:pPr>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（2）提交质量符合7.2.1条款要求的监测井单井成井报告（每井一份）。</w:t>
      </w:r>
    </w:p>
    <w:p w14:paraId="5968C465">
      <w:pPr>
        <w:spacing w:line="360" w:lineRule="auto"/>
        <w:ind w:firstLine="420"/>
        <w:rPr>
          <w:rFonts w:hint="eastAsia" w:ascii="宋体" w:hAnsi="宋体" w:cs="宋体"/>
          <w:color w:val="auto"/>
          <w:sz w:val="24"/>
          <w:highlight w:val="none"/>
        </w:rPr>
      </w:pPr>
      <w:r>
        <w:rPr>
          <w:rFonts w:hint="eastAsia" w:ascii="宋体" w:hAnsi="宋体" w:cs="宋体"/>
          <w:color w:val="auto"/>
          <w:sz w:val="24"/>
          <w:highlight w:val="none"/>
        </w:rPr>
        <w:t>（3）水质检测报告书。</w:t>
      </w:r>
    </w:p>
    <w:p w14:paraId="5D5497E2">
      <w:pPr>
        <w:spacing w:line="360" w:lineRule="auto"/>
        <w:ind w:firstLine="420"/>
        <w:rPr>
          <w:rFonts w:hint="eastAsia" w:ascii="宋体" w:hAnsi="宋体" w:cs="宋体"/>
          <w:color w:val="auto"/>
          <w:sz w:val="24"/>
          <w:highlight w:val="none"/>
        </w:rPr>
      </w:pPr>
      <w:r>
        <w:rPr>
          <w:rFonts w:hint="eastAsia" w:ascii="宋体" w:hAnsi="宋体" w:cs="宋体"/>
          <w:color w:val="auto"/>
          <w:sz w:val="24"/>
          <w:highlight w:val="none"/>
        </w:rPr>
        <w:t>（4）高程引测成果报告。</w:t>
      </w:r>
    </w:p>
    <w:p w14:paraId="5F53E819">
      <w:pPr>
        <w:spacing w:line="360" w:lineRule="auto"/>
        <w:ind w:firstLine="420"/>
        <w:rPr>
          <w:rFonts w:hint="eastAsia" w:ascii="宋体" w:hAnsi="宋体" w:cs="宋体"/>
          <w:color w:val="auto"/>
          <w:sz w:val="24"/>
          <w:highlight w:val="none"/>
        </w:rPr>
      </w:pPr>
      <w:r>
        <w:rPr>
          <w:rFonts w:hint="eastAsia" w:ascii="宋体" w:hAnsi="宋体" w:cs="宋体"/>
          <w:color w:val="auto"/>
          <w:sz w:val="24"/>
          <w:highlight w:val="none"/>
        </w:rPr>
        <w:t>（5）乙方应按甲方在第7.2.2、7.2.3、7.2.4条中规定的要求提交相关的图表、照片、文字资料、影像资料。</w:t>
      </w:r>
    </w:p>
    <w:p w14:paraId="27568F5A">
      <w:pPr>
        <w:spacing w:line="360" w:lineRule="auto"/>
        <w:ind w:firstLine="420"/>
        <w:rPr>
          <w:rFonts w:hint="eastAsia" w:ascii="宋体" w:hAnsi="宋体" w:cs="宋体"/>
          <w:color w:val="auto"/>
          <w:sz w:val="24"/>
          <w:highlight w:val="none"/>
        </w:rPr>
      </w:pPr>
      <w:r>
        <w:rPr>
          <w:rFonts w:hint="eastAsia" w:ascii="宋体" w:hAnsi="宋体" w:cs="宋体"/>
          <w:color w:val="auto"/>
          <w:sz w:val="24"/>
          <w:highlight w:val="none"/>
        </w:rPr>
        <w:t>（6）提交监测井占地（用地）协议。</w:t>
      </w:r>
    </w:p>
    <w:p w14:paraId="470C05E7">
      <w:pPr>
        <w:spacing w:line="360" w:lineRule="auto"/>
        <w:ind w:firstLine="420"/>
        <w:rPr>
          <w:rFonts w:hint="eastAsia" w:ascii="宋体" w:hAnsi="宋体" w:cs="宋体"/>
          <w:color w:val="auto"/>
          <w:sz w:val="24"/>
          <w:highlight w:val="none"/>
        </w:rPr>
      </w:pPr>
      <w:r>
        <w:rPr>
          <w:rFonts w:hint="eastAsia" w:ascii="宋体" w:hAnsi="宋体" w:cs="宋体"/>
          <w:color w:val="auto"/>
          <w:sz w:val="24"/>
          <w:highlight w:val="none"/>
        </w:rPr>
        <w:t>（7）自动监测设备安装确认单。</w:t>
      </w:r>
    </w:p>
    <w:p w14:paraId="46DEBB5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（8）监测仪器安装使用及维护说明书、施工主材的产品合格证书、出厂检验报告等文件。</w:t>
      </w:r>
    </w:p>
    <w:p w14:paraId="58FFCC63">
      <w:pPr>
        <w:spacing w:line="360" w:lineRule="auto"/>
        <w:ind w:firstLine="420"/>
        <w:rPr>
          <w:rFonts w:hint="eastAsia" w:ascii="宋体" w:hAnsi="宋体" w:cs="宋体"/>
          <w:color w:val="auto"/>
          <w:sz w:val="24"/>
          <w:highlight w:val="none"/>
        </w:rPr>
      </w:pPr>
      <w:r>
        <w:rPr>
          <w:rFonts w:hint="eastAsia" w:ascii="宋体" w:hAnsi="宋体" w:cs="宋体"/>
          <w:color w:val="auto"/>
          <w:sz w:val="24"/>
          <w:highlight w:val="none"/>
        </w:rPr>
        <w:t>（9）施工图细化图册。（10）除以上成果资料外，乙方还应向甲方提交由本合同产生的其他应归档文件资料。乙方对所提交资料完整性、真实性负责。</w:t>
      </w:r>
    </w:p>
    <w:p w14:paraId="4C300A8B">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第十四条 合同附件</w:t>
      </w:r>
    </w:p>
    <w:p w14:paraId="3280B0B6">
      <w:p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14.1 附件：1.中标通知书</w:t>
      </w:r>
    </w:p>
    <w:p w14:paraId="6FD7C96E">
      <w:pPr>
        <w:spacing w:line="360" w:lineRule="auto"/>
        <w:ind w:firstLine="1801" w:firstLineChars="750"/>
        <w:rPr>
          <w:rFonts w:hint="eastAsia" w:ascii="宋体" w:hAnsi="宋体" w:cs="宋体"/>
          <w:b/>
          <w:color w:val="auto"/>
          <w:sz w:val="24"/>
          <w:highlight w:val="none"/>
        </w:rPr>
      </w:pPr>
      <w:r>
        <w:rPr>
          <w:rFonts w:hint="eastAsia" w:ascii="宋体" w:hAnsi="宋体" w:cs="宋体"/>
          <w:b/>
          <w:color w:val="auto"/>
          <w:sz w:val="24"/>
          <w:highlight w:val="none"/>
        </w:rPr>
        <w:t>2.技术条款</w:t>
      </w:r>
    </w:p>
    <w:p w14:paraId="5E74E00D">
      <w:pPr>
        <w:spacing w:line="360" w:lineRule="auto"/>
        <w:ind w:firstLine="1801" w:firstLineChars="750"/>
        <w:rPr>
          <w:rFonts w:hint="eastAsia" w:ascii="宋体" w:hAnsi="宋体" w:cs="宋体"/>
          <w:b/>
          <w:color w:val="auto"/>
          <w:sz w:val="24"/>
          <w:highlight w:val="none"/>
        </w:rPr>
      </w:pPr>
    </w:p>
    <w:p w14:paraId="2D6930D8">
      <w:pPr>
        <w:spacing w:line="360" w:lineRule="auto"/>
        <w:rPr>
          <w:rFonts w:hint="eastAsia" w:ascii="宋体" w:hAnsi="宋体" w:cs="宋体"/>
          <w:color w:val="auto"/>
          <w:szCs w:val="21"/>
          <w:highlight w:val="none"/>
        </w:rPr>
      </w:pPr>
    </w:p>
    <w:p w14:paraId="1EAD5B3C">
      <w:pPr>
        <w:spacing w:line="360" w:lineRule="auto"/>
        <w:ind w:left="6360" w:hanging="6360" w:hangingChars="2650"/>
        <w:rPr>
          <w:rFonts w:hint="eastAsia" w:ascii="宋体" w:hAnsi="宋体" w:cs="宋体"/>
          <w:color w:val="auto"/>
          <w:sz w:val="24"/>
          <w:highlight w:val="none"/>
        </w:rPr>
      </w:pPr>
      <w:r>
        <w:rPr>
          <w:rFonts w:hint="eastAsia" w:ascii="宋体" w:hAnsi="宋体" w:cs="宋体"/>
          <w:color w:val="auto"/>
          <w:sz w:val="24"/>
          <w:highlight w:val="none"/>
        </w:rPr>
        <w:t>甲方名称：（盖章）　　　　　　　    乙方名称：（盖章）</w:t>
      </w:r>
    </w:p>
    <w:p w14:paraId="57DD0591">
      <w:pPr>
        <w:spacing w:line="360" w:lineRule="auto"/>
        <w:ind w:left="7440" w:hanging="7440" w:hangingChars="3100"/>
        <w:rPr>
          <w:rFonts w:hint="eastAsia" w:ascii="宋体" w:hAnsi="宋体" w:cs="宋体"/>
          <w:color w:val="auto"/>
          <w:sz w:val="24"/>
          <w:highlight w:val="none"/>
        </w:rPr>
      </w:pPr>
      <w:r>
        <w:rPr>
          <w:rFonts w:hint="eastAsia" w:ascii="宋体" w:hAnsi="宋体" w:cs="宋体"/>
          <w:color w:val="auto"/>
          <w:sz w:val="24"/>
          <w:highlight w:val="none"/>
        </w:rPr>
        <w:t xml:space="preserve">                  </w:t>
      </w:r>
    </w:p>
    <w:p w14:paraId="1A0F508A">
      <w:pPr>
        <w:spacing w:line="360" w:lineRule="auto"/>
        <w:ind w:left="7440" w:hanging="7440" w:hangingChars="3100"/>
        <w:rPr>
          <w:rFonts w:hint="eastAsia" w:ascii="宋体" w:hAnsi="宋体" w:cs="宋体"/>
          <w:color w:val="auto"/>
          <w:sz w:val="24"/>
          <w:highlight w:val="none"/>
        </w:rPr>
      </w:pPr>
      <w:r>
        <w:rPr>
          <w:rFonts w:hint="eastAsia" w:ascii="宋体" w:hAnsi="宋体" w:cs="宋体"/>
          <w:color w:val="auto"/>
          <w:sz w:val="24"/>
          <w:highlight w:val="none"/>
        </w:rPr>
        <w:t>法定代表人（或委托代理人）：（签字） 法定代表人（或委托代理人）：（签字）</w:t>
      </w:r>
    </w:p>
    <w:p w14:paraId="482BACDB">
      <w:pPr>
        <w:spacing w:line="360" w:lineRule="auto"/>
        <w:ind w:left="7440" w:hanging="7440" w:hangingChars="3100"/>
        <w:rPr>
          <w:rFonts w:hint="eastAsia" w:ascii="宋体" w:hAnsi="宋体" w:cs="宋体"/>
          <w:color w:val="auto"/>
          <w:sz w:val="24"/>
          <w:highlight w:val="none"/>
        </w:rPr>
      </w:pPr>
    </w:p>
    <w:p w14:paraId="059381E8">
      <w:pPr>
        <w:spacing w:line="360" w:lineRule="auto"/>
        <w:ind w:left="6480" w:hanging="6480" w:hangingChars="2700"/>
        <w:rPr>
          <w:rFonts w:hint="eastAsia" w:ascii="宋体" w:hAnsi="宋体" w:cs="宋体"/>
          <w:color w:val="auto"/>
          <w:sz w:val="24"/>
          <w:highlight w:val="none"/>
        </w:rPr>
      </w:pPr>
      <w:r>
        <w:rPr>
          <w:rFonts w:hint="eastAsia" w:ascii="宋体" w:hAnsi="宋体" w:cs="宋体"/>
          <w:color w:val="auto"/>
          <w:sz w:val="24"/>
          <w:highlight w:val="none"/>
        </w:rPr>
        <w:t xml:space="preserve">地    址：                         地    址： </w:t>
      </w:r>
    </w:p>
    <w:p w14:paraId="4D2AE919">
      <w:pPr>
        <w:spacing w:line="360" w:lineRule="auto"/>
        <w:rPr>
          <w:rFonts w:hint="eastAsia" w:ascii="宋体" w:hAnsi="宋体" w:cs="宋体"/>
          <w:color w:val="auto"/>
          <w:sz w:val="24"/>
          <w:highlight w:val="none"/>
        </w:rPr>
      </w:pPr>
      <w:r>
        <w:rPr>
          <w:rFonts w:hint="eastAsia" w:ascii="宋体" w:hAnsi="宋体" w:cs="宋体"/>
          <w:color w:val="auto"/>
          <w:sz w:val="24"/>
          <w:highlight w:val="none"/>
        </w:rPr>
        <w:t>邮政编码： 　　　　　　　          邮政编码：</w:t>
      </w:r>
    </w:p>
    <w:p w14:paraId="3AAE3EF2">
      <w:pPr>
        <w:spacing w:line="360" w:lineRule="auto"/>
        <w:rPr>
          <w:rFonts w:hint="eastAsia" w:ascii="宋体" w:hAnsi="宋体" w:cs="宋体"/>
          <w:color w:val="auto"/>
          <w:sz w:val="24"/>
          <w:highlight w:val="none"/>
        </w:rPr>
      </w:pPr>
      <w:r>
        <w:rPr>
          <w:rFonts w:hint="eastAsia" w:ascii="宋体" w:hAnsi="宋体" w:cs="宋体"/>
          <w:color w:val="auto"/>
          <w:sz w:val="24"/>
          <w:highlight w:val="none"/>
        </w:rPr>
        <w:t>电　　话：                         电　　话：</w:t>
      </w:r>
    </w:p>
    <w:p w14:paraId="6D70FDA7">
      <w:pPr>
        <w:spacing w:line="360" w:lineRule="auto"/>
        <w:rPr>
          <w:rFonts w:hint="eastAsia" w:ascii="宋体" w:hAnsi="宋体" w:cs="宋体"/>
          <w:color w:val="auto"/>
          <w:sz w:val="24"/>
          <w:highlight w:val="none"/>
        </w:rPr>
      </w:pPr>
      <w:r>
        <w:rPr>
          <w:rFonts w:hint="eastAsia" w:ascii="宋体" w:hAnsi="宋体" w:cs="宋体"/>
          <w:color w:val="auto"/>
          <w:sz w:val="24"/>
          <w:highlight w:val="none"/>
        </w:rPr>
        <w:t>传　　真：　　　　　    　    　　 传　　真：</w:t>
      </w:r>
    </w:p>
    <w:p w14:paraId="7461C636">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开户银行：　　　　　　        　　 开户银行： </w:t>
      </w:r>
    </w:p>
    <w:p w14:paraId="156C9BD5">
      <w:pPr>
        <w:spacing w:line="360" w:lineRule="auto"/>
        <w:rPr>
          <w:rFonts w:hint="eastAsia" w:ascii="宋体" w:hAnsi="宋体" w:cs="宋体"/>
          <w:color w:val="auto"/>
          <w:sz w:val="24"/>
          <w:highlight w:val="none"/>
        </w:rPr>
      </w:pPr>
      <w:r>
        <w:rPr>
          <w:rFonts w:hint="eastAsia" w:ascii="宋体" w:hAnsi="宋体" w:cs="宋体"/>
          <w:color w:val="auto"/>
          <w:sz w:val="24"/>
          <w:highlight w:val="none"/>
        </w:rPr>
        <w:t>银行帐号：　　　　　　        　　 银行帐号：</w:t>
      </w:r>
    </w:p>
    <w:p w14:paraId="3794EE4B">
      <w:pPr>
        <w:spacing w:line="360" w:lineRule="auto"/>
        <w:rPr>
          <w:rFonts w:hint="eastAsia" w:ascii="宋体" w:hAnsi="宋体" w:cs="宋体"/>
          <w:color w:val="auto"/>
          <w:sz w:val="24"/>
          <w:highlight w:val="none"/>
        </w:rPr>
      </w:pPr>
      <w:r>
        <w:rPr>
          <w:rFonts w:hint="eastAsia" w:ascii="宋体" w:hAnsi="宋体" w:cs="宋体"/>
          <w:color w:val="auto"/>
          <w:sz w:val="24"/>
          <w:highlight w:val="none"/>
        </w:rPr>
        <w:t>日    期：　　年　月　日　         日    期：　　年　月　日</w:t>
      </w:r>
    </w:p>
    <w:p w14:paraId="12C7189B">
      <w:pPr>
        <w:spacing w:line="360" w:lineRule="auto"/>
        <w:jc w:val="center"/>
        <w:rPr>
          <w:rFonts w:hint="eastAsia" w:ascii="宋体" w:hAnsi="宋体" w:cs="宋体"/>
          <w:color w:val="auto"/>
          <w:sz w:val="24"/>
          <w:highlight w:val="none"/>
        </w:rPr>
        <w:sectPr>
          <w:headerReference r:id="rId5" w:type="default"/>
          <w:pgSz w:w="11906" w:h="16838"/>
          <w:pgMar w:top="1440" w:right="1800" w:bottom="1440" w:left="1800" w:header="851" w:footer="992" w:gutter="0"/>
          <w:cols w:space="425" w:num="1"/>
          <w:titlePg/>
          <w:docGrid w:type="lines" w:linePitch="312" w:charSpace="0"/>
        </w:sectPr>
      </w:pPr>
    </w:p>
    <w:p w14:paraId="5B186047">
      <w:pPr>
        <w:rPr>
          <w:color w:val="auto"/>
          <w:highlight w:val="none"/>
        </w:rPr>
        <w:sectPr>
          <w:pgSz w:w="11906" w:h="16838"/>
          <w:pgMar w:top="1440" w:right="1800" w:bottom="1440" w:left="1800" w:header="851" w:footer="992" w:gutter="0"/>
          <w:cols w:space="425" w:num="1"/>
          <w:titlePg/>
          <w:docGrid w:type="lines" w:linePitch="312" w:charSpace="0"/>
        </w:sectPr>
      </w:pPr>
      <w:r>
        <w:rPr>
          <w:rFonts w:hint="eastAsia"/>
          <w:color w:val="auto"/>
          <w:highlight w:val="none"/>
        </w:rPr>
        <w:t>附件1中标通知书</w:t>
      </w:r>
    </w:p>
    <w:p w14:paraId="62077169">
      <w:pPr>
        <w:rPr>
          <w:color w:val="auto"/>
          <w:highlight w:val="none"/>
        </w:rPr>
      </w:pPr>
    </w:p>
    <w:p w14:paraId="624D17B8">
      <w:pPr>
        <w:rPr>
          <w:color w:val="auto"/>
          <w:highlight w:val="none"/>
        </w:rPr>
      </w:pPr>
      <w:r>
        <w:rPr>
          <w:rFonts w:hint="eastAsia"/>
          <w:color w:val="auto"/>
          <w:highlight w:val="none"/>
        </w:rPr>
        <w:t>附件2技术条款</w:t>
      </w:r>
    </w:p>
    <w:p w14:paraId="7E7350B3">
      <w:pPr>
        <w:rPr>
          <w:color w:val="auto"/>
          <w:highlight w:val="none"/>
        </w:rPr>
      </w:pPr>
      <w:r>
        <w:rPr>
          <w:rFonts w:hint="eastAsia"/>
          <w:color w:val="auto"/>
          <w:highlight w:val="none"/>
        </w:rPr>
        <w:t>一、采购内容:</w:t>
      </w:r>
    </w:p>
    <w:p w14:paraId="4A75DA45">
      <w:pPr>
        <w:rPr>
          <w:color w:val="auto"/>
          <w:highlight w:val="none"/>
        </w:rPr>
      </w:pPr>
      <w:r>
        <w:rPr>
          <w:rFonts w:hint="eastAsia"/>
          <w:color w:val="auto"/>
          <w:highlight w:val="none"/>
        </w:rPr>
        <w:t>1、服务内容：</w:t>
      </w:r>
    </w:p>
    <w:p w14:paraId="7B6A7F08">
      <w:pPr>
        <w:rPr>
          <w:color w:val="auto"/>
          <w:highlight w:val="none"/>
        </w:rPr>
      </w:pPr>
      <w:r>
        <w:rPr>
          <w:rFonts w:hint="eastAsia"/>
          <w:color w:val="auto"/>
          <w:highlight w:val="none"/>
        </w:rPr>
        <w:t>根据批复的《方案》安排实施计划，2025年度陕西省地下水超采超载区监测站更新改造项目建设任务为：新建地下水监测站31处，购置安装压力式水位水温一体化监测设备31台（套）。建设范围为西安市、榆林市、渭南市。其中：西安市在灞桥、莲湖、西咸新区等超采超载区范围内共新建监测站25处；榆林市在定边、靖边等超采超载区内共新建监测站5处；渭南市在富平县原超采超载区范围内共新建监测站1处。</w:t>
      </w:r>
    </w:p>
    <w:p w14:paraId="5A66093D">
      <w:pPr>
        <w:rPr>
          <w:color w:val="auto"/>
          <w:highlight w:val="none"/>
        </w:rPr>
      </w:pPr>
      <w:r>
        <w:rPr>
          <w:rFonts w:hint="eastAsia"/>
          <w:color w:val="auto"/>
          <w:highlight w:val="none"/>
        </w:rPr>
        <w:t>2、主要工程量：</w:t>
      </w:r>
    </w:p>
    <w:p w14:paraId="15E85A55">
      <w:pPr>
        <w:rPr>
          <w:color w:val="auto"/>
          <w:highlight w:val="none"/>
        </w:rPr>
      </w:pPr>
      <w:r>
        <w:rPr>
          <w:rFonts w:hint="eastAsia"/>
          <w:color w:val="auto"/>
          <w:highlight w:val="none"/>
        </w:rPr>
        <w:t>（1）新建省级监测站31处（含水质检测、抽水试验等），即凿井31眼，钻探总进尺</w:t>
      </w:r>
      <w:r>
        <w:rPr>
          <w:color w:val="auto"/>
          <w:highlight w:val="none"/>
        </w:rPr>
        <w:t xml:space="preserve">2540m; </w:t>
      </w:r>
    </w:p>
    <w:p w14:paraId="229DD4A6">
      <w:pPr>
        <w:rPr>
          <w:color w:val="auto"/>
          <w:highlight w:val="none"/>
        </w:rPr>
      </w:pPr>
      <w:r>
        <w:rPr>
          <w:rFonts w:hint="eastAsia"/>
          <w:color w:val="auto"/>
          <w:highlight w:val="none"/>
        </w:rPr>
        <w:t>（2）建设附属设施（包含保护设施、标识牌、水准点、围栏等）31处；</w:t>
      </w:r>
    </w:p>
    <w:p w14:paraId="6A47A2F1">
      <w:pPr>
        <w:rPr>
          <w:color w:val="auto"/>
          <w:highlight w:val="none"/>
        </w:rPr>
      </w:pPr>
      <w:r>
        <w:rPr>
          <w:rFonts w:hint="eastAsia"/>
          <w:color w:val="auto"/>
          <w:highlight w:val="none"/>
        </w:rPr>
        <w:t>（3）监测站高程引测和坐标测量31处；</w:t>
      </w:r>
    </w:p>
    <w:p w14:paraId="641D9181">
      <w:pPr>
        <w:spacing w:line="278" w:lineRule="auto"/>
        <w:ind w:firstLine="0" w:firstLineChars="0"/>
        <w:rPr>
          <w:rFonts w:hint="eastAsia" w:ascii="仿宋" w:hAnsi="仿宋" w:eastAsia="仿宋" w:cs="仿宋"/>
          <w:color w:val="auto"/>
          <w:sz w:val="22"/>
          <w:szCs w:val="22"/>
          <w:highlight w:val="none"/>
        </w:rPr>
      </w:pPr>
      <w:r>
        <w:rPr>
          <w:rFonts w:hint="eastAsia"/>
          <w:color w:val="auto"/>
          <w:highlight w:val="none"/>
        </w:rPr>
        <w:t>（4）自动监测仪器设备购置与安装31台（套）</w:t>
      </w:r>
      <w:r>
        <w:rPr>
          <w:rFonts w:hint="eastAsia" w:ascii="宋体" w:hAnsi="宋体" w:eastAsia="宋体" w:cs="宋体"/>
          <w:color w:val="auto"/>
          <w:highlight w:val="none"/>
        </w:rPr>
        <w:t>及备品备件</w:t>
      </w:r>
      <w:r>
        <w:rPr>
          <w:rFonts w:hint="eastAsia" w:ascii="仿宋" w:hAnsi="仿宋" w:eastAsia="仿宋" w:cs="仿宋"/>
          <w:color w:val="auto"/>
          <w:sz w:val="22"/>
          <w:szCs w:val="22"/>
          <w:highlight w:val="none"/>
        </w:rPr>
        <w:t>；</w:t>
      </w:r>
    </w:p>
    <w:p w14:paraId="74446079">
      <w:pPr>
        <w:rPr>
          <w:rFonts w:hint="eastAsia"/>
          <w:color w:val="auto"/>
          <w:highlight w:val="none"/>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5</w:t>
      </w:r>
      <w:r>
        <w:rPr>
          <w:rFonts w:hint="eastAsia" w:ascii="仿宋" w:hAnsi="仿宋" w:eastAsia="仿宋" w:cs="仿宋"/>
          <w:color w:val="auto"/>
          <w:sz w:val="22"/>
          <w:szCs w:val="22"/>
          <w:highlight w:val="none"/>
        </w:rPr>
        <w:t>）</w:t>
      </w:r>
      <w:r>
        <w:rPr>
          <w:rFonts w:hint="eastAsia" w:ascii="宋体" w:hAnsi="宋体" w:eastAsia="宋体" w:cs="宋体"/>
          <w:color w:val="auto"/>
          <w:highlight w:val="none"/>
        </w:rPr>
        <w:t>监测站巡测设备购置（购置便携式电子井深仪</w:t>
      </w:r>
      <w:r>
        <w:rPr>
          <w:color w:val="auto"/>
          <w:highlight w:val="none"/>
        </w:rPr>
        <w:t>2</w:t>
      </w:r>
      <w:r>
        <w:rPr>
          <w:rFonts w:hint="eastAsia" w:ascii="宋体" w:hAnsi="宋体" w:eastAsia="宋体" w:cs="宋体"/>
          <w:color w:val="auto"/>
          <w:highlight w:val="none"/>
        </w:rPr>
        <w:t>台、流量巡测设备</w:t>
      </w:r>
      <w:r>
        <w:rPr>
          <w:color w:val="auto"/>
          <w:highlight w:val="none"/>
        </w:rPr>
        <w:t>4</w:t>
      </w:r>
      <w:r>
        <w:rPr>
          <w:rFonts w:hint="eastAsia" w:ascii="宋体" w:hAnsi="宋体" w:eastAsia="宋体" w:cs="宋体"/>
          <w:color w:val="auto"/>
          <w:highlight w:val="none"/>
        </w:rPr>
        <w:t>台）</w:t>
      </w:r>
      <w:r>
        <w:rPr>
          <w:rFonts w:hint="eastAsia" w:ascii="仿宋" w:hAnsi="仿宋" w:eastAsia="仿宋" w:cs="仿宋"/>
          <w:color w:val="auto"/>
          <w:sz w:val="22"/>
          <w:szCs w:val="22"/>
          <w:highlight w:val="none"/>
        </w:rPr>
        <w:t>。</w:t>
      </w:r>
    </w:p>
    <w:p w14:paraId="3D45C74A">
      <w:pPr>
        <w:rPr>
          <w:color w:val="auto"/>
          <w:highlight w:val="none"/>
        </w:rPr>
      </w:pPr>
      <w:r>
        <w:rPr>
          <w:rFonts w:hint="eastAsia"/>
          <w:color w:val="auto"/>
          <w:highlight w:val="none"/>
        </w:rPr>
        <w:t>二、项目实施技术要求</w:t>
      </w:r>
    </w:p>
    <w:p w14:paraId="2E32CAA8">
      <w:pPr>
        <w:rPr>
          <w:color w:val="auto"/>
          <w:highlight w:val="none"/>
        </w:rPr>
      </w:pPr>
      <w:r>
        <w:rPr>
          <w:rFonts w:hint="eastAsia"/>
          <w:color w:val="auto"/>
          <w:highlight w:val="none"/>
        </w:rPr>
        <w:t>1、新建监测井</w:t>
      </w:r>
    </w:p>
    <w:p w14:paraId="02AAB22B">
      <w:pPr>
        <w:rPr>
          <w:color w:val="auto"/>
          <w:highlight w:val="none"/>
        </w:rPr>
      </w:pPr>
      <w:r>
        <w:rPr>
          <w:rFonts w:hint="eastAsia" w:ascii="宋体" w:hAnsi="宋体" w:eastAsia="宋体" w:cs="宋体"/>
          <w:color w:val="auto"/>
          <w:highlight w:val="none"/>
        </w:rPr>
        <w:t>依据设计确定的钻孔孔径、井管管径和选材施工，因钻井地层条件复杂情况，单井钻探进尺工程量可能有一定变更，但应确保井深达到目标监测层位，实际钻探总进尺应不小于设计总进尺，增加工程量不增加项目合同金额。</w:t>
      </w:r>
    </w:p>
    <w:p w14:paraId="55EAF8F2">
      <w:pPr>
        <w:ind w:firstLine="420" w:firstLineChars="200"/>
        <w:rPr>
          <w:color w:val="auto"/>
          <w:highlight w:val="none"/>
        </w:rPr>
      </w:pPr>
      <w:r>
        <w:rPr>
          <w:rFonts w:hint="eastAsia"/>
          <w:color w:val="auto"/>
          <w:highlight w:val="none"/>
        </w:rPr>
        <w:t>钻进，疏孔、换浆和试孔，井管安装，滤料填充、封闭止水，洗井，抽水试验等环节的施工应按照设计要求、遵循《地下水监测工程技术标准》（GB∕T51040-2023）、《供水水文地质勘察规范》（GB50027-2001）、《水文水井地质钻探规程》（DZ/T0148-2014）和《机井工程技术标准》（GB/T50625-2023）。</w:t>
      </w:r>
    </w:p>
    <w:p w14:paraId="2555A8EC">
      <w:pPr>
        <w:rPr>
          <w:color w:val="auto"/>
          <w:highlight w:val="none"/>
        </w:rPr>
      </w:pPr>
      <w:r>
        <w:rPr>
          <w:rFonts w:hint="eastAsia"/>
          <w:color w:val="auto"/>
          <w:highlight w:val="none"/>
        </w:rPr>
        <w:t>（1）井壁管</w:t>
      </w:r>
    </w:p>
    <w:p w14:paraId="71DD2713">
      <w:pPr>
        <w:rPr>
          <w:color w:val="auto"/>
          <w:highlight w:val="none"/>
        </w:rPr>
      </w:pPr>
      <w:r>
        <w:rPr>
          <w:rFonts w:hint="eastAsia" w:ascii="宋体" w:hAnsi="宋体" w:eastAsia="宋体" w:cs="宋体"/>
          <w:color w:val="auto"/>
          <w:highlight w:val="none"/>
        </w:rPr>
        <w:t>井深</w:t>
      </w:r>
      <w:r>
        <w:rPr>
          <w:color w:val="auto"/>
          <w:highlight w:val="none"/>
        </w:rPr>
        <w:t>150m</w:t>
      </w:r>
      <w:r>
        <w:rPr>
          <w:rFonts w:hint="eastAsia" w:ascii="宋体" w:hAnsi="宋体" w:eastAsia="宋体" w:cs="宋体"/>
          <w:color w:val="auto"/>
          <w:highlight w:val="none"/>
        </w:rPr>
        <w:t>以内的监测井，宜选用</w:t>
      </w:r>
      <w:r>
        <w:rPr>
          <w:color w:val="auto"/>
          <w:highlight w:val="none"/>
        </w:rPr>
        <w:t>PVC-U</w:t>
      </w:r>
      <w:r>
        <w:rPr>
          <w:rFonts w:hint="eastAsia" w:ascii="宋体" w:hAnsi="宋体" w:eastAsia="宋体" w:cs="宋体"/>
          <w:color w:val="auto"/>
          <w:highlight w:val="none"/>
        </w:rPr>
        <w:t>管</w:t>
      </w:r>
      <w:r>
        <w:rPr>
          <w:color w:val="auto"/>
          <w:highlight w:val="none"/>
        </w:rPr>
        <w:t>,PVC-U</w:t>
      </w:r>
      <w:r>
        <w:rPr>
          <w:rFonts w:hint="eastAsia" w:ascii="宋体" w:hAnsi="宋体" w:eastAsia="宋体" w:cs="宋体"/>
          <w:color w:val="auto"/>
          <w:highlight w:val="none"/>
        </w:rPr>
        <w:t>管应选用直径</w:t>
      </w:r>
      <w:r>
        <w:rPr>
          <w:color w:val="auto"/>
          <w:highlight w:val="none"/>
        </w:rPr>
        <w:t>200mm</w:t>
      </w:r>
      <w:r>
        <w:rPr>
          <w:rFonts w:hint="eastAsia" w:ascii="宋体" w:hAnsi="宋体" w:eastAsia="宋体" w:cs="宋体"/>
          <w:color w:val="auto"/>
          <w:highlight w:val="none"/>
        </w:rPr>
        <w:t>，壁厚</w:t>
      </w:r>
      <w:r>
        <w:rPr>
          <w:rFonts w:hint="eastAsia"/>
          <w:color w:val="auto"/>
          <w:highlight w:val="none"/>
        </w:rPr>
        <w:t>≥</w:t>
      </w:r>
      <w:r>
        <w:rPr>
          <w:color w:val="auto"/>
          <w:highlight w:val="none"/>
        </w:rPr>
        <w:t>9.6mm</w:t>
      </w:r>
      <w:r>
        <w:rPr>
          <w:rFonts w:hint="eastAsia" w:ascii="宋体" w:hAnsi="宋体" w:eastAsia="宋体" w:cs="宋体"/>
          <w:color w:val="auto"/>
          <w:highlight w:val="none"/>
        </w:rPr>
        <w:t>的</w:t>
      </w:r>
      <w:r>
        <w:rPr>
          <w:color w:val="auto"/>
          <w:highlight w:val="none"/>
        </w:rPr>
        <w:t>PVC-U</w:t>
      </w:r>
      <w:r>
        <w:rPr>
          <w:rFonts w:hint="eastAsia" w:ascii="宋体" w:hAnsi="宋体" w:eastAsia="宋体" w:cs="宋体"/>
          <w:color w:val="auto"/>
          <w:highlight w:val="none"/>
        </w:rPr>
        <w:t>管，覆盖层较浅的基岩井也可选用，管材强度应满足环刚度</w:t>
      </w:r>
      <w:r>
        <w:rPr>
          <w:rFonts w:hint="eastAsia"/>
          <w:color w:val="auto"/>
          <w:highlight w:val="none"/>
        </w:rPr>
        <w:t>≥</w:t>
      </w:r>
      <w:r>
        <w:rPr>
          <w:color w:val="auto"/>
          <w:highlight w:val="none"/>
        </w:rPr>
        <w:t>12.5kN/m2</w:t>
      </w:r>
      <w:r>
        <w:rPr>
          <w:rFonts w:hint="eastAsia" w:ascii="宋体" w:hAnsi="宋体" w:eastAsia="宋体" w:cs="宋体"/>
          <w:color w:val="auto"/>
          <w:highlight w:val="none"/>
        </w:rPr>
        <w:t>，纵向回缩率</w:t>
      </w:r>
      <w:r>
        <w:rPr>
          <w:rFonts w:hint="eastAsia"/>
          <w:color w:val="auto"/>
          <w:highlight w:val="none"/>
        </w:rPr>
        <w:t>≤</w:t>
      </w:r>
      <w:r>
        <w:rPr>
          <w:color w:val="auto"/>
          <w:highlight w:val="none"/>
        </w:rPr>
        <w:t>5%</w:t>
      </w:r>
      <w:r>
        <w:rPr>
          <w:rFonts w:hint="eastAsia" w:ascii="宋体" w:hAnsi="宋体" w:eastAsia="宋体" w:cs="宋体"/>
          <w:color w:val="auto"/>
          <w:highlight w:val="none"/>
        </w:rPr>
        <w:t>，拉伸屈服应力</w:t>
      </w:r>
      <w:r>
        <w:rPr>
          <w:rFonts w:hint="eastAsia"/>
          <w:color w:val="auto"/>
          <w:highlight w:val="none"/>
        </w:rPr>
        <w:t>≥</w:t>
      </w:r>
      <w:r>
        <w:rPr>
          <w:color w:val="auto"/>
          <w:highlight w:val="none"/>
        </w:rPr>
        <w:t>43MPa</w:t>
      </w:r>
      <w:r>
        <w:rPr>
          <w:rFonts w:hint="eastAsia" w:ascii="宋体" w:hAnsi="宋体" w:eastAsia="宋体" w:cs="宋体"/>
          <w:color w:val="auto"/>
          <w:highlight w:val="none"/>
        </w:rPr>
        <w:t>等。井深超过</w:t>
      </w:r>
      <w:r>
        <w:rPr>
          <w:color w:val="auto"/>
          <w:highlight w:val="none"/>
        </w:rPr>
        <w:t>150m</w:t>
      </w:r>
      <w:r>
        <w:rPr>
          <w:rFonts w:hint="eastAsia" w:ascii="宋体" w:hAnsi="宋体" w:eastAsia="宋体" w:cs="宋体"/>
          <w:color w:val="auto"/>
          <w:highlight w:val="none"/>
        </w:rPr>
        <w:t>的或基岩类监测井，考虑井管下部的承压能力和施工条件，选用直径</w:t>
      </w:r>
      <w:r>
        <w:rPr>
          <w:color w:val="auto"/>
          <w:highlight w:val="none"/>
        </w:rPr>
        <w:t>219mm</w:t>
      </w:r>
      <w:r>
        <w:rPr>
          <w:rFonts w:hint="eastAsia" w:ascii="宋体" w:hAnsi="宋体" w:eastAsia="宋体" w:cs="宋体"/>
          <w:color w:val="auto"/>
          <w:highlight w:val="none"/>
        </w:rPr>
        <w:t>，壁厚</w:t>
      </w:r>
      <w:r>
        <w:rPr>
          <w:rFonts w:hint="eastAsia"/>
          <w:color w:val="auto"/>
          <w:highlight w:val="none"/>
        </w:rPr>
        <w:t>≥</w:t>
      </w:r>
      <w:r>
        <w:rPr>
          <w:color w:val="auto"/>
          <w:highlight w:val="none"/>
        </w:rPr>
        <w:t>6mm</w:t>
      </w:r>
      <w:r>
        <w:rPr>
          <w:rFonts w:hint="eastAsia" w:ascii="宋体" w:hAnsi="宋体" w:eastAsia="宋体" w:cs="宋体"/>
          <w:color w:val="auto"/>
          <w:highlight w:val="none"/>
        </w:rPr>
        <w:t>的钢管。</w:t>
      </w:r>
    </w:p>
    <w:p w14:paraId="3D4008E4">
      <w:pPr>
        <w:ind w:firstLine="420" w:firstLineChars="200"/>
        <w:rPr>
          <w:color w:val="auto"/>
          <w:highlight w:val="none"/>
        </w:rPr>
      </w:pPr>
      <w:r>
        <w:rPr>
          <w:rFonts w:hint="eastAsia"/>
          <w:color w:val="auto"/>
          <w:highlight w:val="none"/>
        </w:rPr>
        <w:t>井管材质应符合《机井井管标准》（SL/T154-2013）规定的质量标准，采用PVC-U管还应符合《水井用硬聚录乙烯（PVC-U）管材》（CJ/T308-2009）。</w:t>
      </w:r>
    </w:p>
    <w:p w14:paraId="1410A8C2">
      <w:pPr>
        <w:rPr>
          <w:color w:val="auto"/>
          <w:highlight w:val="none"/>
        </w:rPr>
      </w:pPr>
      <w:r>
        <w:rPr>
          <w:rFonts w:hint="eastAsia"/>
          <w:color w:val="auto"/>
          <w:highlight w:val="none"/>
        </w:rPr>
        <w:t>（2）开孔孔径</w:t>
      </w:r>
    </w:p>
    <w:p w14:paraId="70BC70C3">
      <w:pPr>
        <w:ind w:firstLine="420" w:firstLineChars="200"/>
        <w:rPr>
          <w:color w:val="auto"/>
          <w:highlight w:val="none"/>
        </w:rPr>
      </w:pPr>
      <w:r>
        <w:rPr>
          <w:rFonts w:hint="eastAsia"/>
          <w:color w:val="auto"/>
          <w:highlight w:val="none"/>
        </w:rPr>
        <w:t>根据监测井管材、管径以及不同含水层填砾厚度确定孔径，本次设计开孔孔径为≥400mm，当含水层岩性为细砂、粉细砂时，开孔孔径应根据实际情况调整。</w:t>
      </w:r>
    </w:p>
    <w:p w14:paraId="1364934B">
      <w:pPr>
        <w:rPr>
          <w:color w:val="auto"/>
          <w:highlight w:val="none"/>
        </w:rPr>
      </w:pPr>
      <w:r>
        <w:rPr>
          <w:rFonts w:hint="eastAsia"/>
          <w:color w:val="auto"/>
          <w:highlight w:val="none"/>
        </w:rPr>
        <w:t>（3）钻井技术</w:t>
      </w:r>
    </w:p>
    <w:p w14:paraId="1255D5DA">
      <w:pPr>
        <w:ind w:firstLine="420" w:firstLineChars="200"/>
        <w:rPr>
          <w:color w:val="auto"/>
          <w:highlight w:val="none"/>
        </w:rPr>
      </w:pPr>
      <w:r>
        <w:rPr>
          <w:rFonts w:hint="eastAsia"/>
          <w:color w:val="auto"/>
          <w:highlight w:val="none"/>
        </w:rPr>
        <w:t>1）钻进前应对各个钻机的安全设施进行检查维修，保证钻塔的稳固、平整，防止水平位移或不均匀下沉，满足施工的需要。钻机就位后，钻塔天车、钻盘、钻孔中心三点应成一直线。</w:t>
      </w:r>
    </w:p>
    <w:p w14:paraId="073E442F">
      <w:pPr>
        <w:ind w:firstLine="420" w:firstLineChars="200"/>
        <w:rPr>
          <w:color w:val="auto"/>
          <w:highlight w:val="none"/>
        </w:rPr>
      </w:pPr>
      <w:r>
        <w:rPr>
          <w:rFonts w:hint="eastAsia"/>
          <w:color w:val="auto"/>
          <w:highlight w:val="none"/>
        </w:rPr>
        <w:t>2）松散岩层钻进采用水压护壁式，孔内应有3m以上的水头压力；采用泥浆护壁时，孔内泥浆面距地面应小于0.5m。基岩顶部的松散覆盖层或破碎岩层，应采用套管护壁。</w:t>
      </w:r>
    </w:p>
    <w:p w14:paraId="4C03E58D">
      <w:pPr>
        <w:ind w:firstLine="420" w:firstLineChars="200"/>
        <w:rPr>
          <w:color w:val="auto"/>
          <w:highlight w:val="none"/>
        </w:rPr>
      </w:pPr>
      <w:r>
        <w:rPr>
          <w:rFonts w:hint="eastAsia"/>
          <w:color w:val="auto"/>
          <w:highlight w:val="none"/>
        </w:rPr>
        <w:t>3）泥浆槽的长度应在15m以上；砾石、粗砂、中砂含水层泥浆黏度应为18～22s；细砂、粉砂含水层应为16～18s；冲击钻进时，孔内泥浆含砂量不应大于8%，胶体率不应低于70%；回转钻进时，孔内泥浆含砂量不应大于12%，胶体率不应低于80%。井孔较深时，胶体率应提高。</w:t>
      </w:r>
    </w:p>
    <w:p w14:paraId="77CE06A9">
      <w:pPr>
        <w:ind w:firstLine="420" w:firstLineChars="200"/>
        <w:rPr>
          <w:color w:val="auto"/>
          <w:highlight w:val="none"/>
        </w:rPr>
      </w:pPr>
      <w:r>
        <w:rPr>
          <w:rFonts w:hint="eastAsia"/>
          <w:color w:val="auto"/>
          <w:highlight w:val="none"/>
        </w:rPr>
        <w:t>4）井身应圆正、铅直。井身直径不得小于设计井径。井深≤100m的井段，顶角的偏斜不得超过1.0°；大于100m的井段，每100m顶角偏斜的递增速度不得超过1.5°。井段的顶角和方位角不得有突变。</w:t>
      </w:r>
    </w:p>
    <w:p w14:paraId="281E16BA">
      <w:pPr>
        <w:ind w:firstLine="420" w:firstLineChars="200"/>
        <w:rPr>
          <w:color w:val="auto"/>
          <w:highlight w:val="none"/>
        </w:rPr>
      </w:pPr>
      <w:r>
        <w:rPr>
          <w:rFonts w:hint="eastAsia"/>
          <w:color w:val="auto"/>
          <w:highlight w:val="none"/>
        </w:rPr>
        <w:t>5）钻进时应合理选用钻探参数，必要时应安装钻铤和导正器。随时测量孔斜度，及时纠正。钻具的弯曲、磨损应定期检查，不合格者严禁使用。</w:t>
      </w:r>
    </w:p>
    <w:p w14:paraId="4A615E52">
      <w:pPr>
        <w:ind w:firstLine="420" w:firstLineChars="200"/>
        <w:rPr>
          <w:color w:val="auto"/>
          <w:highlight w:val="none"/>
        </w:rPr>
      </w:pPr>
      <w:r>
        <w:rPr>
          <w:rFonts w:hint="eastAsia"/>
          <w:color w:val="auto"/>
          <w:highlight w:val="none"/>
        </w:rPr>
        <w:t>6）钻进至设计深度后，应进行电测井，再结合地层分析含水层厚度，进行水量初步估算。</w:t>
      </w:r>
    </w:p>
    <w:p w14:paraId="69F23832">
      <w:pPr>
        <w:ind w:firstLine="420" w:firstLineChars="200"/>
        <w:rPr>
          <w:color w:val="auto"/>
          <w:highlight w:val="none"/>
        </w:rPr>
      </w:pPr>
      <w:r>
        <w:rPr>
          <w:rFonts w:hint="eastAsia"/>
          <w:color w:val="auto"/>
          <w:highlight w:val="none"/>
        </w:rPr>
        <w:t>7）钻进过程中应有专人进行岩性编录，详细记录钻探过程中岩层变化情况。</w:t>
      </w:r>
    </w:p>
    <w:p w14:paraId="380494C8">
      <w:pPr>
        <w:rPr>
          <w:color w:val="auto"/>
          <w:highlight w:val="none"/>
        </w:rPr>
      </w:pPr>
      <w:r>
        <w:rPr>
          <w:rFonts w:hint="eastAsia"/>
          <w:color w:val="auto"/>
          <w:highlight w:val="none"/>
        </w:rPr>
        <w:t>（4）井管安装、填滤和封闭止水</w:t>
      </w:r>
    </w:p>
    <w:p w14:paraId="684226FA">
      <w:pPr>
        <w:ind w:firstLine="420" w:firstLineChars="200"/>
        <w:rPr>
          <w:color w:val="auto"/>
          <w:highlight w:val="none"/>
        </w:rPr>
      </w:pPr>
      <w:r>
        <w:rPr>
          <w:rFonts w:hint="eastAsia"/>
          <w:color w:val="auto"/>
          <w:highlight w:val="none"/>
        </w:rPr>
        <w:t>1）井管安装前，要进行电测井；根据钻进中取得的地层岩性鉴别资料及电测井结果，核定监测井结构设计中井壁管、过滤管、沉淀管的长度和下置位置；检查井管质量，确保每节井管均符合质量要求；疏孔、换浆工作完成后，应立即进行井管安装。</w:t>
      </w:r>
    </w:p>
    <w:p w14:paraId="4F1F05CA">
      <w:pPr>
        <w:ind w:firstLine="420" w:firstLineChars="200"/>
        <w:rPr>
          <w:color w:val="auto"/>
          <w:highlight w:val="none"/>
        </w:rPr>
      </w:pPr>
      <w:r>
        <w:rPr>
          <w:rFonts w:hint="eastAsia"/>
          <w:color w:val="auto"/>
          <w:highlight w:val="none"/>
        </w:rPr>
        <w:t>2）下管方法应根据管材、强度、下置深度和起重设备能力等因素选定。当井管的自重或浮重小于井管的允许抗拉和起重设备的安全的负荷时，可采用提吊下管法；当井管的自重或浮重超过井管的允许抗拉力或起重设备的安全负荷时，宜采用托盘下管法或浮板下管法。</w:t>
      </w:r>
    </w:p>
    <w:p w14:paraId="027F5FBB">
      <w:pPr>
        <w:ind w:firstLine="420" w:firstLineChars="200"/>
        <w:rPr>
          <w:color w:val="auto"/>
          <w:highlight w:val="none"/>
        </w:rPr>
      </w:pPr>
      <w:r>
        <w:rPr>
          <w:rFonts w:hint="eastAsia"/>
          <w:color w:val="auto"/>
          <w:highlight w:val="none"/>
        </w:rPr>
        <w:t>3）井管的连接应做到对正接直、封闭严密，接头处的强度应满足下管安全和成井质量的要求。过滤器安装位置的上下偏差不得超过300mm。</w:t>
      </w:r>
    </w:p>
    <w:p w14:paraId="70A8EC1F">
      <w:pPr>
        <w:ind w:firstLine="420" w:firstLineChars="200"/>
        <w:rPr>
          <w:color w:val="auto"/>
          <w:highlight w:val="none"/>
        </w:rPr>
      </w:pPr>
      <w:r>
        <w:rPr>
          <w:rFonts w:hint="eastAsia"/>
          <w:color w:val="auto"/>
          <w:highlight w:val="none"/>
        </w:rPr>
        <w:t>4）井管必须直立于井口中心，井管的上端口保持水平；相邻两节井管的结合紧密并保持竖直。</w:t>
      </w:r>
    </w:p>
    <w:p w14:paraId="44C96F5D">
      <w:pPr>
        <w:ind w:firstLine="420" w:firstLineChars="200"/>
        <w:rPr>
          <w:color w:val="auto"/>
          <w:highlight w:val="none"/>
        </w:rPr>
      </w:pPr>
      <w:r>
        <w:rPr>
          <w:rFonts w:hint="eastAsia"/>
          <w:color w:val="auto"/>
          <w:highlight w:val="none"/>
        </w:rPr>
        <w:t>5）每个监测井的沉淀管要封底。</w:t>
      </w:r>
    </w:p>
    <w:p w14:paraId="473425E0">
      <w:pPr>
        <w:ind w:firstLine="420" w:firstLineChars="200"/>
        <w:rPr>
          <w:color w:val="auto"/>
          <w:highlight w:val="none"/>
        </w:rPr>
      </w:pPr>
      <w:r>
        <w:rPr>
          <w:rFonts w:hint="eastAsia"/>
          <w:color w:val="auto"/>
          <w:highlight w:val="none"/>
        </w:rPr>
        <w:t>6）井壁管高出地面300mm。</w:t>
      </w:r>
    </w:p>
    <w:p w14:paraId="3030B01E">
      <w:pPr>
        <w:ind w:firstLine="420" w:firstLineChars="200"/>
        <w:rPr>
          <w:color w:val="auto"/>
          <w:highlight w:val="none"/>
        </w:rPr>
      </w:pPr>
      <w:r>
        <w:rPr>
          <w:rFonts w:hint="eastAsia"/>
          <w:color w:val="auto"/>
          <w:highlight w:val="none"/>
        </w:rPr>
        <w:t>7）井管安装到位后，立即进行填砾及止水工作，填砾和止水位置，待钻探成孔后，根据电测曲线以及钻探记录反映的实际地层确定。</w:t>
      </w:r>
    </w:p>
    <w:p w14:paraId="77C5D329">
      <w:pPr>
        <w:ind w:firstLine="420" w:firstLineChars="200"/>
        <w:rPr>
          <w:color w:val="auto"/>
          <w:highlight w:val="none"/>
        </w:rPr>
      </w:pPr>
      <w:r>
        <w:rPr>
          <w:rFonts w:hint="eastAsia"/>
          <w:color w:val="auto"/>
          <w:highlight w:val="none"/>
        </w:rPr>
        <w:t>8）填砾时，应对填砾高度随填随测，应及时校核数量。当发现填入数量及深度与计算有较大出入时，应及时找出原因并采取稳妥措施进行排除。</w:t>
      </w:r>
    </w:p>
    <w:p w14:paraId="3B888AEE">
      <w:pPr>
        <w:ind w:firstLine="420" w:firstLineChars="200"/>
        <w:rPr>
          <w:color w:val="auto"/>
          <w:highlight w:val="none"/>
        </w:rPr>
      </w:pPr>
      <w:r>
        <w:rPr>
          <w:rFonts w:hint="eastAsia"/>
          <w:color w:val="auto"/>
          <w:highlight w:val="none"/>
        </w:rPr>
        <w:t>9）应选择直径2～6mm磨圆度较好的硅质砂、砾石为主的滤料进行填充，严禁使用棱角碎石；取样部分，不符合规格的数量不得超过设计数量的15%，不应含土和杂物；应自滤水管底端以下不小于1m处充填至滤水管顶端以上不小于3m处；除应按设计备妥外，并应准备一定余量。</w:t>
      </w:r>
    </w:p>
    <w:p w14:paraId="55596422">
      <w:pPr>
        <w:ind w:firstLine="420" w:firstLineChars="200"/>
        <w:rPr>
          <w:color w:val="auto"/>
          <w:highlight w:val="none"/>
        </w:rPr>
      </w:pPr>
      <w:r>
        <w:rPr>
          <w:rFonts w:hint="eastAsia"/>
          <w:color w:val="auto"/>
          <w:highlight w:val="none"/>
        </w:rPr>
        <w:t>10）止水粘土球应用优质粘土制成，直径应在20～30mm之间，并应在半干状态下缓慢投入。</w:t>
      </w:r>
    </w:p>
    <w:p w14:paraId="263133C8">
      <w:pPr>
        <w:ind w:firstLine="420" w:firstLineChars="200"/>
        <w:rPr>
          <w:color w:val="auto"/>
          <w:highlight w:val="none"/>
        </w:rPr>
      </w:pPr>
      <w:r>
        <w:rPr>
          <w:rFonts w:hint="eastAsia"/>
          <w:color w:val="auto"/>
          <w:highlight w:val="none"/>
        </w:rPr>
        <w:t>11）在距地面200mm以下，对井口管外围采用钢筋混凝土进行封闭，即本次设计的基座，直径为300～400mm。</w:t>
      </w:r>
    </w:p>
    <w:p w14:paraId="54222DF4">
      <w:pPr>
        <w:rPr>
          <w:color w:val="auto"/>
          <w:highlight w:val="none"/>
        </w:rPr>
      </w:pPr>
      <w:r>
        <w:rPr>
          <w:rFonts w:hint="eastAsia"/>
          <w:color w:val="auto"/>
          <w:highlight w:val="none"/>
        </w:rPr>
        <w:t>（5）鉴别地层岩性</w:t>
      </w:r>
    </w:p>
    <w:p w14:paraId="553131A6">
      <w:pPr>
        <w:ind w:firstLine="420" w:firstLineChars="200"/>
        <w:rPr>
          <w:color w:val="auto"/>
          <w:highlight w:val="none"/>
        </w:rPr>
      </w:pPr>
      <w:r>
        <w:rPr>
          <w:rFonts w:hint="eastAsia"/>
          <w:color w:val="auto"/>
          <w:highlight w:val="none"/>
        </w:rPr>
        <w:t>钻探过程中依据《供水水文地质勘察规范》（GB50027-2001）和《机井工程技术标准》（GB/T50625-2023）的规定，对岩土样进行鉴别。鉴别样采取过程应详细记录和描述。具体描述内容参照《供水水文地质勘察规范》（GB50027-2001）。</w:t>
      </w:r>
    </w:p>
    <w:p w14:paraId="7CEF4921">
      <w:pPr>
        <w:rPr>
          <w:color w:val="auto"/>
          <w:highlight w:val="none"/>
        </w:rPr>
      </w:pPr>
      <w:r>
        <w:rPr>
          <w:rFonts w:hint="eastAsia"/>
          <w:color w:val="auto"/>
          <w:highlight w:val="none"/>
        </w:rPr>
        <w:t>（6）电测井</w:t>
      </w:r>
    </w:p>
    <w:p w14:paraId="668EE6E5">
      <w:pPr>
        <w:ind w:firstLine="420" w:firstLineChars="200"/>
        <w:rPr>
          <w:color w:val="auto"/>
          <w:highlight w:val="none"/>
        </w:rPr>
      </w:pPr>
      <w:r>
        <w:rPr>
          <w:rFonts w:hint="eastAsia"/>
          <w:color w:val="auto"/>
          <w:highlight w:val="none"/>
        </w:rPr>
        <w:t>为确保地层勘察数据的准确性，新建监测井均应开展电法测井工作。电测井采用梯度电极或电位电极与地面电极在钻孔中建立直流电场，测量延井轴分布的两点之间的电位差来求取地层的视电阻率，根据视电阻率曲线形态划分地层，确定其厚度，定量估算地层的电阻率和孔隙度。</w:t>
      </w:r>
    </w:p>
    <w:p w14:paraId="4712A945">
      <w:pPr>
        <w:rPr>
          <w:color w:val="auto"/>
          <w:highlight w:val="none"/>
        </w:rPr>
      </w:pPr>
      <w:r>
        <w:rPr>
          <w:rFonts w:hint="eastAsia"/>
          <w:color w:val="auto"/>
          <w:highlight w:val="none"/>
        </w:rPr>
        <w:t>（7）洗井</w:t>
      </w:r>
    </w:p>
    <w:p w14:paraId="5801412E">
      <w:pPr>
        <w:rPr>
          <w:color w:val="auto"/>
          <w:highlight w:val="none"/>
        </w:rPr>
      </w:pPr>
      <w:r>
        <w:rPr>
          <w:rFonts w:hint="eastAsia"/>
          <w:color w:val="auto"/>
          <w:highlight w:val="none"/>
        </w:rPr>
        <w:t>洗井应符合下列规定：</w:t>
      </w:r>
    </w:p>
    <w:p w14:paraId="7474B58A">
      <w:pPr>
        <w:ind w:firstLine="420" w:firstLineChars="200"/>
        <w:rPr>
          <w:color w:val="auto"/>
          <w:highlight w:val="none"/>
        </w:rPr>
      </w:pPr>
      <w:r>
        <w:rPr>
          <w:rFonts w:hint="eastAsia"/>
          <w:color w:val="auto"/>
          <w:highlight w:val="none"/>
        </w:rPr>
        <w:t>1）成井后必须及时进行洗井。</w:t>
      </w:r>
    </w:p>
    <w:p w14:paraId="568F3A22">
      <w:pPr>
        <w:ind w:firstLine="420" w:firstLineChars="200"/>
        <w:rPr>
          <w:color w:val="auto"/>
          <w:highlight w:val="none"/>
        </w:rPr>
      </w:pPr>
      <w:r>
        <w:rPr>
          <w:rFonts w:hint="eastAsia"/>
          <w:color w:val="auto"/>
          <w:highlight w:val="none"/>
        </w:rPr>
        <w:t>2）洗井方法和工具，可按井的结构、管材、钻井方法及含水层特征选择。</w:t>
      </w:r>
    </w:p>
    <w:p w14:paraId="7324D644">
      <w:pPr>
        <w:rPr>
          <w:color w:val="auto"/>
          <w:highlight w:val="none"/>
        </w:rPr>
      </w:pPr>
      <w:r>
        <w:rPr>
          <w:rFonts w:hint="eastAsia"/>
          <w:color w:val="auto"/>
          <w:highlight w:val="none"/>
        </w:rPr>
        <w:t>洗井效果应满足以下规定：</w:t>
      </w:r>
    </w:p>
    <w:p w14:paraId="2AD3B21D">
      <w:pPr>
        <w:ind w:firstLine="420" w:firstLineChars="200"/>
        <w:rPr>
          <w:color w:val="auto"/>
          <w:highlight w:val="none"/>
        </w:rPr>
      </w:pPr>
      <w:r>
        <w:rPr>
          <w:rFonts w:hint="eastAsia"/>
          <w:color w:val="auto"/>
          <w:highlight w:val="none"/>
        </w:rPr>
        <w:t>1）连续两次单位出水量之差小于其中任何一次单位出水量的10%；</w:t>
      </w:r>
    </w:p>
    <w:p w14:paraId="1E1477AC">
      <w:pPr>
        <w:ind w:firstLine="420" w:firstLineChars="200"/>
        <w:rPr>
          <w:color w:val="auto"/>
          <w:highlight w:val="none"/>
        </w:rPr>
      </w:pPr>
      <w:r>
        <w:rPr>
          <w:rFonts w:hint="eastAsia"/>
          <w:color w:val="auto"/>
          <w:highlight w:val="none"/>
        </w:rPr>
        <w:t>2）洗井出水的含砂量的体积比小于1/20000；</w:t>
      </w:r>
    </w:p>
    <w:p w14:paraId="01D31806">
      <w:pPr>
        <w:ind w:firstLine="420" w:firstLineChars="200"/>
        <w:rPr>
          <w:color w:val="auto"/>
          <w:highlight w:val="none"/>
        </w:rPr>
      </w:pPr>
      <w:r>
        <w:rPr>
          <w:rFonts w:hint="eastAsia"/>
          <w:color w:val="auto"/>
          <w:highlight w:val="none"/>
        </w:rPr>
        <w:t>3）洗井后进行透水灵敏度试验，实验结果符合《地下水监测工程技术标准地下水监测规范》（GB∕T51040-2023）要求。</w:t>
      </w:r>
    </w:p>
    <w:p w14:paraId="1EFB692B">
      <w:pPr>
        <w:ind w:firstLine="420" w:firstLineChars="200"/>
        <w:rPr>
          <w:color w:val="auto"/>
          <w:highlight w:val="none"/>
        </w:rPr>
      </w:pPr>
      <w:r>
        <w:rPr>
          <w:rFonts w:hint="eastAsia"/>
          <w:color w:val="auto"/>
          <w:highlight w:val="none"/>
        </w:rPr>
        <w:t>4）井底沉淀物厚度应小于井深的5‰。</w:t>
      </w:r>
    </w:p>
    <w:p w14:paraId="543800B8">
      <w:pPr>
        <w:rPr>
          <w:color w:val="auto"/>
          <w:highlight w:val="none"/>
        </w:rPr>
      </w:pPr>
      <w:r>
        <w:rPr>
          <w:rFonts w:hint="eastAsia"/>
          <w:color w:val="auto"/>
          <w:highlight w:val="none"/>
        </w:rPr>
        <w:t>（8）抽水试验</w:t>
      </w:r>
    </w:p>
    <w:p w14:paraId="00D76E66">
      <w:pPr>
        <w:ind w:firstLine="420" w:firstLineChars="200"/>
        <w:rPr>
          <w:color w:val="auto"/>
          <w:highlight w:val="none"/>
        </w:rPr>
      </w:pPr>
      <w:r>
        <w:rPr>
          <w:rFonts w:hint="eastAsia"/>
          <w:color w:val="auto"/>
          <w:highlight w:val="none"/>
        </w:rPr>
        <w:t>1）采用单孔稳定流抽水试验，抽水试验后，计算相关水文地质参数。抽水试验原则上应做3次降深抽水，台班数不少于3个。</w:t>
      </w:r>
    </w:p>
    <w:p w14:paraId="652CC31C">
      <w:pPr>
        <w:ind w:firstLine="420" w:firstLineChars="200"/>
        <w:rPr>
          <w:color w:val="auto"/>
          <w:highlight w:val="none"/>
        </w:rPr>
      </w:pPr>
      <w:r>
        <w:rPr>
          <w:rFonts w:hint="eastAsia"/>
          <w:color w:val="auto"/>
          <w:highlight w:val="none"/>
        </w:rPr>
        <w:t>2）抽水试验前，应设置井口固定点标志（井管顶部适当位置）并测量监测井内静水位；</w:t>
      </w:r>
    </w:p>
    <w:p w14:paraId="4BD80249">
      <w:pPr>
        <w:ind w:firstLine="420" w:firstLineChars="200"/>
        <w:rPr>
          <w:color w:val="auto"/>
          <w:highlight w:val="none"/>
        </w:rPr>
      </w:pPr>
      <w:r>
        <w:rPr>
          <w:rFonts w:hint="eastAsia"/>
          <w:color w:val="auto"/>
          <w:highlight w:val="none"/>
        </w:rPr>
        <w:t>3）抽水试验的水位降深次数应根据试验目的确定，本次设计进行3次降深。其中最大降深值为潜水含水层厚度的1/3～1/2（对潜水完整井从含水层底板算起水柱高度，非完整井从孔底水柱高度），承压水一般应降至含水层顶板；其余2次下降值应分别为最大降深值的1/3和2/3；</w:t>
      </w:r>
    </w:p>
    <w:p w14:paraId="44C144BC">
      <w:pPr>
        <w:ind w:firstLine="420" w:firstLineChars="200"/>
        <w:rPr>
          <w:color w:val="auto"/>
          <w:highlight w:val="none"/>
        </w:rPr>
      </w:pPr>
      <w:r>
        <w:rPr>
          <w:rFonts w:hint="eastAsia"/>
          <w:color w:val="auto"/>
          <w:highlight w:val="none"/>
        </w:rPr>
        <w:t>4）抽水试验的稳定标准，应符合在抽水稳定延续时间内，抽水孔出水量和动水位与时间关系曲线只在一定的范围内波动，且没有持续上升或下降趋势的要求；</w:t>
      </w:r>
    </w:p>
    <w:p w14:paraId="3D777A50">
      <w:pPr>
        <w:ind w:firstLine="420" w:firstLineChars="200"/>
        <w:rPr>
          <w:color w:val="auto"/>
          <w:highlight w:val="none"/>
        </w:rPr>
      </w:pPr>
      <w:r>
        <w:rPr>
          <w:rFonts w:hint="eastAsia"/>
          <w:color w:val="auto"/>
          <w:highlight w:val="none"/>
        </w:rPr>
        <w:t>5）抽水试验的稳定延续时间原则上应符合下列要求：</w:t>
      </w:r>
    </w:p>
    <w:p w14:paraId="0C096F9E">
      <w:pPr>
        <w:ind w:firstLine="420" w:firstLineChars="200"/>
        <w:rPr>
          <w:color w:val="auto"/>
          <w:highlight w:val="none"/>
        </w:rPr>
      </w:pPr>
      <w:r>
        <w:rPr>
          <w:rFonts w:hint="eastAsia"/>
          <w:color w:val="auto"/>
          <w:highlight w:val="none"/>
        </w:rPr>
        <w:t>① 卵石、圆砾和粗砂含水层为8h；</w:t>
      </w:r>
    </w:p>
    <w:p w14:paraId="12C94021">
      <w:pPr>
        <w:ind w:firstLine="420" w:firstLineChars="200"/>
        <w:rPr>
          <w:color w:val="auto"/>
          <w:highlight w:val="none"/>
        </w:rPr>
      </w:pPr>
      <w:r>
        <w:rPr>
          <w:rFonts w:hint="eastAsia"/>
          <w:color w:val="auto"/>
          <w:highlight w:val="none"/>
        </w:rPr>
        <w:t>② 中砂、细砂和粉砂含水层为16h。</w:t>
      </w:r>
    </w:p>
    <w:p w14:paraId="482DEC05">
      <w:pPr>
        <w:ind w:firstLine="420" w:firstLineChars="200"/>
        <w:rPr>
          <w:color w:val="auto"/>
          <w:highlight w:val="none"/>
        </w:rPr>
      </w:pPr>
      <w:r>
        <w:rPr>
          <w:rFonts w:hint="eastAsia"/>
          <w:color w:val="auto"/>
          <w:highlight w:val="none"/>
        </w:rPr>
        <w:t>6）抽水试验时，动水位和出水量观测的时间，应在抽水开始后的第5、10、15、20、25、30min各测一次，以后每隔30min测一次；</w:t>
      </w:r>
    </w:p>
    <w:p w14:paraId="39429962">
      <w:pPr>
        <w:ind w:firstLine="420" w:firstLineChars="200"/>
        <w:rPr>
          <w:color w:val="auto"/>
          <w:highlight w:val="none"/>
        </w:rPr>
      </w:pPr>
      <w:r>
        <w:rPr>
          <w:rFonts w:hint="eastAsia"/>
          <w:color w:val="auto"/>
          <w:highlight w:val="none"/>
        </w:rPr>
        <w:t>7）水位的观测，在同一试验中应采用同一方法和工具。抽水孔的水位测量应读数到厘米；</w:t>
      </w:r>
    </w:p>
    <w:p w14:paraId="1F557BB1">
      <w:pPr>
        <w:ind w:firstLine="420" w:firstLineChars="200"/>
        <w:rPr>
          <w:color w:val="auto"/>
          <w:highlight w:val="none"/>
        </w:rPr>
      </w:pPr>
      <w:r>
        <w:rPr>
          <w:rFonts w:hint="eastAsia"/>
          <w:color w:val="auto"/>
          <w:highlight w:val="none"/>
        </w:rPr>
        <w:t>8）抽水试验时，应防止抽出的水在抽水影响范围内回渗到含水层中；</w:t>
      </w:r>
    </w:p>
    <w:p w14:paraId="1E7B4EE7">
      <w:pPr>
        <w:ind w:firstLine="420" w:firstLineChars="200"/>
        <w:rPr>
          <w:color w:val="auto"/>
          <w:highlight w:val="none"/>
        </w:rPr>
      </w:pPr>
      <w:r>
        <w:rPr>
          <w:rFonts w:hint="eastAsia"/>
          <w:color w:val="auto"/>
          <w:highlight w:val="none"/>
        </w:rPr>
        <w:t>9）抽水试验终止前，应采取水样，进行水质分析与含砂量的确定。管井出水的含砂量（体积比）不得超过1/20000。</w:t>
      </w:r>
    </w:p>
    <w:p w14:paraId="2EF62D7E">
      <w:pPr>
        <w:rPr>
          <w:color w:val="auto"/>
          <w:highlight w:val="none"/>
        </w:rPr>
      </w:pPr>
      <w:r>
        <w:rPr>
          <w:rFonts w:hint="eastAsia"/>
          <w:color w:val="auto"/>
          <w:highlight w:val="none"/>
        </w:rPr>
        <w:t>（9）水质检测</w:t>
      </w:r>
    </w:p>
    <w:p w14:paraId="608ADE44">
      <w:pPr>
        <w:ind w:firstLine="420" w:firstLineChars="200"/>
        <w:rPr>
          <w:color w:val="auto"/>
          <w:highlight w:val="none"/>
        </w:rPr>
      </w:pPr>
      <w:r>
        <w:rPr>
          <w:rFonts w:hint="eastAsia"/>
          <w:color w:val="auto"/>
          <w:highlight w:val="none"/>
        </w:rPr>
        <w:t>在洗井结束后或抽水实验期间，进行监测井水质取样工作。采集水样体积为5～10L，采样时应认真填写采样记录和标签，注明水样编号、日期、地点。水样采集后原则上应立即送往实验室，或尽量保证在4小时内送达指定的实验室，若实在无法立即送往实验室，应采取冷藏保存措施。</w:t>
      </w:r>
    </w:p>
    <w:p w14:paraId="0EA28CE5">
      <w:pPr>
        <w:ind w:firstLine="420" w:firstLineChars="200"/>
        <w:rPr>
          <w:color w:val="auto"/>
          <w:highlight w:val="none"/>
        </w:rPr>
      </w:pPr>
      <w:r>
        <w:rPr>
          <w:rFonts w:hint="eastAsia"/>
          <w:color w:val="auto"/>
          <w:highlight w:val="none"/>
        </w:rPr>
        <w:t>水质检测按照《地下水质量标准》(GB/T 14848-2017)检测39项指标。水质检测单位应选择具有CMA资质的单位或实验室。水质全部项目检验宜在水样送达后7天内完成。</w:t>
      </w:r>
    </w:p>
    <w:p w14:paraId="3930EF6A">
      <w:pPr>
        <w:rPr>
          <w:color w:val="auto"/>
          <w:highlight w:val="none"/>
        </w:rPr>
      </w:pPr>
      <w:r>
        <w:rPr>
          <w:rFonts w:hint="eastAsia"/>
          <w:color w:val="auto"/>
          <w:highlight w:val="none"/>
        </w:rPr>
        <w:t>（10）施工记录和图表材料</w:t>
      </w:r>
    </w:p>
    <w:p w14:paraId="0E2DD9A1">
      <w:pPr>
        <w:rPr>
          <w:color w:val="auto"/>
          <w:highlight w:val="none"/>
        </w:rPr>
      </w:pPr>
      <w:r>
        <w:rPr>
          <w:rFonts w:hint="eastAsia"/>
          <w:color w:val="auto"/>
          <w:highlight w:val="none"/>
        </w:rPr>
        <w:t xml:space="preserve">   施工中钻井、岩土取样、井管安装、滤料和止水材料填充、电测井、洗井、抽水试验等应形成的表格和文字记录要求，逐井制作成井剖面图并形成相应的电子表格。</w:t>
      </w:r>
    </w:p>
    <w:p w14:paraId="7D46FCFD">
      <w:pPr>
        <w:rPr>
          <w:color w:val="auto"/>
          <w:highlight w:val="none"/>
        </w:rPr>
      </w:pPr>
      <w:r>
        <w:rPr>
          <w:rFonts w:hint="eastAsia"/>
          <w:color w:val="auto"/>
          <w:highlight w:val="none"/>
        </w:rPr>
        <w:t>（11）主要材料</w:t>
      </w:r>
    </w:p>
    <w:p w14:paraId="476BB180">
      <w:pPr>
        <w:ind w:firstLine="420" w:firstLineChars="200"/>
        <w:rPr>
          <w:color w:val="auto"/>
          <w:highlight w:val="none"/>
        </w:rPr>
      </w:pPr>
      <w:r>
        <w:rPr>
          <w:rFonts w:hint="eastAsia"/>
          <w:color w:val="auto"/>
          <w:highlight w:val="none"/>
        </w:rPr>
        <w:t>监测站建设施工中，使用的主要材料如：滤料、粘土球、井壁管、滤水管原材料等进场应提供产品合格证、质量合格证、质量保证书、产品生产许可证、检测报告等能够反映该物资品种提供相关产品的合格证、质检证书等材料，建设过程中接收检查或抽检。</w:t>
      </w:r>
    </w:p>
    <w:p w14:paraId="274CCD8A">
      <w:pPr>
        <w:rPr>
          <w:color w:val="auto"/>
          <w:highlight w:val="none"/>
        </w:rPr>
      </w:pPr>
      <w:r>
        <w:rPr>
          <w:rFonts w:hint="eastAsia"/>
          <w:color w:val="auto"/>
          <w:highlight w:val="none"/>
        </w:rPr>
        <w:t>2、附属设施建设</w:t>
      </w:r>
    </w:p>
    <w:p w14:paraId="26E7D12B">
      <w:pPr>
        <w:rPr>
          <w:color w:val="auto"/>
          <w:highlight w:val="none"/>
        </w:rPr>
      </w:pPr>
      <w:r>
        <w:rPr>
          <w:rFonts w:hint="eastAsia"/>
          <w:color w:val="auto"/>
          <w:highlight w:val="none"/>
        </w:rPr>
        <w:t>新建监测站附属设施建设包括保护筒、标识牌建设、水准点埋设、保护围栏等。</w:t>
      </w:r>
    </w:p>
    <w:p w14:paraId="39A71F2E">
      <w:pPr>
        <w:rPr>
          <w:color w:val="auto"/>
          <w:highlight w:val="none"/>
        </w:rPr>
      </w:pPr>
      <w:r>
        <w:rPr>
          <w:rFonts w:hint="eastAsia"/>
          <w:color w:val="auto"/>
          <w:highlight w:val="none"/>
        </w:rPr>
        <w:t>（1）保护筒建设</w:t>
      </w:r>
    </w:p>
    <w:p w14:paraId="075785FE">
      <w:pPr>
        <w:ind w:firstLine="420" w:firstLineChars="200"/>
        <w:rPr>
          <w:color w:val="auto"/>
          <w:highlight w:val="none"/>
        </w:rPr>
      </w:pPr>
      <w:r>
        <w:rPr>
          <w:rFonts w:hint="eastAsia"/>
          <w:color w:val="auto"/>
          <w:highlight w:val="none"/>
        </w:rPr>
        <w:t>井口保护设施采用一体式保护筒，保护筒基础采用C20钢筋混凝土，基处理深度为冻土深（H）以下200mm，总深度≥（H+200）mm。基础形状采用圆形设计；保护筒采用普通碳钢材质（表面镀锌），整体喷塑。保护筒盖设置防盗锁具，筒体贴有不锈钢标识牌。保护筒尺寸按照设计图纸加工制作。</w:t>
      </w:r>
    </w:p>
    <w:p w14:paraId="2B0617F7">
      <w:pPr>
        <w:rPr>
          <w:color w:val="auto"/>
          <w:highlight w:val="none"/>
        </w:rPr>
      </w:pPr>
      <w:r>
        <w:rPr>
          <w:rFonts w:hint="eastAsia"/>
          <w:color w:val="auto"/>
          <w:highlight w:val="none"/>
        </w:rPr>
        <w:t>井口保护设施基础现场浇筑，施工工序如下：槽底或模板内清理 → 混凝土拌制 → 混凝土浇筑 → 混凝土振捣 →安装保护筒→ 混凝土找平 →混凝土养护。</w:t>
      </w:r>
    </w:p>
    <w:p w14:paraId="2E8BFF22">
      <w:pPr>
        <w:rPr>
          <w:color w:val="auto"/>
          <w:highlight w:val="none"/>
        </w:rPr>
      </w:pPr>
      <w:r>
        <w:rPr>
          <w:rFonts w:hint="eastAsia"/>
          <w:color w:val="auto"/>
          <w:highlight w:val="none"/>
        </w:rPr>
        <w:t>（2）标识牌</w:t>
      </w:r>
    </w:p>
    <w:p w14:paraId="6D6C472A">
      <w:pPr>
        <w:ind w:firstLine="420" w:firstLineChars="200"/>
        <w:rPr>
          <w:color w:val="auto"/>
          <w:highlight w:val="none"/>
        </w:rPr>
      </w:pPr>
      <w:r>
        <w:rPr>
          <w:rFonts w:hint="eastAsia"/>
          <w:color w:val="auto"/>
          <w:highlight w:val="none"/>
        </w:rPr>
        <w:t>标识牌尺寸按照图纸进行制作，采用1mm厚不锈钢板，标示牌文字“陕西省省级地下水监测站”，内容还包括测站名称、站码、监测内容、管理单位、联系电话、警示标语等相关信息。标识牌安装于保护筒壁上。</w:t>
      </w:r>
    </w:p>
    <w:p w14:paraId="11FA4490">
      <w:pPr>
        <w:rPr>
          <w:color w:val="auto"/>
          <w:highlight w:val="none"/>
        </w:rPr>
      </w:pPr>
      <w:r>
        <w:rPr>
          <w:rFonts w:hint="eastAsia"/>
          <w:color w:val="auto"/>
          <w:highlight w:val="none"/>
        </w:rPr>
        <w:t>（3）水准点埋设要求</w:t>
      </w:r>
    </w:p>
    <w:p w14:paraId="6DEE10DC">
      <w:pPr>
        <w:ind w:firstLine="420" w:firstLineChars="200"/>
        <w:rPr>
          <w:color w:val="auto"/>
          <w:highlight w:val="none"/>
        </w:rPr>
      </w:pPr>
      <w:r>
        <w:rPr>
          <w:rFonts w:hint="eastAsia"/>
          <w:color w:val="auto"/>
          <w:highlight w:val="none"/>
        </w:rPr>
        <w:t>在便于开挖地区，采用埋设水准桩方式设置水准点。水准标石混凝土基座埋深在冻土层以下1.0m，且埋深不少于 1.5m，并应坐落在稳定地层。水准点标志采用不锈钢或黄铜材质，牢固焊接在钢管顶部。在硬化地面和不便于开挖地区，采用埋设简易水准桩方式：在硬化地面钻孔埋设抗腐蚀金属水准点，直径≥5mm，M20砂浆回灌固实，要求水准点顶端低于地面10mm。</w:t>
      </w:r>
    </w:p>
    <w:p w14:paraId="54AD158A">
      <w:pPr>
        <w:rPr>
          <w:color w:val="auto"/>
          <w:highlight w:val="none"/>
        </w:rPr>
      </w:pPr>
      <w:r>
        <w:rPr>
          <w:rFonts w:hint="eastAsia"/>
          <w:color w:val="auto"/>
          <w:highlight w:val="none"/>
        </w:rPr>
        <w:t>（4）围栏建设</w:t>
      </w:r>
    </w:p>
    <w:p w14:paraId="04909DC0">
      <w:pPr>
        <w:ind w:firstLine="420" w:firstLineChars="200"/>
        <w:rPr>
          <w:color w:val="auto"/>
          <w:highlight w:val="none"/>
        </w:rPr>
      </w:pPr>
      <w:r>
        <w:rPr>
          <w:rFonts w:hint="eastAsia"/>
          <w:color w:val="auto"/>
          <w:highlight w:val="none"/>
        </w:rPr>
        <w:t>根据测站所处环境及管理需要，对部分监测站设置保护围栏。围栏材质选用镀锌碳钢、表面彩色喷涂。围栏平面呈矩形，尺寸根据监测站现场环境确定，一般为1.5m×1.5m，地面以上高度≥0.8m，四角基础采用C20混凝土现浇。</w:t>
      </w:r>
    </w:p>
    <w:p w14:paraId="54D165C5">
      <w:pPr>
        <w:rPr>
          <w:color w:val="auto"/>
          <w:highlight w:val="none"/>
        </w:rPr>
      </w:pPr>
      <w:r>
        <w:rPr>
          <w:rFonts w:hint="eastAsia"/>
          <w:color w:val="auto"/>
          <w:highlight w:val="none"/>
        </w:rPr>
        <w:t>3、自动监测设备购置与安装</w:t>
      </w:r>
    </w:p>
    <w:p w14:paraId="07F22EB7">
      <w:pPr>
        <w:rPr>
          <w:color w:val="auto"/>
          <w:highlight w:val="none"/>
        </w:rPr>
      </w:pPr>
      <w:r>
        <w:rPr>
          <w:rFonts w:hint="eastAsia"/>
          <w:color w:val="auto"/>
          <w:highlight w:val="none"/>
        </w:rPr>
        <w:t>自动监测设备采用一体化压力式水位水温监测仪。</w:t>
      </w:r>
    </w:p>
    <w:p w14:paraId="4022636D">
      <w:pPr>
        <w:rPr>
          <w:color w:val="auto"/>
          <w:highlight w:val="none"/>
        </w:rPr>
      </w:pPr>
      <w:r>
        <w:rPr>
          <w:rFonts w:hint="eastAsia"/>
          <w:color w:val="auto"/>
          <w:highlight w:val="none"/>
        </w:rPr>
        <w:t>（1）设备性能技术指标</w:t>
      </w:r>
    </w:p>
    <w:p w14:paraId="144EF972">
      <w:pPr>
        <w:ind w:firstLine="420" w:firstLineChars="200"/>
        <w:rPr>
          <w:color w:val="auto"/>
          <w:highlight w:val="none"/>
        </w:rPr>
      </w:pPr>
      <w:r>
        <w:rPr>
          <w:rFonts w:hint="eastAsia"/>
          <w:color w:val="auto"/>
          <w:highlight w:val="none"/>
        </w:rPr>
        <w:t>1）产品功能</w:t>
      </w:r>
    </w:p>
    <w:p w14:paraId="46C4E48E">
      <w:pPr>
        <w:ind w:firstLine="420" w:firstLineChars="200"/>
        <w:rPr>
          <w:color w:val="auto"/>
          <w:highlight w:val="none"/>
        </w:rPr>
      </w:pPr>
      <w:r>
        <w:rPr>
          <w:rFonts w:hint="eastAsia"/>
          <w:color w:val="auto"/>
          <w:highlight w:val="none"/>
        </w:rPr>
        <w:t xml:space="preserve">通信功能：通讯信道支持GPRS/SMS/4G/5G等多种通讯方式，数据传输模式基于《水文监测数据通信规约》（SL651-2014）基础上，遵照《地下水监测工程技术标准》（GB∕T51040-2023）、 国家地下水监测工程设计规定的通信规约执行；支持与多中心进行数据通信；支持实时在线、定时唤醒两种工作模式。 </w:t>
      </w:r>
    </w:p>
    <w:p w14:paraId="4E42D582">
      <w:pPr>
        <w:ind w:firstLine="420" w:firstLineChars="200"/>
        <w:rPr>
          <w:color w:val="auto"/>
          <w:highlight w:val="none"/>
        </w:rPr>
      </w:pPr>
      <w:r>
        <w:rPr>
          <w:rFonts w:hint="eastAsia"/>
          <w:color w:val="auto"/>
          <w:highlight w:val="none"/>
        </w:rPr>
        <w:t>采集功能：采集水位、水温变送器的标准信号；</w:t>
      </w:r>
    </w:p>
    <w:p w14:paraId="3FDCB966">
      <w:pPr>
        <w:ind w:firstLine="420" w:firstLineChars="200"/>
        <w:rPr>
          <w:color w:val="auto"/>
          <w:highlight w:val="none"/>
        </w:rPr>
      </w:pPr>
      <w:r>
        <w:rPr>
          <w:rFonts w:hint="eastAsia"/>
          <w:color w:val="auto"/>
          <w:highlight w:val="none"/>
        </w:rPr>
        <w:t>远程管理功能：支持远程参数设置、程序升级、历史数据招测功能；</w:t>
      </w:r>
    </w:p>
    <w:p w14:paraId="5212AD5E">
      <w:pPr>
        <w:ind w:firstLine="840" w:firstLineChars="400"/>
        <w:rPr>
          <w:color w:val="auto"/>
          <w:highlight w:val="none"/>
        </w:rPr>
      </w:pPr>
      <w:r>
        <w:rPr>
          <w:rFonts w:hint="eastAsia"/>
          <w:color w:val="auto"/>
          <w:highlight w:val="none"/>
        </w:rPr>
        <w:t>报警功能：水位超限、水位计连线中断或电池电压过低时，立即上报告警信息；</w:t>
      </w:r>
    </w:p>
    <w:p w14:paraId="1B1A789C">
      <w:pPr>
        <w:rPr>
          <w:color w:val="auto"/>
          <w:highlight w:val="none"/>
        </w:rPr>
      </w:pPr>
      <w:r>
        <w:rPr>
          <w:rFonts w:hint="eastAsia"/>
          <w:color w:val="auto"/>
          <w:highlight w:val="none"/>
        </w:rPr>
        <w:t>存储功能：本机循环存储监测数据，掉电不丢失，现场数据导出功能。</w:t>
      </w:r>
    </w:p>
    <w:p w14:paraId="5A8ACCD4">
      <w:pPr>
        <w:ind w:firstLine="420" w:firstLineChars="200"/>
        <w:rPr>
          <w:color w:val="auto"/>
          <w:highlight w:val="none"/>
        </w:rPr>
      </w:pPr>
      <w:r>
        <w:rPr>
          <w:rFonts w:hint="eastAsia"/>
          <w:color w:val="auto"/>
          <w:highlight w:val="none"/>
        </w:rPr>
        <w:t>2）水位</w:t>
      </w:r>
    </w:p>
    <w:p w14:paraId="2DCC8A91">
      <w:pPr>
        <w:ind w:firstLine="420" w:firstLineChars="200"/>
        <w:rPr>
          <w:color w:val="auto"/>
          <w:highlight w:val="none"/>
        </w:rPr>
      </w:pPr>
      <w:r>
        <w:rPr>
          <w:rFonts w:hint="eastAsia"/>
          <w:color w:val="auto"/>
          <w:highlight w:val="none"/>
        </w:rPr>
        <w:t>水位变幅范围：</w:t>
      </w:r>
      <w:r>
        <w:rPr>
          <w:color w:val="auto"/>
          <w:highlight w:val="none"/>
        </w:rPr>
        <w:t>0</w:t>
      </w:r>
      <w:r>
        <w:rPr>
          <w:rFonts w:ascii="Times New Roman" w:hAnsi="Times New Roman"/>
          <w:color w:val="auto"/>
          <w:highlight w:val="none"/>
        </w:rPr>
        <w:t>⁓</w:t>
      </w:r>
      <w:r>
        <w:rPr>
          <w:color w:val="auto"/>
          <w:highlight w:val="none"/>
        </w:rPr>
        <w:t>10m</w:t>
      </w:r>
      <w:r>
        <w:rPr>
          <w:rFonts w:hint="eastAsia"/>
          <w:color w:val="auto"/>
          <w:highlight w:val="none"/>
        </w:rPr>
        <w:t>，</w:t>
      </w:r>
      <w:r>
        <w:rPr>
          <w:color w:val="auto"/>
          <w:highlight w:val="none"/>
        </w:rPr>
        <w:t>0</w:t>
      </w:r>
      <w:r>
        <w:rPr>
          <w:rFonts w:ascii="Times New Roman" w:hAnsi="Times New Roman"/>
          <w:color w:val="auto"/>
          <w:highlight w:val="none"/>
        </w:rPr>
        <w:t>⁓</w:t>
      </w:r>
      <w:r>
        <w:rPr>
          <w:color w:val="auto"/>
          <w:highlight w:val="none"/>
        </w:rPr>
        <w:t>20m</w:t>
      </w:r>
      <w:r>
        <w:rPr>
          <w:rFonts w:hint="eastAsia"/>
          <w:color w:val="auto"/>
          <w:highlight w:val="none"/>
        </w:rPr>
        <w:t>，</w:t>
      </w:r>
      <w:r>
        <w:rPr>
          <w:color w:val="auto"/>
          <w:highlight w:val="none"/>
        </w:rPr>
        <w:t>0</w:t>
      </w:r>
      <w:r>
        <w:rPr>
          <w:rFonts w:ascii="Times New Roman" w:hAnsi="Times New Roman"/>
          <w:color w:val="auto"/>
          <w:highlight w:val="none"/>
        </w:rPr>
        <w:t>⁓</w:t>
      </w:r>
      <w:r>
        <w:rPr>
          <w:color w:val="auto"/>
          <w:highlight w:val="none"/>
        </w:rPr>
        <w:t xml:space="preserve">30m </w:t>
      </w:r>
      <w:r>
        <w:rPr>
          <w:rFonts w:hint="eastAsia"/>
          <w:color w:val="auto"/>
          <w:highlight w:val="none"/>
        </w:rPr>
        <w:t>及以上；</w:t>
      </w:r>
    </w:p>
    <w:p w14:paraId="0C839509">
      <w:pPr>
        <w:ind w:firstLine="420" w:firstLineChars="200"/>
        <w:rPr>
          <w:color w:val="auto"/>
          <w:highlight w:val="none"/>
        </w:rPr>
      </w:pPr>
      <w:r>
        <w:rPr>
          <w:rFonts w:hint="eastAsia"/>
          <w:color w:val="auto"/>
          <w:highlight w:val="none"/>
        </w:rPr>
        <w:t>水位计分辨力：≤1cm；</w:t>
      </w:r>
    </w:p>
    <w:p w14:paraId="5937D90B">
      <w:pPr>
        <w:ind w:firstLine="420" w:firstLineChars="200"/>
        <w:rPr>
          <w:color w:val="auto"/>
          <w:highlight w:val="none"/>
        </w:rPr>
      </w:pPr>
      <w:r>
        <w:rPr>
          <w:rFonts w:hint="eastAsia"/>
          <w:color w:val="auto"/>
          <w:highlight w:val="none"/>
        </w:rPr>
        <w:t>水位变幅</w:t>
      </w:r>
      <w:r>
        <w:rPr>
          <w:color w:val="auto"/>
          <w:highlight w:val="none"/>
        </w:rPr>
        <w:t xml:space="preserve"> 0</w:t>
      </w:r>
      <w:r>
        <w:rPr>
          <w:rFonts w:ascii="Times New Roman" w:hAnsi="Times New Roman"/>
          <w:color w:val="auto"/>
          <w:highlight w:val="none"/>
        </w:rPr>
        <w:t>⁓</w:t>
      </w:r>
      <w:r>
        <w:rPr>
          <w:color w:val="auto"/>
          <w:highlight w:val="none"/>
        </w:rPr>
        <w:t>10m</w:t>
      </w:r>
      <w:r>
        <w:rPr>
          <w:rFonts w:hint="eastAsia"/>
          <w:color w:val="auto"/>
          <w:highlight w:val="none"/>
        </w:rPr>
        <w:t>，测量误差≤±</w:t>
      </w:r>
      <w:r>
        <w:rPr>
          <w:color w:val="auto"/>
          <w:highlight w:val="none"/>
        </w:rPr>
        <w:t>2cm</w:t>
      </w:r>
      <w:r>
        <w:rPr>
          <w:rFonts w:hint="eastAsia"/>
          <w:color w:val="auto"/>
          <w:highlight w:val="none"/>
        </w:rPr>
        <w:t>；</w:t>
      </w:r>
    </w:p>
    <w:p w14:paraId="2349401C">
      <w:pPr>
        <w:ind w:firstLine="420" w:firstLineChars="200"/>
        <w:rPr>
          <w:color w:val="auto"/>
          <w:highlight w:val="none"/>
        </w:rPr>
      </w:pPr>
      <w:r>
        <w:rPr>
          <w:rFonts w:hint="eastAsia"/>
          <w:color w:val="auto"/>
          <w:highlight w:val="none"/>
        </w:rPr>
        <w:t>水位变幅&gt;10m，测量误差≤量程的 0.2%；</w:t>
      </w:r>
    </w:p>
    <w:p w14:paraId="5D4443A5">
      <w:pPr>
        <w:ind w:firstLine="420" w:firstLineChars="200"/>
        <w:rPr>
          <w:color w:val="auto"/>
          <w:highlight w:val="none"/>
        </w:rPr>
      </w:pPr>
      <w:r>
        <w:rPr>
          <w:rFonts w:hint="eastAsia"/>
          <w:color w:val="auto"/>
          <w:highlight w:val="none"/>
        </w:rPr>
        <w:t>重复性误差：≤1cm；</w:t>
      </w:r>
    </w:p>
    <w:p w14:paraId="3055E91C">
      <w:pPr>
        <w:ind w:firstLine="420" w:firstLineChars="200"/>
        <w:rPr>
          <w:color w:val="auto"/>
          <w:highlight w:val="none"/>
        </w:rPr>
      </w:pPr>
      <w:r>
        <w:rPr>
          <w:rFonts w:hint="eastAsia"/>
          <w:color w:val="auto"/>
          <w:highlight w:val="none"/>
        </w:rPr>
        <w:t>信号输出方式：光纤/电缆传输。</w:t>
      </w:r>
    </w:p>
    <w:p w14:paraId="3CC864FB">
      <w:pPr>
        <w:ind w:firstLine="420" w:firstLineChars="200"/>
        <w:rPr>
          <w:color w:val="auto"/>
          <w:highlight w:val="none"/>
        </w:rPr>
      </w:pPr>
      <w:r>
        <w:rPr>
          <w:rFonts w:hint="eastAsia"/>
          <w:color w:val="auto"/>
          <w:highlight w:val="none"/>
        </w:rPr>
        <w:t>大气压补偿方式：绝压式/差压式。</w:t>
      </w:r>
    </w:p>
    <w:p w14:paraId="46F1051F">
      <w:pPr>
        <w:ind w:firstLine="420" w:firstLineChars="200"/>
        <w:rPr>
          <w:color w:val="auto"/>
          <w:highlight w:val="none"/>
        </w:rPr>
      </w:pPr>
      <w:r>
        <w:rPr>
          <w:rFonts w:hint="eastAsia"/>
          <w:color w:val="auto"/>
          <w:highlight w:val="none"/>
        </w:rPr>
        <w:t>设备平均无故障时间（MTBF）：不小于 25000h。</w:t>
      </w:r>
    </w:p>
    <w:p w14:paraId="5EF989D0">
      <w:pPr>
        <w:ind w:firstLine="420" w:firstLineChars="200"/>
        <w:rPr>
          <w:color w:val="auto"/>
          <w:highlight w:val="none"/>
        </w:rPr>
      </w:pPr>
      <w:r>
        <w:rPr>
          <w:rFonts w:hint="eastAsia"/>
          <w:color w:val="auto"/>
          <w:highlight w:val="none"/>
        </w:rPr>
        <w:t>3）水温</w:t>
      </w:r>
    </w:p>
    <w:p w14:paraId="434C0D4B">
      <w:pPr>
        <w:ind w:firstLine="420" w:firstLineChars="200"/>
        <w:rPr>
          <w:color w:val="auto"/>
          <w:highlight w:val="none"/>
        </w:rPr>
      </w:pPr>
      <w:r>
        <w:rPr>
          <w:rFonts w:hint="eastAsia"/>
          <w:color w:val="auto"/>
          <w:highlight w:val="none"/>
        </w:rPr>
        <w:t>水温计分辨率：0.1℃；</w:t>
      </w:r>
    </w:p>
    <w:p w14:paraId="41D877E8">
      <w:pPr>
        <w:ind w:firstLine="420" w:firstLineChars="200"/>
        <w:rPr>
          <w:color w:val="auto"/>
          <w:highlight w:val="none"/>
        </w:rPr>
      </w:pPr>
      <w:r>
        <w:rPr>
          <w:rFonts w:hint="eastAsia"/>
          <w:color w:val="auto"/>
          <w:highlight w:val="none"/>
        </w:rPr>
        <w:t>测量误差绝对值≤0.5℃。</w:t>
      </w:r>
    </w:p>
    <w:p w14:paraId="2D42F57E">
      <w:pPr>
        <w:ind w:firstLine="420" w:firstLineChars="200"/>
        <w:rPr>
          <w:color w:val="auto"/>
          <w:highlight w:val="none"/>
        </w:rPr>
      </w:pPr>
      <w:r>
        <w:rPr>
          <w:rFonts w:hint="eastAsia"/>
          <w:color w:val="auto"/>
          <w:highlight w:val="none"/>
        </w:rPr>
        <w:t>4）稳定性指标</w:t>
      </w:r>
    </w:p>
    <w:p w14:paraId="3CC740AF">
      <w:pPr>
        <w:ind w:firstLine="420" w:firstLineChars="200"/>
        <w:rPr>
          <w:color w:val="auto"/>
          <w:highlight w:val="none"/>
        </w:rPr>
      </w:pPr>
      <w:r>
        <w:rPr>
          <w:rFonts w:hint="eastAsia"/>
          <w:color w:val="auto"/>
          <w:highlight w:val="none"/>
        </w:rPr>
        <w:t>①时间漂移量绝对值≤1 cm/10d（水温变化小于等于±3℃内）。</w:t>
      </w:r>
    </w:p>
    <w:p w14:paraId="58CDC6CD">
      <w:pPr>
        <w:ind w:firstLine="420" w:firstLineChars="200"/>
        <w:rPr>
          <w:color w:val="auto"/>
          <w:highlight w:val="none"/>
        </w:rPr>
      </w:pPr>
      <w:r>
        <w:rPr>
          <w:rFonts w:hint="eastAsia"/>
          <w:color w:val="auto"/>
          <w:highlight w:val="none"/>
        </w:rPr>
        <w:t>②温度漂移量绝对值≤1 ℃（水温变化 4  ℃～40  ℃）。</w:t>
      </w:r>
    </w:p>
    <w:p w14:paraId="1BB4B29E">
      <w:pPr>
        <w:ind w:firstLine="420" w:firstLineChars="200"/>
        <w:rPr>
          <w:color w:val="auto"/>
          <w:highlight w:val="none"/>
        </w:rPr>
      </w:pPr>
      <w:r>
        <w:rPr>
          <w:rFonts w:hint="eastAsia"/>
          <w:color w:val="auto"/>
          <w:highlight w:val="none"/>
        </w:rPr>
        <w:t>③安装在现场的设备漂移量绝对值≤2cm/年。</w:t>
      </w:r>
    </w:p>
    <w:p w14:paraId="3CB9270B">
      <w:pPr>
        <w:ind w:firstLine="420" w:firstLineChars="200"/>
        <w:rPr>
          <w:color w:val="auto"/>
          <w:highlight w:val="none"/>
        </w:rPr>
      </w:pPr>
      <w:r>
        <w:rPr>
          <w:rFonts w:hint="eastAsia"/>
          <w:color w:val="auto"/>
          <w:highlight w:val="none"/>
        </w:rPr>
        <w:t xml:space="preserve">5）气候环境适应性指标 </w:t>
      </w:r>
    </w:p>
    <w:p w14:paraId="49CFDF73">
      <w:pPr>
        <w:ind w:firstLine="420" w:firstLineChars="200"/>
        <w:rPr>
          <w:color w:val="auto"/>
          <w:highlight w:val="none"/>
        </w:rPr>
      </w:pPr>
      <w:r>
        <w:rPr>
          <w:rFonts w:hint="eastAsia"/>
          <w:color w:val="auto"/>
          <w:highlight w:val="none"/>
        </w:rPr>
        <w:t>①工作环境温度：</w:t>
      </w:r>
    </w:p>
    <w:p w14:paraId="795AF897">
      <w:pPr>
        <w:ind w:firstLine="420" w:firstLineChars="200"/>
        <w:rPr>
          <w:color w:val="auto"/>
          <w:highlight w:val="none"/>
        </w:rPr>
      </w:pPr>
      <w:r>
        <w:rPr>
          <w:rFonts w:hint="eastAsia"/>
          <w:color w:val="auto"/>
          <w:highlight w:val="none"/>
        </w:rPr>
        <w:t>井下部分：</w:t>
      </w:r>
      <w:r>
        <w:rPr>
          <w:color w:val="auto"/>
          <w:highlight w:val="none"/>
        </w:rPr>
        <w:t>0</w:t>
      </w:r>
      <w:r>
        <w:rPr>
          <w:rFonts w:ascii="Times New Roman" w:hAnsi="Times New Roman"/>
          <w:color w:val="auto"/>
          <w:highlight w:val="none"/>
        </w:rPr>
        <w:t>⁓</w:t>
      </w:r>
      <w:r>
        <w:rPr>
          <w:color w:val="auto"/>
          <w:highlight w:val="none"/>
        </w:rPr>
        <w:t>40</w:t>
      </w:r>
      <w:r>
        <w:rPr>
          <w:rFonts w:hint="eastAsia"/>
          <w:color w:val="auto"/>
          <w:highlight w:val="none"/>
        </w:rPr>
        <w:t>℃（接触的水不结冰）；</w:t>
      </w:r>
    </w:p>
    <w:p w14:paraId="4A11546B">
      <w:pPr>
        <w:ind w:firstLine="420" w:firstLineChars="200"/>
        <w:rPr>
          <w:color w:val="auto"/>
          <w:highlight w:val="none"/>
        </w:rPr>
      </w:pPr>
      <w:r>
        <w:rPr>
          <w:rFonts w:hint="eastAsia"/>
          <w:color w:val="auto"/>
          <w:highlight w:val="none"/>
        </w:rPr>
        <w:t>井口部分：</w:t>
      </w:r>
      <w:r>
        <w:rPr>
          <w:color w:val="auto"/>
          <w:highlight w:val="none"/>
        </w:rPr>
        <w:t>-10</w:t>
      </w:r>
      <w:r>
        <w:rPr>
          <w:rFonts w:ascii="Times New Roman" w:hAnsi="Times New Roman"/>
          <w:color w:val="auto"/>
          <w:highlight w:val="none"/>
        </w:rPr>
        <w:t>⁓</w:t>
      </w:r>
      <w:r>
        <w:rPr>
          <w:color w:val="auto"/>
          <w:highlight w:val="none"/>
        </w:rPr>
        <w:t>45</w:t>
      </w:r>
      <w:r>
        <w:rPr>
          <w:rFonts w:hint="eastAsia"/>
          <w:color w:val="auto"/>
          <w:highlight w:val="none"/>
        </w:rPr>
        <w:t>℃或</w:t>
      </w:r>
      <w:r>
        <w:rPr>
          <w:color w:val="auto"/>
          <w:highlight w:val="none"/>
        </w:rPr>
        <w:t>-25</w:t>
      </w:r>
      <w:r>
        <w:rPr>
          <w:rFonts w:ascii="Times New Roman" w:hAnsi="Times New Roman"/>
          <w:color w:val="auto"/>
          <w:highlight w:val="none"/>
        </w:rPr>
        <w:t>⁓</w:t>
      </w:r>
      <w:r>
        <w:rPr>
          <w:color w:val="auto"/>
          <w:highlight w:val="none"/>
        </w:rPr>
        <w:t>55</w:t>
      </w:r>
      <w:r>
        <w:rPr>
          <w:rFonts w:hint="eastAsia"/>
          <w:color w:val="auto"/>
          <w:highlight w:val="none"/>
        </w:rPr>
        <w:t>℃。</w:t>
      </w:r>
    </w:p>
    <w:p w14:paraId="0E8537CB">
      <w:pPr>
        <w:ind w:firstLine="420" w:firstLineChars="200"/>
        <w:rPr>
          <w:color w:val="auto"/>
          <w:highlight w:val="none"/>
        </w:rPr>
      </w:pPr>
      <w:r>
        <w:rPr>
          <w:rFonts w:hint="eastAsia"/>
          <w:color w:val="auto"/>
          <w:highlight w:val="none"/>
        </w:rPr>
        <w:t>②工作湿度：</w:t>
      </w:r>
    </w:p>
    <w:p w14:paraId="32CDB1EB">
      <w:pPr>
        <w:ind w:firstLine="420" w:firstLineChars="200"/>
        <w:rPr>
          <w:color w:val="auto"/>
          <w:highlight w:val="none"/>
        </w:rPr>
      </w:pPr>
      <w:r>
        <w:rPr>
          <w:rFonts w:hint="eastAsia"/>
          <w:color w:val="auto"/>
          <w:highlight w:val="none"/>
        </w:rPr>
        <w:t>井下部分：相对湿度 100%RH（40℃时）；</w:t>
      </w:r>
    </w:p>
    <w:p w14:paraId="4C9A7095">
      <w:pPr>
        <w:ind w:firstLine="420" w:firstLineChars="200"/>
        <w:rPr>
          <w:color w:val="auto"/>
          <w:highlight w:val="none"/>
        </w:rPr>
      </w:pPr>
      <w:r>
        <w:rPr>
          <w:rFonts w:hint="eastAsia"/>
          <w:color w:val="auto"/>
          <w:highlight w:val="none"/>
        </w:rPr>
        <w:t>井口部分：相对湿度≤98%RH（40℃时）。</w:t>
      </w:r>
    </w:p>
    <w:p w14:paraId="139409E0">
      <w:pPr>
        <w:ind w:firstLine="420" w:firstLineChars="200"/>
        <w:rPr>
          <w:color w:val="auto"/>
          <w:highlight w:val="none"/>
        </w:rPr>
      </w:pPr>
      <w:r>
        <w:rPr>
          <w:rFonts w:hint="eastAsia"/>
          <w:color w:val="auto"/>
          <w:highlight w:val="none"/>
        </w:rPr>
        <w:t>6）贮存环境</w:t>
      </w:r>
    </w:p>
    <w:p w14:paraId="71D8F405">
      <w:pPr>
        <w:ind w:firstLine="420" w:firstLineChars="200"/>
        <w:rPr>
          <w:color w:val="auto"/>
          <w:highlight w:val="none"/>
        </w:rPr>
      </w:pPr>
      <w:r>
        <w:rPr>
          <w:rFonts w:hint="eastAsia"/>
          <w:color w:val="auto"/>
          <w:highlight w:val="none"/>
        </w:rPr>
        <w:t>①贮存温度：</w:t>
      </w:r>
      <w:r>
        <w:rPr>
          <w:color w:val="auto"/>
          <w:highlight w:val="none"/>
        </w:rPr>
        <w:t>-40</w:t>
      </w:r>
      <w:r>
        <w:rPr>
          <w:rFonts w:ascii="Times New Roman" w:hAnsi="Times New Roman"/>
          <w:color w:val="auto"/>
          <w:highlight w:val="none"/>
        </w:rPr>
        <w:t>⁓</w:t>
      </w:r>
      <w:r>
        <w:rPr>
          <w:color w:val="auto"/>
          <w:highlight w:val="none"/>
        </w:rPr>
        <w:t>60</w:t>
      </w:r>
      <w:r>
        <w:rPr>
          <w:rFonts w:hint="eastAsia"/>
          <w:color w:val="auto"/>
          <w:highlight w:val="none"/>
        </w:rPr>
        <w:t>℃；</w:t>
      </w:r>
      <w:r>
        <w:rPr>
          <w:color w:val="auto"/>
          <w:highlight w:val="none"/>
        </w:rPr>
        <w:t xml:space="preserve"> </w:t>
      </w:r>
    </w:p>
    <w:p w14:paraId="4C920DF2">
      <w:pPr>
        <w:ind w:firstLine="420" w:firstLineChars="200"/>
        <w:rPr>
          <w:color w:val="auto"/>
          <w:highlight w:val="none"/>
        </w:rPr>
      </w:pPr>
      <w:r>
        <w:rPr>
          <w:rFonts w:hint="eastAsia"/>
          <w:color w:val="auto"/>
          <w:highlight w:val="none"/>
        </w:rPr>
        <w:t>②贮存湿度：相对湿度≤95%RH（40℃时）。</w:t>
      </w:r>
    </w:p>
    <w:p w14:paraId="75AC892E">
      <w:pPr>
        <w:ind w:firstLine="420" w:firstLineChars="200"/>
        <w:rPr>
          <w:color w:val="auto"/>
          <w:highlight w:val="none"/>
        </w:rPr>
      </w:pPr>
      <w:r>
        <w:rPr>
          <w:rFonts w:hint="eastAsia"/>
          <w:color w:val="auto"/>
          <w:highlight w:val="none"/>
        </w:rPr>
        <w:t>8）机械环境</w:t>
      </w:r>
    </w:p>
    <w:p w14:paraId="37AB1E91">
      <w:pPr>
        <w:ind w:firstLine="420" w:firstLineChars="200"/>
        <w:rPr>
          <w:color w:val="auto"/>
          <w:highlight w:val="none"/>
        </w:rPr>
      </w:pPr>
      <w:r>
        <w:rPr>
          <w:rFonts w:hint="eastAsia"/>
          <w:color w:val="auto"/>
          <w:highlight w:val="none"/>
        </w:rPr>
        <w:t>①振动性能。 在包装状态下，设置扫频振动频率（10 Hz～150 Hz～10 Hz），扫频速度为 1 倍频程/min，加速度为 20  m/s2，循环次数为 5 次的振动试验，试验后仪器应能正常工作。</w:t>
      </w:r>
    </w:p>
    <w:p w14:paraId="341FABEC">
      <w:pPr>
        <w:ind w:firstLine="420" w:firstLineChars="200"/>
        <w:rPr>
          <w:color w:val="auto"/>
          <w:highlight w:val="none"/>
        </w:rPr>
      </w:pPr>
      <w:r>
        <w:rPr>
          <w:rFonts w:hint="eastAsia"/>
          <w:color w:val="auto"/>
          <w:highlight w:val="none"/>
        </w:rPr>
        <w:t>②自由跌落性能。 在包装状态下，设置自由跌落机的跌落高度为 1000 mm（小于等于 20  kg）或 500  mm（大于 20  kg），将仪器自由跌落在平滑、坚硬的钢质面上，共进行三次跌落试验，试验后仪器应能正常工作。</w:t>
      </w:r>
    </w:p>
    <w:p w14:paraId="144B31B0">
      <w:pPr>
        <w:ind w:firstLine="420" w:firstLineChars="200"/>
        <w:rPr>
          <w:color w:val="auto"/>
          <w:highlight w:val="none"/>
        </w:rPr>
      </w:pPr>
      <w:r>
        <w:rPr>
          <w:rFonts w:hint="eastAsia"/>
          <w:color w:val="auto"/>
          <w:highlight w:val="none"/>
        </w:rPr>
        <w:t>③电磁环境性能。工频抗扰度性能应符合 GB  /T  17626.8 中稳定持续磁场等级第 3 级（磁场强度 10 A/m）的要求，试验方法参照 GB /T 17626.8 中第 8 条试验程序执行。</w:t>
      </w:r>
    </w:p>
    <w:p w14:paraId="6A1F3393">
      <w:pPr>
        <w:ind w:firstLine="420" w:firstLineChars="200"/>
        <w:rPr>
          <w:color w:val="auto"/>
          <w:highlight w:val="none"/>
        </w:rPr>
      </w:pPr>
      <w:r>
        <w:rPr>
          <w:rFonts w:hint="eastAsia"/>
          <w:color w:val="auto"/>
          <w:highlight w:val="none"/>
        </w:rPr>
        <w:t>7）密封性与耐压性</w:t>
      </w:r>
    </w:p>
    <w:p w14:paraId="6A3F9091">
      <w:pPr>
        <w:ind w:firstLine="420" w:firstLineChars="200"/>
        <w:rPr>
          <w:color w:val="auto"/>
          <w:highlight w:val="none"/>
        </w:rPr>
      </w:pPr>
      <w:r>
        <w:rPr>
          <w:rFonts w:hint="eastAsia"/>
          <w:color w:val="auto"/>
          <w:highlight w:val="none"/>
        </w:rPr>
        <w:t>①井下部分：外壳防护等级满足 IP68 要求；</w:t>
      </w:r>
    </w:p>
    <w:p w14:paraId="5871D8FF">
      <w:pPr>
        <w:ind w:firstLine="420" w:firstLineChars="200"/>
        <w:rPr>
          <w:color w:val="auto"/>
          <w:highlight w:val="none"/>
        </w:rPr>
      </w:pPr>
      <w:r>
        <w:rPr>
          <w:rFonts w:hint="eastAsia"/>
          <w:color w:val="auto"/>
          <w:highlight w:val="none"/>
        </w:rPr>
        <w:t>②井口部分（含井口密闭箱内）外壳防护等级应符合 IP68 要求；含有通气管的设备应保证能够自然承压，同时隔离水汽。</w:t>
      </w:r>
    </w:p>
    <w:p w14:paraId="4B2A9BA4">
      <w:pPr>
        <w:ind w:firstLine="420" w:firstLineChars="200"/>
        <w:rPr>
          <w:color w:val="auto"/>
          <w:highlight w:val="none"/>
        </w:rPr>
      </w:pPr>
      <w:r>
        <w:rPr>
          <w:rFonts w:hint="eastAsia"/>
          <w:color w:val="auto"/>
          <w:highlight w:val="none"/>
        </w:rPr>
        <w:t>③压力式水位计耐压应满足水下装置的防水密封程度要求在 1.5 倍满量程水压力条件下保持 1 h，或在满量程的水柱压力条件下，保持 10 h 后，仪器不漏水。存储容量：不小于4M；供电电源：10V～30V DC；分站自带太阳能供电电池。工作环境：温度：-40～+85℃；湿度：≤95%；</w:t>
      </w:r>
    </w:p>
    <w:p w14:paraId="71C8B99C">
      <w:pPr>
        <w:rPr>
          <w:color w:val="auto"/>
          <w:highlight w:val="none"/>
        </w:rPr>
      </w:pPr>
      <w:r>
        <w:rPr>
          <w:rFonts w:hint="eastAsia"/>
          <w:color w:val="auto"/>
          <w:highlight w:val="none"/>
        </w:rPr>
        <w:t>（2）设备安装</w:t>
      </w:r>
    </w:p>
    <w:p w14:paraId="05A68901">
      <w:pPr>
        <w:ind w:firstLine="420" w:firstLineChars="200"/>
        <w:rPr>
          <w:color w:val="auto"/>
          <w:highlight w:val="none"/>
        </w:rPr>
      </w:pPr>
      <w:r>
        <w:rPr>
          <w:rFonts w:hint="eastAsia"/>
          <w:color w:val="auto"/>
          <w:highlight w:val="none"/>
        </w:rPr>
        <w:t>1）设备安装前的检查与准备</w:t>
      </w:r>
    </w:p>
    <w:p w14:paraId="4624473F">
      <w:pPr>
        <w:ind w:firstLine="420" w:firstLineChars="200"/>
        <w:rPr>
          <w:color w:val="auto"/>
          <w:highlight w:val="none"/>
        </w:rPr>
      </w:pPr>
      <w:r>
        <w:rPr>
          <w:rFonts w:hint="eastAsia"/>
          <w:color w:val="auto"/>
          <w:highlight w:val="none"/>
        </w:rPr>
        <w:t>①本次设计采用信息采集与传输一体化的自动监测设备，安装设备前全面检查各项土建工程是否符合设计要求，原订的设备安装计划是否可行，并根据检查结果提出应进行的补充工作，拟定详细的设备安装计划。</w:t>
      </w:r>
    </w:p>
    <w:p w14:paraId="6D13460F">
      <w:pPr>
        <w:ind w:firstLine="420" w:firstLineChars="200"/>
        <w:rPr>
          <w:color w:val="auto"/>
          <w:highlight w:val="none"/>
        </w:rPr>
      </w:pPr>
      <w:r>
        <w:rPr>
          <w:rFonts w:hint="eastAsia"/>
          <w:color w:val="auto"/>
          <w:highlight w:val="none"/>
        </w:rPr>
        <w:t>②对各项设备及附件的机械和电气性能进行全面检查、测试和联试。应检查蓄电池，各类传感器，检查天线、避雷器、电缆，交流稳压电源、不间断电源、通讯设备等。</w:t>
      </w:r>
    </w:p>
    <w:p w14:paraId="50794D58">
      <w:pPr>
        <w:ind w:firstLine="420" w:firstLineChars="200"/>
        <w:rPr>
          <w:color w:val="auto"/>
          <w:highlight w:val="none"/>
        </w:rPr>
      </w:pPr>
      <w:r>
        <w:rPr>
          <w:rFonts w:hint="eastAsia"/>
          <w:color w:val="auto"/>
          <w:highlight w:val="none"/>
        </w:rPr>
        <w:t>2）设备安装</w:t>
      </w:r>
    </w:p>
    <w:p w14:paraId="616C644C">
      <w:pPr>
        <w:ind w:firstLine="420" w:firstLineChars="200"/>
        <w:rPr>
          <w:color w:val="auto"/>
          <w:highlight w:val="none"/>
        </w:rPr>
      </w:pPr>
      <w:r>
        <w:rPr>
          <w:rFonts w:hint="eastAsia"/>
          <w:color w:val="auto"/>
          <w:highlight w:val="none"/>
        </w:rPr>
        <w:t>设备安装应按照设备使用说明书要求安装和调试，施工质量要符合以下要求：零部件应齐全、清洁、完好；监测井设备应有明显的标识；不同回路，不同电压等级和交流电与直流电的电线，不应穿在同一护管内，管内不可有接头，接线处应用接线盒；自动监测站的传感器与终端通信及终端与中心站通信的数据传输规约应该符合“水资源监测数据传输规约”规定。</w:t>
      </w:r>
    </w:p>
    <w:p w14:paraId="1CEE8F77">
      <w:pPr>
        <w:ind w:firstLine="210" w:firstLineChars="100"/>
        <w:rPr>
          <w:color w:val="auto"/>
          <w:highlight w:val="none"/>
        </w:rPr>
      </w:pPr>
      <w:r>
        <w:rPr>
          <w:rFonts w:hint="eastAsia"/>
          <w:color w:val="auto"/>
          <w:highlight w:val="none"/>
        </w:rPr>
        <w:t>（3）设备的校验和调试</w:t>
      </w:r>
    </w:p>
    <w:p w14:paraId="21805AA1">
      <w:pPr>
        <w:ind w:firstLine="420" w:firstLineChars="200"/>
        <w:rPr>
          <w:color w:val="auto"/>
          <w:highlight w:val="none"/>
        </w:rPr>
      </w:pPr>
      <w:r>
        <w:rPr>
          <w:rFonts w:hint="eastAsia"/>
          <w:color w:val="auto"/>
          <w:highlight w:val="none"/>
        </w:rPr>
        <w:t>设备的调试工作在设备的安装中或结束后进行，调试工作应该按照使用说明书和相关标准的要求安装和调试。设备运行1个月后应进行一次校测。</w:t>
      </w:r>
    </w:p>
    <w:p w14:paraId="1F344597">
      <w:pPr>
        <w:ind w:firstLine="420" w:firstLineChars="200"/>
        <w:rPr>
          <w:color w:val="auto"/>
          <w:highlight w:val="none"/>
        </w:rPr>
      </w:pPr>
      <w:r>
        <w:rPr>
          <w:rFonts w:hint="eastAsia"/>
          <w:color w:val="auto"/>
          <w:highlight w:val="none"/>
        </w:rPr>
        <w:t>自动监测传输设备安装完成后，在监测中心和监测分中心分别安装前置机及接收系统，并与公网连接，接收信息。随时查询接收的情况以及数据准确度，若不能传输或传输数据不准确，应及时查明原因并排除故障。</w:t>
      </w:r>
    </w:p>
    <w:p w14:paraId="5FEAFE2F">
      <w:pPr>
        <w:rPr>
          <w:color w:val="auto"/>
          <w:highlight w:val="none"/>
        </w:rPr>
      </w:pPr>
      <w:r>
        <w:rPr>
          <w:rFonts w:hint="eastAsia"/>
          <w:color w:val="auto"/>
          <w:highlight w:val="none"/>
        </w:rPr>
        <w:t>4、监测站高程引测及坐标测量</w:t>
      </w:r>
    </w:p>
    <w:p w14:paraId="275F5C91">
      <w:pPr>
        <w:ind w:firstLine="420" w:firstLineChars="200"/>
        <w:rPr>
          <w:color w:val="auto"/>
          <w:highlight w:val="none"/>
        </w:rPr>
      </w:pPr>
      <w:r>
        <w:rPr>
          <w:rFonts w:hint="eastAsia"/>
          <w:color w:val="auto"/>
          <w:highlight w:val="none"/>
        </w:rPr>
        <w:t>测量内容为监测井、水准点2个点的经纬度坐标测量，水准点、井口固定点、井口地面3个点的高程测量。监测站高程和坐标测量应符合《地下水监测工程规范要求》（GB/T51040-2023）要求。高程测量水准基面采用1985年国家高程基准，坐标系统采用CGCS2000国家大地坐标。水准点高程不低于五等水准标准测量，其他点按不低于五等水准测量标准接测。</w:t>
      </w:r>
    </w:p>
    <w:p w14:paraId="7AF4A1A8">
      <w:pPr>
        <w:spacing w:line="240" w:lineRule="auto"/>
        <w:ind w:firstLine="420" w:firstLineChars="200"/>
        <w:rPr>
          <w:color w:val="auto"/>
          <w:highlight w:val="none"/>
        </w:rPr>
      </w:pPr>
      <w:r>
        <w:rPr>
          <w:rFonts w:hint="eastAsia"/>
          <w:color w:val="auto"/>
          <w:highlight w:val="none"/>
        </w:rPr>
        <w:t>测量可采用GNSS测量和水准测量方式，测量条件较好的地区，优先选用GNSS测量。GNSS测量测量精度应达到《全球导航卫星系统（GNSS）测量规范》（GB/T18314-2024）中E级及以上精度等级要求或《卫星导航定位基准站网络实时动态测量(RTK)规范》（GB/T39616-2020）中的图根和等外及以上精度等级要求。</w:t>
      </w:r>
    </w:p>
    <w:p w14:paraId="6547551C">
      <w:pPr>
        <w:rPr>
          <w:color w:val="auto"/>
          <w:highlight w:val="none"/>
        </w:rPr>
      </w:pPr>
      <w:r>
        <w:rPr>
          <w:color w:val="auto"/>
          <w:highlight w:val="none"/>
        </w:rPr>
        <w:t>5</w:t>
      </w:r>
      <w:r>
        <w:rPr>
          <w:rFonts w:hint="eastAsia" w:ascii="宋体" w:hAnsi="宋体" w:eastAsia="宋体" w:cs="宋体"/>
          <w:color w:val="auto"/>
          <w:highlight w:val="none"/>
        </w:rPr>
        <w:t>、监测站技术服务</w:t>
      </w:r>
    </w:p>
    <w:p w14:paraId="61C1049A">
      <w:pPr>
        <w:ind w:firstLine="0" w:firstLineChars="0"/>
        <w:rPr>
          <w:color w:val="auto"/>
          <w:highlight w:val="none"/>
        </w:rPr>
      </w:pPr>
      <w:r>
        <w:rPr>
          <w:rFonts w:hint="eastAsia" w:ascii="宋体" w:hAnsi="宋体" w:eastAsia="宋体" w:cs="宋体"/>
          <w:color w:val="auto"/>
          <w:highlight w:val="none"/>
          <w:lang w:eastAsia="zh-CN"/>
        </w:rPr>
        <w:t>对监测站设计井深、监测目标层位进行踏勘复核，细化监测井及附属设施相关施工图。</w:t>
      </w:r>
    </w:p>
    <w:p w14:paraId="2F9FC0BD">
      <w:pPr>
        <w:rPr>
          <w:color w:val="auto"/>
          <w:highlight w:val="none"/>
        </w:rPr>
      </w:pPr>
      <w:r>
        <w:rPr>
          <w:color w:val="auto"/>
          <w:highlight w:val="none"/>
        </w:rPr>
        <w:t>6</w:t>
      </w:r>
      <w:r>
        <w:rPr>
          <w:rFonts w:hint="eastAsia" w:ascii="宋体" w:hAnsi="宋体" w:eastAsia="宋体" w:cs="宋体"/>
          <w:color w:val="auto"/>
          <w:highlight w:val="none"/>
        </w:rPr>
        <w:t>、监测站巡测设备购置</w:t>
      </w:r>
    </w:p>
    <w:p w14:paraId="0A31F161">
      <w:pPr>
        <w:pStyle w:val="6"/>
        <w:spacing w:line="360" w:lineRule="auto"/>
        <w:rPr>
          <w:rFonts w:ascii="仿宋" w:hAnsi="仿宋" w:eastAsia="仿宋" w:cs="仿宋"/>
          <w:color w:val="auto"/>
          <w:sz w:val="22"/>
          <w:szCs w:val="22"/>
          <w:highlight w:val="none"/>
        </w:rPr>
      </w:pPr>
      <w:r>
        <w:rPr>
          <w:rFonts w:hint="eastAsia" w:ascii="宋体" w:hAnsi="宋体" w:eastAsia="宋体" w:cs="宋体"/>
          <w:color w:val="auto"/>
          <w:szCs w:val="21"/>
          <w:highlight w:val="none"/>
        </w:rPr>
        <w:t>购置便携式电子井深仪2台，井深仪线长不小于200m，</w:t>
      </w:r>
      <w:r>
        <w:rPr>
          <w:rFonts w:hint="eastAsia" w:ascii="宋体" w:hAnsi="宋体" w:eastAsia="宋体" w:cs="宋体"/>
          <w:color w:val="auto"/>
          <w:szCs w:val="21"/>
          <w:highlight w:val="none"/>
          <w:lang w:eastAsia="zh-CN"/>
        </w:rPr>
        <w:t>精度</w:t>
      </w:r>
      <w:r>
        <w:rPr>
          <w:rFonts w:hint="eastAsia" w:ascii="宋体" w:hAnsi="宋体" w:eastAsia="宋体" w:cs="宋体"/>
          <w:color w:val="auto"/>
          <w:szCs w:val="21"/>
          <w:highlight w:val="none"/>
        </w:rPr>
        <w:t>不小于0.01m。雷达枪、流速仪等流量巡测设备4台。所有巡测设备均应提供相应的出厂合格证。</w:t>
      </w:r>
    </w:p>
    <w:p w14:paraId="7EA3BF66">
      <w:bookmarkStart w:id="1" w:name="_GoBack"/>
      <w:bookmarkEnd w:id="1"/>
    </w:p>
    <w:sectPr>
      <w:headerReference r:id="rId6"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763EF">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DD5F9">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F04E01"/>
    <w:rsid w:val="4C85573B"/>
    <w:rsid w:val="4DA623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after="160" w:line="278" w:lineRule="auto"/>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customStyle="1" w:styleId="6">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2034</Words>
  <Characters>2191</Characters>
  <Lines>0</Lines>
  <Paragraphs>0</Paragraphs>
  <TotalTime>0</TotalTime>
  <ScaleCrop>false</ScaleCrop>
  <LinksUpToDate>false</LinksUpToDate>
  <CharactersWithSpaces>2364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2025-08-01T03:52:00Z</dcterms:created>
  <dc:creator>Administrator</dc:creator>
  <cp:lastModifiedBy>梅闻花</cp:lastModifiedBy>
  <dcterms:modified xsi:type="dcterms:W3CDTF">2025-08-04T04:45:08Z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eyJoZGlkIjoiNmMwMjVhM2I3Zjk0MTcyMjU4ZDhlMjllZmIwNzY2NmIiLCJ1c2VySWQiOiI1Mjk0OTIyMzEifQ==</vt:lpwstr>
  </property>
  <property fmtid="{D5CDD505-2E9C-101B-9397-08002B2CF9AE}" pid="4" name="ICV">
    <vt:lpwstr>B8BE3E4E71FF4FC28ADB08329814C4E0_13</vt:lpwstr>
  </property>
</Properties>
</file>