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版本号：XAZJ-2025-03420250801002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陕西省医保参保支付管理项目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XAZJ-2025-034</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西安正建工程咨询有限公司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西安正建工程咨询有限公司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陕西省医保参保支付管理项目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XAZJ-2025-034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陕西省医保参保支付管理项目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加快推进省内（跨省）异地就医费用纳入DRG/DIP管理,不断提升医保基金结算清算效率，加强对定点医药机构诊疗服务行为和医保支付资格的管理，有效助力全省精准参保扩面和医保基金可持续运行，切实维护广大三秦百姓的健康权益；需满足的要求:基于陕西省医疗保障信息平台，拓展建设DRG/DIP省内（跨省）异地就医结算相关功能模块,实现省内（跨省）异地就医费用纳入就医地DRG/DIP支付方式管理；拓展建设陕西省医保基金年终结算清算管理和即时结算相关功能模块，实现全省各统筹区定点医药机构的医保基金线上年度结算清算和即时结算；拓展建设医保支付资格管理相关功能模块，实现对定点医药机构人员的动态管理，有效规范诊疗服务行为；拓展建设“一人一档”全民参保应用模块和参保登记管理及公服接口模块，有效助力精准参保扩面，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及社保缴纳证明：提供2024年12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4、社会保障资金缴存证明：提供2024年12月至今已缴存的至少一个月的社会保障资金缴存单据或社保机构开具的社会保险参保缴费情况证明，依法不需要缴存社会保障资金的单位应提供相关证明材料。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6、具有履行合同所必需的设备和专业技术能力的承诺函：提供具有履行合同所必需的设备和专业技术能力的承诺函。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7、法定代表人授权书：法定代表人授权书及被授权人身份证明。（法定代表人直接投标只须提交其身份证明）</w:t>
      </w:r>
    </w:p>
    <w:p>
      <w:pPr>
        <w:pStyle w:val="null3"/>
      </w:pPr>
      <w:r>
        <w:rPr>
          <w:rFonts w:ascii="仿宋_GB2312" w:hAnsi="仿宋_GB2312" w:cs="仿宋_GB2312" w:eastAsia="仿宋_GB2312"/>
        </w:rPr>
        <w:t>8、非联合体：本项目不接受联合体投标。</w:t>
      </w:r>
    </w:p>
    <w:p>
      <w:pPr>
        <w:pStyle w:val="null3"/>
      </w:pPr>
      <w:r>
        <w:rPr>
          <w:rFonts w:ascii="仿宋_GB2312" w:hAnsi="仿宋_GB2312" w:cs="仿宋_GB2312" w:eastAsia="仿宋_GB2312"/>
        </w:rPr>
        <w:t>9、投标保证金：投标保证金缴纳凭证或担保机构出具的保函。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西安正建工程咨询有限公司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陕西省西安市未央区陕西省西安市未央区龙首北路西段53号颐馨花园4幢1单元2层10201-10202室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翟尚玉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029-85563167-6025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采购包1：3,134,200.00元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开户名称：西安正建工程咨询有限公司</w:t>
            </w:r>
          </w:p>
          <w:p>
            <w:pPr>
              <w:pStyle w:val="null3"/>
            </w:pPr>
            <w:r>
              <w:rPr>
                <w:rFonts w:ascii="仿宋_GB2312" w:hAnsi="仿宋_GB2312" w:cs="仿宋_GB2312" w:eastAsia="仿宋_GB2312"/>
              </w:rPr>
              <w:t>开户银行：招商银行西安未央路支行</w:t>
            </w:r>
          </w:p>
          <w:p>
            <w:pPr>
              <w:pStyle w:val="null3"/>
            </w:pPr>
            <w:r>
              <w:rPr>
                <w:rFonts w:ascii="仿宋_GB2312" w:hAnsi="仿宋_GB2312" w:cs="仿宋_GB2312" w:eastAsia="仿宋_GB2312"/>
              </w:rPr>
              <w:t>银行账号：129907632710908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代理服务费收费标准：以中标金额为基数，按照国家发展计划委员会计价格[2002]1980号文件规定按标准下浮10%计取。由中标单位在领取中标通知书前一次性支付给代理机构。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西安正建工程咨询有限公司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西安正建工程咨询有限公司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西安正建工程咨询有限公司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西安正建工程咨询有限公司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西安正建工程咨询有限公司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西安正建工程咨询有限公司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联系人：林思曼</w:t>
      </w:r>
    </w:p>
    <w:p>
      <w:pPr>
        <w:pStyle w:val="null3"/>
      </w:pPr>
      <w:r>
        <w:rPr>
          <w:rFonts w:ascii="仿宋_GB2312" w:hAnsi="仿宋_GB2312" w:cs="仿宋_GB2312" w:eastAsia="仿宋_GB2312"/>
        </w:rPr>
        <w:t>联系电话：029-85563167转6025</w:t>
      </w:r>
    </w:p>
    <w:p>
      <w:pPr>
        <w:pStyle w:val="null3"/>
      </w:pPr>
      <w:r>
        <w:rPr>
          <w:rFonts w:ascii="仿宋_GB2312" w:hAnsi="仿宋_GB2312" w:cs="仿宋_GB2312" w:eastAsia="仿宋_GB2312"/>
        </w:rPr>
        <w:t>地址：西安市未央区龙首北路西段53号颐馨花园4号楼2层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快推进省内（跨省）异地就医费用纳入DRG/DIP管理,不断提升医保基金结算清算效率，加强对定点医药机构诊疗服务行为和医保支付资格的管理，有效助力全省精准参保扩面和医保基金可持续运行，切实维护广大三秦百姓的健康权益；需满足的要求:基于陕西省医疗保障信息平台，拓展建设DRG/DIP省内（跨省）异地就医结算相关功能模块,实现省内（跨省）异地就医费用纳入就医地DRG/DIP支付方式管理；拓展建设陕西省医保基金年终结算清算管理和即时结算相关功能模块，实现全省各统筹区定点医药机构的医保基金线上年度结算清算和即时结算；拓展建设医保支付资格管理相关功能模块，实现对定点医药机构人员的动态管理，有效规范诊疗服务行为；拓展建设“一人一档”全民参保应用模块和参保登记管理及公服接口模块，有效助力精准参保扩面，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3,134,200.00</w:t>
      </w:r>
    </w:p>
    <w:p>
      <w:pPr>
        <w:pStyle w:val="null3"/>
      </w:pPr>
      <w:r>
        <w:rPr>
          <w:rFonts w:ascii="仿宋_GB2312" w:hAnsi="仿宋_GB2312" w:cs="仿宋_GB2312" w:eastAsia="仿宋_GB2312"/>
        </w:rPr>
        <w:t>采购包最高限价（元）: 3,134,200.00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陕西省医保参保支付管理项目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3,134,200.00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标的名称：陕西省医保参保支付管理项目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1"/>
                <w:b/>
                <w:color w:val="000000"/>
              </w:rPr>
              <w:t>采购项目概况</w:t>
            </w:r>
          </w:p>
          <w:p>
            <w:pPr>
              <w:pStyle w:val="null3"/>
              <w:numPr>
                <w:ilvl w:val="0"/>
                <w:numId w:val="1"/>
              </w:numPr>
            </w:pPr>
            <w:r>
              <w:rPr>
                <w:rFonts w:ascii="仿宋_GB2312" w:hAnsi="仿宋_GB2312" w:cs="仿宋_GB2312" w:eastAsia="仿宋_GB2312"/>
              </w:rPr>
              <w:t>1.1</w:t>
            </w:r>
            <w:r>
              <w:rPr>
                <w:rFonts w:ascii="仿宋_GB2312" w:hAnsi="仿宋_GB2312" w:cs="仿宋_GB2312" w:eastAsia="仿宋_GB2312"/>
                <w:sz w:val="18"/>
                <w:b/>
                <w:color w:val="000000"/>
              </w:rPr>
              <w:t>项目名称</w:t>
            </w:r>
          </w:p>
          <w:p>
            <w:pPr>
              <w:pStyle w:val="null3"/>
              <w:ind w:firstLine="360"/>
              <w:jc w:val="both"/>
            </w:pPr>
            <w:r>
              <w:rPr>
                <w:rFonts w:ascii="仿宋_GB2312" w:hAnsi="仿宋_GB2312" w:cs="仿宋_GB2312" w:eastAsia="仿宋_GB2312"/>
                <w:sz w:val="18"/>
                <w:color w:val="000000"/>
              </w:rPr>
              <w:t>陕西省医保参保支付管理项目</w:t>
            </w:r>
          </w:p>
          <w:p>
            <w:pPr>
              <w:pStyle w:val="null3"/>
              <w:numPr>
                <w:ilvl w:val="0"/>
                <w:numId w:val="1"/>
              </w:numPr>
            </w:pPr>
            <w:r>
              <w:rPr>
                <w:rFonts w:ascii="仿宋_GB2312" w:hAnsi="仿宋_GB2312" w:cs="仿宋_GB2312" w:eastAsia="仿宋_GB2312"/>
              </w:rPr>
              <w:t>1.2</w:t>
            </w:r>
            <w:r>
              <w:rPr>
                <w:rFonts w:ascii="仿宋_GB2312" w:hAnsi="仿宋_GB2312" w:cs="仿宋_GB2312" w:eastAsia="仿宋_GB2312"/>
                <w:sz w:val="18"/>
                <w:color w:val="000000"/>
              </w:rPr>
              <w:t>采购项目概况</w:t>
            </w:r>
          </w:p>
          <w:p>
            <w:pPr>
              <w:pStyle w:val="null3"/>
              <w:numPr>
                <w:ilvl w:val="0"/>
                <w:numId w:val="1"/>
              </w:numPr>
            </w:pPr>
            <w:r>
              <w:rPr>
                <w:rFonts w:ascii="仿宋_GB2312" w:hAnsi="仿宋_GB2312" w:cs="仿宋_GB2312" w:eastAsia="仿宋_GB2312"/>
                <w:sz w:val="18"/>
                <w:b/>
                <w:color w:val="000000"/>
              </w:rPr>
              <w:t>1.2.1项目背景</w:t>
            </w:r>
          </w:p>
          <w:p>
            <w:pPr>
              <w:pStyle w:val="null3"/>
              <w:ind w:firstLine="360"/>
              <w:jc w:val="both"/>
            </w:pPr>
            <w:r>
              <w:rPr>
                <w:rFonts w:ascii="仿宋_GB2312" w:hAnsi="仿宋_GB2312" w:cs="仿宋_GB2312" w:eastAsia="仿宋_GB2312"/>
                <w:sz w:val="18"/>
                <w:color w:val="000000"/>
              </w:rPr>
              <w:t>陕西省医疗保障</w:t>
            </w:r>
            <w:r>
              <w:rPr>
                <w:rFonts w:ascii="仿宋_GB2312" w:hAnsi="仿宋_GB2312" w:cs="仿宋_GB2312" w:eastAsia="仿宋_GB2312"/>
                <w:sz w:val="18"/>
                <w:color w:val="000000"/>
              </w:rPr>
              <w:t>技术服务中心</w:t>
            </w:r>
            <w:r>
              <w:rPr>
                <w:rFonts w:ascii="仿宋_GB2312" w:hAnsi="仿宋_GB2312" w:cs="仿宋_GB2312" w:eastAsia="仿宋_GB2312"/>
                <w:sz w:val="18"/>
                <w:color w:val="000000"/>
              </w:rPr>
              <w:t>为积极响应《国务院办公厅关于印发</w:t>
            </w:r>
            <w:r>
              <w:rPr>
                <w:rFonts w:ascii="仿宋_GB2312" w:hAnsi="仿宋_GB2312" w:cs="仿宋_GB2312" w:eastAsia="仿宋_GB2312"/>
                <w:sz w:val="18"/>
                <w:color w:val="000000"/>
              </w:rPr>
              <w:t>“十四五”全民医疗保障规划的通知》（国办发〔2021〕36号）文件精神，充分落实《国务院办公厅关于健全基本医疗保险参保长效机制的指导意见》（国办发〔2024〕38号）、《中共中央国务院关于深化医疗保障制度改革的意见》（中发〔2020〕5号）、《国务院办公厅关于印发深化医药卫生体制改革2022年重点工作任务的通知》（国办发〔2022〕14号）、《国家医保局财政部关于进一步做好基本医疗保险跨省异地就医直接结算工作的通知》（医保发〔2022〕22号）、《国家医疗保障局办公室关于印发按病组和病种分值付费2.0版分组方案并深入推进相关工作的通知》（医保办发〔2024〕9号）、《国家医保局国家卫生健康委国家药监局关于建立定点医药机构相关人员医保支付资格管理制度的指导意见》（医保发〔2024〕23号）等政策要求，围绕陕西省医疗保障信息化建设现状及未来发展需要，拟在现有医疗保障信息平台基础上进一步</w:t>
            </w:r>
            <w:r>
              <w:rPr>
                <w:rFonts w:ascii="仿宋_GB2312" w:hAnsi="仿宋_GB2312" w:cs="仿宋_GB2312" w:eastAsia="仿宋_GB2312"/>
                <w:sz w:val="18"/>
                <w:color w:val="000000"/>
              </w:rPr>
              <w:t>拓展</w:t>
            </w:r>
            <w:r>
              <w:rPr>
                <w:rFonts w:ascii="仿宋_GB2312" w:hAnsi="仿宋_GB2312" w:cs="仿宋_GB2312" w:eastAsia="仿宋_GB2312"/>
                <w:sz w:val="18"/>
                <w:color w:val="000000"/>
              </w:rPr>
              <w:t>升级。</w:t>
            </w:r>
          </w:p>
          <w:p>
            <w:pPr>
              <w:pStyle w:val="null3"/>
              <w:ind w:firstLine="360"/>
              <w:jc w:val="both"/>
            </w:pPr>
            <w:r>
              <w:rPr>
                <w:rFonts w:ascii="仿宋_GB2312" w:hAnsi="仿宋_GB2312" w:cs="仿宋_GB2312" w:eastAsia="仿宋_GB2312"/>
                <w:sz w:val="18"/>
                <w:color w:val="000000"/>
              </w:rPr>
              <w:t>1.完成</w:t>
            </w:r>
            <w:r>
              <w:rPr>
                <w:rFonts w:ascii="仿宋_GB2312" w:hAnsi="仿宋_GB2312" w:cs="仿宋_GB2312" w:eastAsia="仿宋_GB2312"/>
                <w:sz w:val="18"/>
                <w:color w:val="000000"/>
              </w:rPr>
              <w:t>“一人一档”全民参保数据库建设应用</w:t>
            </w:r>
            <w:r>
              <w:rPr>
                <w:rFonts w:ascii="仿宋_GB2312" w:hAnsi="仿宋_GB2312" w:cs="仿宋_GB2312" w:eastAsia="仿宋_GB2312"/>
                <w:sz w:val="18"/>
                <w:color w:val="000000"/>
              </w:rPr>
              <w:t>，全面推进全民参保工作落地；</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进一步做好基本医疗保险线上年终结算清算</w:t>
            </w:r>
            <w:r>
              <w:rPr>
                <w:rFonts w:ascii="仿宋_GB2312" w:hAnsi="仿宋_GB2312" w:cs="仿宋_GB2312" w:eastAsia="仿宋_GB2312"/>
                <w:sz w:val="18"/>
                <w:color w:val="000000"/>
              </w:rPr>
              <w:t>、</w:t>
            </w:r>
            <w:r>
              <w:rPr>
                <w:rFonts w:ascii="仿宋_GB2312" w:hAnsi="仿宋_GB2312" w:cs="仿宋_GB2312" w:eastAsia="仿宋_GB2312"/>
                <w:sz w:val="18"/>
                <w:color w:val="000000"/>
              </w:rPr>
              <w:t>即时结算</w:t>
            </w:r>
            <w:r>
              <w:rPr>
                <w:rFonts w:ascii="仿宋_GB2312" w:hAnsi="仿宋_GB2312" w:cs="仿宋_GB2312" w:eastAsia="仿宋_GB2312"/>
                <w:sz w:val="18"/>
                <w:color w:val="000000"/>
              </w:rPr>
              <w:t>工作，完成医保基金全年结算清算工作。</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将省内异地就医费用纳入本地结算管理范畴，对省内异地就医参照就医地的付费方式和标准进行管理。</w:t>
            </w:r>
          </w:p>
          <w:p>
            <w:pPr>
              <w:pStyle w:val="null3"/>
              <w:ind w:firstLine="36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在陕西医疗保障信息平台基础上</w:t>
            </w:r>
            <w:r>
              <w:rPr>
                <w:rFonts w:ascii="仿宋_GB2312" w:hAnsi="仿宋_GB2312" w:cs="仿宋_GB2312" w:eastAsia="仿宋_GB2312"/>
                <w:sz w:val="18"/>
                <w:color w:val="000000"/>
              </w:rPr>
              <w:t>扩建医保支付资格管理相关模块，实现对定点医药机构相关人员医保支付资格的动态管理。</w:t>
            </w:r>
          </w:p>
          <w:p>
            <w:pPr>
              <w:pStyle w:val="null3"/>
              <w:numPr>
                <w:ilvl w:val="0"/>
                <w:numId w:val="1"/>
              </w:numPr>
            </w:pPr>
            <w:r>
              <w:rPr>
                <w:rFonts w:ascii="仿宋_GB2312" w:hAnsi="仿宋_GB2312" w:cs="仿宋_GB2312" w:eastAsia="仿宋_GB2312"/>
                <w:sz w:val="18"/>
                <w:b/>
                <w:color w:val="000000"/>
              </w:rPr>
              <w:t>1.2.2建设目标</w:t>
            </w:r>
          </w:p>
          <w:p>
            <w:pPr>
              <w:pStyle w:val="null3"/>
              <w:ind w:firstLine="361"/>
              <w:jc w:val="both"/>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完成</w:t>
            </w:r>
            <w:r>
              <w:rPr>
                <w:rFonts w:ascii="仿宋_GB2312" w:hAnsi="仿宋_GB2312" w:cs="仿宋_GB2312" w:eastAsia="仿宋_GB2312"/>
                <w:sz w:val="18"/>
                <w:b/>
                <w:color w:val="000000"/>
              </w:rPr>
              <w:t>“一人一档”全民参保数据库建设</w:t>
            </w:r>
          </w:p>
          <w:p>
            <w:pPr>
              <w:pStyle w:val="null3"/>
              <w:ind w:firstLine="361"/>
              <w:jc w:val="both"/>
            </w:pPr>
            <w:r>
              <w:rPr>
                <w:rFonts w:ascii="仿宋_GB2312" w:hAnsi="仿宋_GB2312" w:cs="仿宋_GB2312" w:eastAsia="仿宋_GB2312"/>
                <w:sz w:val="18"/>
                <w:b/>
                <w:color w:val="000000"/>
              </w:rPr>
              <w:t>（1）</w:t>
            </w:r>
            <w:r>
              <w:rPr>
                <w:rFonts w:ascii="仿宋_GB2312" w:hAnsi="仿宋_GB2312" w:cs="仿宋_GB2312" w:eastAsia="仿宋_GB2312"/>
                <w:sz w:val="18"/>
                <w:color w:val="000000"/>
              </w:rPr>
              <w:t>明确</w:t>
            </w:r>
            <w:r>
              <w:rPr>
                <w:rFonts w:ascii="仿宋_GB2312" w:hAnsi="仿宋_GB2312" w:cs="仿宋_GB2312" w:eastAsia="仿宋_GB2312"/>
                <w:sz w:val="18"/>
                <w:color w:val="000000"/>
              </w:rPr>
              <w:t>“一人一档”全民参保数据库全量人员基础信息：选取将人员管理码、姓名、性别、证件类型、证件号码、联系电话、生存状态、户口地址、户口所在地行政区划、居住地址、居住地行政区划、户口簿编号等12项信息作为“一人一档”参保数据库基础信息必填项。</w:t>
            </w:r>
          </w:p>
          <w:p>
            <w:pPr>
              <w:pStyle w:val="null3"/>
              <w:ind w:firstLine="361"/>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明确</w:t>
            </w:r>
            <w:r>
              <w:rPr>
                <w:rFonts w:ascii="仿宋_GB2312" w:hAnsi="仿宋_GB2312" w:cs="仿宋_GB2312" w:eastAsia="仿宋_GB2312"/>
                <w:sz w:val="18"/>
                <w:color w:val="000000"/>
              </w:rPr>
              <w:t>“一人一档”全民参保数据库参保信息：在已有的陕西省医保信息平台参保信息表中，选取人员管理码、险种类型、人员类别、参保状态、本次参保日期、暂停参保日期、参保地医保区划编码、参保单位(区划)编号、参保单位(区划)名称等9项信息作为“一人一档”参保数据库参保信息必填项。</w:t>
            </w:r>
          </w:p>
          <w:p>
            <w:pPr>
              <w:pStyle w:val="null3"/>
              <w:ind w:firstLine="361"/>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建设</w:t>
            </w:r>
            <w:r>
              <w:rPr>
                <w:rFonts w:ascii="仿宋_GB2312" w:hAnsi="仿宋_GB2312" w:cs="仿宋_GB2312" w:eastAsia="仿宋_GB2312"/>
                <w:sz w:val="18"/>
                <w:color w:val="000000"/>
              </w:rPr>
              <w:t>“一人一档”未参保数据库：</w:t>
            </w:r>
            <w:r>
              <w:rPr>
                <w:rFonts w:ascii="仿宋_GB2312" w:hAnsi="仿宋_GB2312" w:cs="仿宋_GB2312" w:eastAsia="仿宋_GB2312"/>
                <w:sz w:val="18"/>
                <w:color w:val="000000"/>
              </w:rPr>
              <w:t>陕西省医疗保障信息平台</w:t>
            </w:r>
            <w:r>
              <w:rPr>
                <w:rFonts w:ascii="仿宋_GB2312" w:hAnsi="仿宋_GB2312" w:cs="仿宋_GB2312" w:eastAsia="仿宋_GB2312"/>
                <w:sz w:val="18"/>
                <w:color w:val="000000"/>
              </w:rPr>
              <w:t>以基础信息和参保信息为核心内容建设</w:t>
            </w:r>
            <w:r>
              <w:rPr>
                <w:rFonts w:ascii="仿宋_GB2312" w:hAnsi="仿宋_GB2312" w:cs="仿宋_GB2312" w:eastAsia="仿宋_GB2312"/>
                <w:sz w:val="18"/>
                <w:color w:val="000000"/>
              </w:rPr>
              <w:t>“一人一档”参保数据库。“一人一档”参保数据库经与有关部门数据比对后，形成未参人员数据库。省级及以下医保部门根据各自掌握的未参保数据库数据，依据年龄结构、户籍结构、性别结构、未参保原因结构进行分析，形成本级的监测分析。</w:t>
            </w:r>
          </w:p>
          <w:p>
            <w:pPr>
              <w:pStyle w:val="null3"/>
              <w:ind w:firstLine="361"/>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开展未参保情况分析：省医保局根据试点反馈的核查情况，对未参保人员的未参保原因开展数据分析，形成分析报告，实现国家、省、市联动共享分析结果。</w:t>
            </w:r>
          </w:p>
          <w:p>
            <w:pPr>
              <w:pStyle w:val="null3"/>
              <w:ind w:firstLine="361"/>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建设常态化共享机制：国家医保局和省医保局利用现有的数据交换共享平台，分级逐步建立与公安、税务、卫生健康、人力资源社会保障等相关部门数据常态化共享机制、动态维护全人群参保状态。</w:t>
            </w:r>
          </w:p>
          <w:p>
            <w:pPr>
              <w:pStyle w:val="null3"/>
              <w:ind w:firstLine="361"/>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开展参保数据核实：省级医保部门通过国家医保信息平台医保业务基础子系统</w:t>
            </w:r>
            <w:r>
              <w:rPr>
                <w:rFonts w:ascii="仿宋_GB2312" w:hAnsi="仿宋_GB2312" w:cs="仿宋_GB2312" w:eastAsia="仿宋_GB2312"/>
                <w:sz w:val="18"/>
                <w:color w:val="000000"/>
              </w:rPr>
              <w:t>“一人一档”参保信息库模块下的“户籍地人员未参保信息查询”功能，导出本省未参保人员明细，下发至各级医保部门开展未参保数据核实工作。</w:t>
            </w:r>
          </w:p>
          <w:p>
            <w:pPr>
              <w:pStyle w:val="null3"/>
              <w:ind w:firstLine="361"/>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完善参保人员信息：省级医保部门持续做好人员基础信息和参保信息完善工作，组织开展缺失信息的完善工作。</w:t>
            </w:r>
          </w:p>
          <w:p>
            <w:pPr>
              <w:pStyle w:val="null3"/>
              <w:ind w:firstLine="361"/>
              <w:jc w:val="both"/>
            </w:pPr>
            <w:r>
              <w:rPr>
                <w:rFonts w:ascii="仿宋_GB2312" w:hAnsi="仿宋_GB2312" w:cs="仿宋_GB2312" w:eastAsia="仿宋_GB2312"/>
                <w:sz w:val="18"/>
                <w:b/>
                <w:color w:val="000000"/>
              </w:rPr>
              <w:t>2.</w:t>
            </w:r>
            <w:r>
              <w:rPr>
                <w:rFonts w:ascii="仿宋_GB2312" w:hAnsi="仿宋_GB2312" w:cs="仿宋_GB2312" w:eastAsia="仿宋_GB2312"/>
                <w:sz w:val="18"/>
                <w:b/>
                <w:color w:val="000000"/>
              </w:rPr>
              <w:t>完成医保基金线上年度结算清算信息化建设</w:t>
            </w:r>
          </w:p>
          <w:p>
            <w:pPr>
              <w:pStyle w:val="null3"/>
              <w:ind w:firstLine="361"/>
              <w:jc w:val="both"/>
            </w:pPr>
            <w:r>
              <w:rPr>
                <w:rFonts w:ascii="仿宋_GB2312" w:hAnsi="仿宋_GB2312" w:cs="仿宋_GB2312" w:eastAsia="仿宋_GB2312"/>
                <w:sz w:val="18"/>
                <w:b/>
                <w:color w:val="000000"/>
              </w:rPr>
              <w:t>（1）</w:t>
            </w:r>
            <w:r>
              <w:rPr>
                <w:rFonts w:ascii="仿宋_GB2312" w:hAnsi="仿宋_GB2312" w:cs="仿宋_GB2312" w:eastAsia="仿宋_GB2312"/>
                <w:sz w:val="18"/>
                <w:color w:val="000000"/>
              </w:rPr>
              <w:t>在已经建设的医保两定数据采集基础上，进一步完善信息定点医药机构采集的信息，按照医保基金线上年度结算清算要求，补全遗漏信息，并在原有数据治理平台基础上，扩充医保新业务相关的数据治理工作，为后续医保数据结算清算奠定基础。完善平台功能模块，涵盖全省十二个统筹区全业务场景的线上预清算、正式清算、即时结算、支付申请、支付审核、支付结果反馈等全流程环节，实现年终清算工作自动化、智能化处理。与现有的医保信息系统无缝对接，避免重复录入和数据不一致问题，提高工作效率和数据准确性。</w:t>
            </w:r>
          </w:p>
          <w:p>
            <w:pPr>
              <w:pStyle w:val="null3"/>
              <w:ind w:firstLine="361"/>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建立精准的清算数据核算模型：根据国家和陕西省相关管理办法及考核要求，结合不同支付方式，设计科学合理的清算数据核算规则和算法，确保结算清算结果的精确性。</w:t>
            </w:r>
          </w:p>
          <w:p>
            <w:pPr>
              <w:pStyle w:val="null3"/>
              <w:ind w:firstLine="361"/>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开发考核与结算清算挂钩的信息化功能：将定点医药机构的年终考核指标与清算结果紧密关联，通过信息化手段实现考核指标的自动采集、统计和分析，自动生成考核结果，并根据考核结果自动调整清算金额。建立考核结果反馈机制，及时向定点医药机构反馈考核情况和清算调整依据，促进其规范服务行为，提升服务质量。</w:t>
            </w:r>
          </w:p>
          <w:p>
            <w:pPr>
              <w:pStyle w:val="null3"/>
              <w:ind w:firstLine="361"/>
              <w:jc w:val="both"/>
            </w:pPr>
            <w:r>
              <w:rPr>
                <w:rFonts w:ascii="仿宋_GB2312" w:hAnsi="仿宋_GB2312" w:cs="仿宋_GB2312" w:eastAsia="仿宋_GB2312"/>
                <w:sz w:val="18"/>
                <w:b/>
                <w:color w:val="000000"/>
              </w:rPr>
              <w:t>3.</w:t>
            </w:r>
            <w:r>
              <w:rPr>
                <w:rFonts w:ascii="仿宋_GB2312" w:hAnsi="仿宋_GB2312" w:cs="仿宋_GB2312" w:eastAsia="仿宋_GB2312"/>
                <w:sz w:val="18"/>
                <w:b/>
                <w:color w:val="000000"/>
              </w:rPr>
              <w:t>实现各统筹区省内异地就医业务无缝衔接</w:t>
            </w:r>
          </w:p>
          <w:p>
            <w:pPr>
              <w:pStyle w:val="null3"/>
              <w:ind w:firstLine="361"/>
              <w:jc w:val="both"/>
            </w:pPr>
            <w:r>
              <w:rPr>
                <w:rFonts w:ascii="仿宋_GB2312" w:hAnsi="仿宋_GB2312" w:cs="仿宋_GB2312" w:eastAsia="仿宋_GB2312"/>
                <w:sz w:val="18"/>
                <w:b/>
                <w:color w:val="000000"/>
              </w:rPr>
              <w:t>（1）</w:t>
            </w:r>
            <w:r>
              <w:rPr>
                <w:rFonts w:ascii="仿宋_GB2312" w:hAnsi="仿宋_GB2312" w:cs="仿宋_GB2312" w:eastAsia="仿宋_GB2312"/>
                <w:sz w:val="18"/>
                <w:color w:val="000000"/>
              </w:rPr>
              <w:t>在</w:t>
            </w:r>
            <w:r>
              <w:rPr>
                <w:rFonts w:ascii="仿宋_GB2312" w:hAnsi="仿宋_GB2312" w:cs="仿宋_GB2312" w:eastAsia="仿宋_GB2312"/>
                <w:sz w:val="18"/>
                <w:color w:val="000000"/>
              </w:rPr>
              <w:t>现有</w:t>
            </w:r>
            <w:r>
              <w:rPr>
                <w:rFonts w:ascii="仿宋_GB2312" w:hAnsi="仿宋_GB2312" w:cs="仿宋_GB2312" w:eastAsia="仿宋_GB2312"/>
                <w:sz w:val="18"/>
                <w:color w:val="000000"/>
              </w:rPr>
              <w:t>陕西省医保信息平台基础上进行升级改造</w:t>
            </w:r>
            <w:r>
              <w:rPr>
                <w:rFonts w:ascii="仿宋_GB2312" w:hAnsi="仿宋_GB2312" w:cs="仿宋_GB2312" w:eastAsia="仿宋_GB2312"/>
                <w:sz w:val="18"/>
                <w:color w:val="000000"/>
              </w:rPr>
              <w:t>，支撑全省</w:t>
            </w:r>
            <w:r>
              <w:rPr>
                <w:rFonts w:ascii="仿宋_GB2312" w:hAnsi="仿宋_GB2312" w:cs="仿宋_GB2312" w:eastAsia="仿宋_GB2312"/>
                <w:sz w:val="18"/>
                <w:color w:val="000000"/>
              </w:rPr>
              <w:t>12统筹区异地月度、年度结算、省内异地就医监管业务；     （2）</w:t>
            </w:r>
            <w:r>
              <w:rPr>
                <w:rFonts w:ascii="仿宋_GB2312" w:hAnsi="仿宋_GB2312" w:cs="仿宋_GB2312" w:eastAsia="仿宋_GB2312"/>
                <w:sz w:val="18"/>
                <w:color w:val="000000"/>
              </w:rPr>
              <w:t>并对就医结算相关功能进行改造，支撑省内异地就医纳入本地结算业务后，完成医保基金结算业务及流程改造。</w:t>
            </w:r>
          </w:p>
          <w:p>
            <w:pPr>
              <w:pStyle w:val="null3"/>
              <w:ind w:firstLine="361"/>
              <w:jc w:val="both"/>
            </w:pPr>
            <w:r>
              <w:rPr>
                <w:rFonts w:ascii="仿宋_GB2312" w:hAnsi="仿宋_GB2312" w:cs="仿宋_GB2312" w:eastAsia="仿宋_GB2312"/>
                <w:sz w:val="18"/>
                <w:b/>
                <w:color w:val="000000"/>
              </w:rPr>
              <w:t>4.</w:t>
            </w:r>
            <w:r>
              <w:rPr>
                <w:rFonts w:ascii="仿宋_GB2312" w:hAnsi="仿宋_GB2312" w:cs="仿宋_GB2312" w:eastAsia="仿宋_GB2312"/>
                <w:sz w:val="18"/>
                <w:b/>
                <w:color w:val="000000"/>
              </w:rPr>
              <w:t>完成医保支付资格管理系统建设</w:t>
            </w:r>
          </w:p>
          <w:p>
            <w:pPr>
              <w:pStyle w:val="null3"/>
              <w:ind w:firstLine="360"/>
              <w:jc w:val="both"/>
            </w:pPr>
            <w:r>
              <w:rPr>
                <w:rFonts w:ascii="仿宋_GB2312" w:hAnsi="仿宋_GB2312" w:cs="仿宋_GB2312" w:eastAsia="仿宋_GB2312"/>
                <w:sz w:val="18"/>
                <w:color w:val="000000"/>
              </w:rPr>
              <w:t>在</w:t>
            </w:r>
            <w:r>
              <w:rPr>
                <w:rFonts w:ascii="仿宋_GB2312" w:hAnsi="仿宋_GB2312" w:cs="仿宋_GB2312" w:eastAsia="仿宋_GB2312"/>
                <w:sz w:val="18"/>
                <w:color w:val="000000"/>
              </w:rPr>
              <w:t>现有</w:t>
            </w:r>
            <w:r>
              <w:rPr>
                <w:rFonts w:ascii="仿宋_GB2312" w:hAnsi="仿宋_GB2312" w:cs="仿宋_GB2312" w:eastAsia="仿宋_GB2312"/>
                <w:sz w:val="18"/>
                <w:color w:val="000000"/>
              </w:rPr>
              <w:t>陕西省医保信息平台基础上进行升级改造，</w:t>
            </w:r>
            <w:r>
              <w:rPr>
                <w:rFonts w:ascii="仿宋_GB2312" w:hAnsi="仿宋_GB2312" w:cs="仿宋_GB2312" w:eastAsia="仿宋_GB2312"/>
                <w:sz w:val="18"/>
                <w:color w:val="000000"/>
              </w:rPr>
              <w:t>开发建设定点医药机构相关人员医保支付资格管理模块，实现对定点医药机构相关人员信息的精准采集、动态更新和集中管理，形成</w:t>
            </w:r>
            <w:r>
              <w:rPr>
                <w:rFonts w:ascii="仿宋_GB2312" w:hAnsi="仿宋_GB2312" w:cs="仿宋_GB2312" w:eastAsia="仿宋_GB2312"/>
                <w:sz w:val="18"/>
                <w:color w:val="000000"/>
              </w:rPr>
              <w:t>“一医一档”，为医保支付资格管理提供准确的数据支持。</w:t>
            </w:r>
          </w:p>
          <w:p>
            <w:pPr>
              <w:pStyle w:val="null3"/>
              <w:numPr>
                <w:ilvl w:val="1"/>
                <w:numId w:val="2"/>
              </w:numPr>
            </w:pPr>
            <w:r>
              <w:rPr>
                <w:rFonts w:ascii="仿宋_GB2312" w:hAnsi="仿宋_GB2312" w:cs="仿宋_GB2312" w:eastAsia="仿宋_GB2312"/>
              </w:rPr>
              <w:t>1.2.3</w:t>
            </w:r>
            <w:r>
              <w:rPr>
                <w:rFonts w:ascii="仿宋_GB2312" w:hAnsi="仿宋_GB2312" w:cs="仿宋_GB2312" w:eastAsia="仿宋_GB2312"/>
                <w:sz w:val="18"/>
                <w:b/>
                <w:color w:val="000000"/>
              </w:rPr>
              <w:t>建设内容</w:t>
            </w:r>
            <w:r>
              <w:rPr>
                <w:rFonts w:ascii="仿宋_GB2312" w:hAnsi="仿宋_GB2312" w:cs="仿宋_GB2312" w:eastAsia="仿宋_GB2312"/>
                <w:sz w:val="18"/>
                <w:b/>
                <w:color w:val="000000"/>
              </w:rPr>
              <w:t>要求</w:t>
            </w:r>
          </w:p>
          <w:p>
            <w:pPr>
              <w:pStyle w:val="null3"/>
              <w:numPr>
                <w:ilvl w:val="1"/>
                <w:numId w:val="2"/>
              </w:numPr>
            </w:pPr>
            <w:r>
              <w:rPr>
                <w:rFonts w:ascii="仿宋_GB2312" w:hAnsi="仿宋_GB2312" w:cs="仿宋_GB2312" w:eastAsia="仿宋_GB2312"/>
              </w:rPr>
              <w:t>1.2.3.1</w:t>
            </w:r>
            <w:r>
              <w:rPr>
                <w:rFonts w:ascii="仿宋_GB2312" w:hAnsi="仿宋_GB2312" w:cs="仿宋_GB2312" w:eastAsia="仿宋_GB2312"/>
                <w:sz w:val="18"/>
                <w:b/>
                <w:color w:val="000000"/>
              </w:rPr>
              <w:t>“一人一档”全民参保应用模块</w:t>
            </w:r>
          </w:p>
          <w:p>
            <w:pPr>
              <w:pStyle w:val="null3"/>
              <w:numPr>
                <w:ilvl w:val="1"/>
                <w:numId w:val="2"/>
              </w:numPr>
            </w:pPr>
            <w:r>
              <w:rPr>
                <w:rFonts w:ascii="仿宋_GB2312" w:hAnsi="仿宋_GB2312" w:cs="仿宋_GB2312" w:eastAsia="仿宋_GB2312"/>
                <w:sz w:val="18"/>
                <w:b/>
                <w:color w:val="000000"/>
              </w:rPr>
              <w:t>1.</w:t>
            </w:r>
            <w:r>
              <w:rPr>
                <w:rFonts w:ascii="仿宋_GB2312" w:hAnsi="仿宋_GB2312" w:cs="仿宋_GB2312" w:eastAsia="仿宋_GB2312"/>
                <w:sz w:val="18"/>
                <w:color w:val="000000"/>
              </w:rPr>
              <w:t>新建</w:t>
            </w:r>
            <w:r>
              <w:rPr>
                <w:rFonts w:ascii="仿宋_GB2312" w:hAnsi="仿宋_GB2312" w:cs="仿宋_GB2312" w:eastAsia="仿宋_GB2312"/>
                <w:sz w:val="18"/>
                <w:color w:val="000000"/>
              </w:rPr>
              <w:t>“一人一档”全民参保应用模块</w:t>
            </w:r>
          </w:p>
          <w:p>
            <w:pPr>
              <w:pStyle w:val="null3"/>
              <w:numPr>
                <w:ilvl w:val="1"/>
                <w:numId w:val="2"/>
              </w:numPr>
            </w:pPr>
            <w:r>
              <w:rPr>
                <w:rFonts w:ascii="仿宋_GB2312" w:hAnsi="仿宋_GB2312" w:cs="仿宋_GB2312" w:eastAsia="仿宋_GB2312"/>
                <w:sz w:val="18"/>
                <w:color w:val="000000"/>
              </w:rPr>
              <w:t>（1）</w:t>
            </w:r>
            <w:r>
              <w:rPr>
                <w:rFonts w:ascii="仿宋_GB2312" w:hAnsi="仿宋_GB2312" w:cs="仿宋_GB2312" w:eastAsia="仿宋_GB2312"/>
                <w:sz w:val="18"/>
                <w:color w:val="000000"/>
              </w:rPr>
              <w:t>人员摸底计划管理：针对采集和比对完成的未参保人员信息，进行未参保人员信息维护、下发、全民参保登记网格员采集信息审核、未参保人员核查情况上报等。</w:t>
            </w:r>
          </w:p>
          <w:p>
            <w:pPr>
              <w:pStyle w:val="null3"/>
              <w:numPr>
                <w:ilvl w:val="1"/>
                <w:numId w:val="2"/>
              </w:numPr>
            </w:pPr>
            <w:r>
              <w:rPr>
                <w:rFonts w:ascii="仿宋_GB2312" w:hAnsi="仿宋_GB2312" w:cs="仿宋_GB2312" w:eastAsia="仿宋_GB2312"/>
                <w:sz w:val="18"/>
                <w:color w:val="000000"/>
              </w:rPr>
              <w:t>（2）</w:t>
            </w:r>
            <w:r>
              <w:rPr>
                <w:rFonts w:ascii="仿宋_GB2312" w:hAnsi="仿宋_GB2312" w:cs="仿宋_GB2312" w:eastAsia="仿宋_GB2312"/>
                <w:sz w:val="18"/>
                <w:color w:val="000000"/>
              </w:rPr>
              <w:t>人员档案管理：为加强对区域参保人员及未参保人群综合管控，需要对区域内人口进行档案建立，并通过人员档案信息的完善，促进全民参保落地。</w:t>
            </w:r>
          </w:p>
          <w:p>
            <w:pPr>
              <w:pStyle w:val="null3"/>
              <w:numPr>
                <w:ilvl w:val="1"/>
                <w:numId w:val="2"/>
              </w:numPr>
            </w:pPr>
            <w:r>
              <w:rPr>
                <w:rFonts w:ascii="仿宋_GB2312" w:hAnsi="仿宋_GB2312" w:cs="仿宋_GB2312" w:eastAsia="仿宋_GB2312"/>
                <w:sz w:val="18"/>
                <w:color w:val="000000"/>
              </w:rPr>
              <w:t>（3）</w:t>
            </w:r>
            <w:r>
              <w:rPr>
                <w:rFonts w:ascii="仿宋_GB2312" w:hAnsi="仿宋_GB2312" w:cs="仿宋_GB2312" w:eastAsia="仿宋_GB2312"/>
                <w:sz w:val="18"/>
                <w:color w:val="000000"/>
              </w:rPr>
              <w:t>医保经办区划管理：为加强医保经办区划对参保人群管理，需要增加医保经办管理模块。</w:t>
            </w:r>
          </w:p>
          <w:p>
            <w:pPr>
              <w:pStyle w:val="null3"/>
              <w:numPr>
                <w:ilvl w:val="1"/>
                <w:numId w:val="2"/>
              </w:numPr>
            </w:pPr>
            <w:r>
              <w:rPr>
                <w:rFonts w:ascii="仿宋_GB2312" w:hAnsi="仿宋_GB2312" w:cs="仿宋_GB2312" w:eastAsia="仿宋_GB2312"/>
                <w:sz w:val="18"/>
                <w:color w:val="000000"/>
              </w:rPr>
              <w:t>（4）</w:t>
            </w:r>
            <w:r>
              <w:rPr>
                <w:rFonts w:ascii="仿宋_GB2312" w:hAnsi="仿宋_GB2312" w:cs="仿宋_GB2312" w:eastAsia="仿宋_GB2312"/>
                <w:sz w:val="18"/>
                <w:color w:val="000000"/>
              </w:rPr>
              <w:t>网格人员管理：为了对辖区内的未参保人员进行人员核实及信息采集等业务工作，各统筹区区县级医保经办管理部门对辖区内的街道、乡镇、社区、行政村等设置网格化管理员，包括网格人员的新增、删除、密码及权限管理等。</w:t>
            </w:r>
          </w:p>
          <w:p>
            <w:pPr>
              <w:pStyle w:val="null3"/>
              <w:numPr>
                <w:ilvl w:val="1"/>
                <w:numId w:val="2"/>
              </w:numPr>
            </w:pPr>
            <w:r>
              <w:rPr>
                <w:rFonts w:ascii="仿宋_GB2312" w:hAnsi="仿宋_GB2312" w:cs="仿宋_GB2312" w:eastAsia="仿宋_GB2312"/>
                <w:sz w:val="18"/>
                <w:color w:val="000000"/>
              </w:rPr>
              <w:t>（5）</w:t>
            </w:r>
            <w:r>
              <w:rPr>
                <w:rFonts w:ascii="仿宋_GB2312" w:hAnsi="仿宋_GB2312" w:cs="仿宋_GB2312" w:eastAsia="仿宋_GB2312"/>
                <w:sz w:val="18"/>
                <w:color w:val="000000"/>
              </w:rPr>
              <w:t>短信推送管理：需要针对筛查出未参保人员等信息后，以短信的形式通知未参保人进行按时参保，并将参保的相关政策及待遇情况简要告知，引导未参保人尽快参保。</w:t>
            </w:r>
          </w:p>
          <w:p>
            <w:pPr>
              <w:pStyle w:val="null3"/>
              <w:numPr>
                <w:ilvl w:val="1"/>
                <w:numId w:val="2"/>
              </w:numPr>
            </w:pPr>
            <w:r>
              <w:rPr>
                <w:rFonts w:ascii="仿宋_GB2312" w:hAnsi="仿宋_GB2312" w:cs="仿宋_GB2312" w:eastAsia="仿宋_GB2312"/>
                <w:sz w:val="18"/>
                <w:color w:val="000000"/>
              </w:rPr>
              <w:t>（6）</w:t>
            </w:r>
            <w:r>
              <w:rPr>
                <w:rFonts w:ascii="仿宋_GB2312" w:hAnsi="仿宋_GB2312" w:cs="仿宋_GB2312" w:eastAsia="仿宋_GB2312"/>
                <w:sz w:val="18"/>
                <w:color w:val="000000"/>
              </w:rPr>
              <w:t>网格化业务管理：主要是各统筹区通过网格员完成对辖区内的未参保人员进行实地人员核实及信息采集等业务工作，分为核心</w:t>
            </w:r>
            <w:r>
              <w:rPr>
                <w:rFonts w:ascii="仿宋_GB2312" w:hAnsi="仿宋_GB2312" w:cs="仿宋_GB2312" w:eastAsia="仿宋_GB2312"/>
                <w:sz w:val="18"/>
                <w:color w:val="000000"/>
              </w:rPr>
              <w:t>PC端及移动端两部分，包括网格人员登录、未参保人员信息核实采集及完成对各类未参保人群的动员参保登记等业务功能。</w:t>
            </w:r>
          </w:p>
          <w:p>
            <w:pPr>
              <w:pStyle w:val="null3"/>
              <w:numPr>
                <w:ilvl w:val="1"/>
                <w:numId w:val="2"/>
              </w:numPr>
            </w:pPr>
            <w:r>
              <w:rPr>
                <w:rFonts w:ascii="仿宋_GB2312" w:hAnsi="仿宋_GB2312" w:cs="仿宋_GB2312" w:eastAsia="仿宋_GB2312"/>
                <w:sz w:val="18"/>
                <w:color w:val="000000"/>
              </w:rPr>
              <w:t>（7）</w:t>
            </w:r>
            <w:r>
              <w:rPr>
                <w:rFonts w:ascii="仿宋_GB2312" w:hAnsi="仿宋_GB2312" w:cs="仿宋_GB2312" w:eastAsia="仿宋_GB2312"/>
                <w:sz w:val="18"/>
                <w:color w:val="000000"/>
              </w:rPr>
              <w:t>动态监测及分析：通过监测大屏及数据统计分析等手段，对全民参保一人一档、一户一档、一村一档等不同层级，以及属地、人群、年龄、性别等各种维度，以数据及图表等多种形式进行展现，实现全省医保全民参保情况的实时监测及分析。</w:t>
            </w:r>
          </w:p>
          <w:p>
            <w:pPr>
              <w:pStyle w:val="null3"/>
              <w:numPr>
                <w:ilvl w:val="1"/>
                <w:numId w:val="2"/>
              </w:numPr>
            </w:pPr>
            <w:r>
              <w:rPr>
                <w:rFonts w:ascii="仿宋_GB2312" w:hAnsi="仿宋_GB2312" w:cs="仿宋_GB2312" w:eastAsia="仿宋_GB2312"/>
                <w:sz w:val="18"/>
                <w:color w:val="000000"/>
              </w:rPr>
              <w:t>（8）</w:t>
            </w:r>
            <w:r>
              <w:rPr>
                <w:rFonts w:ascii="仿宋_GB2312" w:hAnsi="仿宋_GB2312" w:cs="仿宋_GB2312" w:eastAsia="仿宋_GB2312"/>
                <w:sz w:val="18"/>
                <w:color w:val="000000"/>
              </w:rPr>
              <w:t>综合查询及统计表格：针对全省一人一档全民参保情况，为各级医保管理部门开发相应的业务查询模块功能，并提供不同辖区层级的未参保数据管理台账。（9）</w:t>
            </w:r>
            <w:r>
              <w:rPr>
                <w:rFonts w:ascii="仿宋_GB2312" w:hAnsi="仿宋_GB2312" w:cs="仿宋_GB2312" w:eastAsia="仿宋_GB2312"/>
                <w:sz w:val="18"/>
                <w:color w:val="000000"/>
              </w:rPr>
              <w:t>系统管理：本次系统建设需要与多个部门进行数据的采集及比对分析，因此需要加强系统安全管理及数据同步管理等。确保人员参保变更后的信息同步，并加强对交互数据的敏感信息脱敏管理等。</w:t>
            </w:r>
          </w:p>
          <w:p>
            <w:pPr>
              <w:pStyle w:val="null3"/>
              <w:numPr>
                <w:ilvl w:val="1"/>
                <w:numId w:val="2"/>
              </w:numPr>
            </w:pPr>
            <w:r>
              <w:rPr>
                <w:rFonts w:ascii="仿宋_GB2312" w:hAnsi="仿宋_GB2312" w:cs="仿宋_GB2312" w:eastAsia="仿宋_GB2312"/>
                <w:sz w:val="18"/>
                <w:color w:val="000000"/>
              </w:rPr>
              <w:t>2.</w:t>
            </w:r>
            <w:r>
              <w:rPr>
                <w:rFonts w:ascii="仿宋_GB2312" w:hAnsi="仿宋_GB2312" w:cs="仿宋_GB2312" w:eastAsia="仿宋_GB2312"/>
                <w:sz w:val="18"/>
                <w:color w:val="000000"/>
              </w:rPr>
              <w:t>参保登记管理及公服接口模块升级改造</w:t>
            </w:r>
          </w:p>
          <w:p>
            <w:pPr>
              <w:pStyle w:val="null3"/>
              <w:numPr>
                <w:ilvl w:val="1"/>
                <w:numId w:val="2"/>
              </w:numPr>
            </w:pPr>
            <w:r>
              <w:rPr>
                <w:rFonts w:ascii="仿宋_GB2312" w:hAnsi="仿宋_GB2312" w:cs="仿宋_GB2312" w:eastAsia="仿宋_GB2312"/>
                <w:sz w:val="18"/>
                <w:color w:val="000000"/>
              </w:rPr>
              <w:t>（1）</w:t>
            </w:r>
            <w:r>
              <w:rPr>
                <w:rFonts w:ascii="仿宋_GB2312" w:hAnsi="仿宋_GB2312" w:cs="仿宋_GB2312" w:eastAsia="仿宋_GB2312"/>
                <w:sz w:val="18"/>
                <w:color w:val="000000"/>
              </w:rPr>
              <w:t>参保登记管理升级改造：针对医保城镇职工、城乡居民、灵活就业人员等人群的参保登记及信息维护等功能进行升级改造，保证核心生产库数据与全民参保数据库中的人员数据的一致性，完善核心生产库人员基本信息，满足一人一档全民参保对人员基础数据信息的要求。</w:t>
            </w:r>
          </w:p>
          <w:p>
            <w:pPr>
              <w:pStyle w:val="null3"/>
              <w:numPr>
                <w:ilvl w:val="1"/>
                <w:numId w:val="2"/>
              </w:numPr>
            </w:pPr>
            <w:r>
              <w:rPr>
                <w:rFonts w:ascii="仿宋_GB2312" w:hAnsi="仿宋_GB2312" w:cs="仿宋_GB2312" w:eastAsia="仿宋_GB2312"/>
                <w:sz w:val="18"/>
                <w:color w:val="000000"/>
              </w:rPr>
              <w:t>（2）</w:t>
            </w:r>
            <w:r>
              <w:rPr>
                <w:rFonts w:ascii="仿宋_GB2312" w:hAnsi="仿宋_GB2312" w:cs="仿宋_GB2312" w:eastAsia="仿宋_GB2312"/>
                <w:sz w:val="18"/>
                <w:color w:val="000000"/>
              </w:rPr>
              <w:t>公共服务接口升级改造：针对医保公共服务参保登记相关业务服务，升级改造核心业务相关被调用接口，满足一人一档全民参保对数据指标信息的要求。</w:t>
            </w:r>
          </w:p>
          <w:p>
            <w:pPr>
              <w:pStyle w:val="null3"/>
              <w:numPr>
                <w:ilvl w:val="1"/>
                <w:numId w:val="2"/>
              </w:numPr>
            </w:pPr>
            <w:r>
              <w:rPr>
                <w:rFonts w:ascii="仿宋_GB2312" w:hAnsi="仿宋_GB2312" w:cs="仿宋_GB2312" w:eastAsia="仿宋_GB2312"/>
                <w:sz w:val="18"/>
                <w:color w:val="000000"/>
              </w:rPr>
              <w:t>（3）</w:t>
            </w:r>
            <w:r>
              <w:rPr>
                <w:rFonts w:ascii="仿宋_GB2312" w:hAnsi="仿宋_GB2312" w:cs="仿宋_GB2312" w:eastAsia="仿宋_GB2312"/>
                <w:sz w:val="18"/>
                <w:color w:val="000000"/>
              </w:rPr>
              <w:t>外部接口服务：根据国家医保局相关一人一档工作要求，需要在现有已经建设的接口基础上新增外部交互接口，用于交互外部系统的数据，加强数据交互的管控。</w:t>
            </w:r>
          </w:p>
          <w:p>
            <w:pPr>
              <w:pStyle w:val="null3"/>
              <w:numPr>
                <w:ilvl w:val="1"/>
                <w:numId w:val="2"/>
              </w:numPr>
            </w:pPr>
            <w:r>
              <w:rPr>
                <w:rFonts w:ascii="仿宋_GB2312" w:hAnsi="仿宋_GB2312" w:cs="仿宋_GB2312" w:eastAsia="仿宋_GB2312"/>
              </w:rPr>
              <w:t>1.2.3.2</w:t>
            </w:r>
            <w:r>
              <w:rPr>
                <w:rFonts w:ascii="仿宋_GB2312" w:hAnsi="仿宋_GB2312" w:cs="仿宋_GB2312" w:eastAsia="仿宋_GB2312"/>
                <w:sz w:val="18"/>
                <w:b/>
                <w:color w:val="000000"/>
              </w:rPr>
              <w:t>“一人一档”全民参保数据库建设</w:t>
            </w:r>
          </w:p>
          <w:p>
            <w:pPr>
              <w:pStyle w:val="null3"/>
              <w:ind w:firstLine="360"/>
              <w:jc w:val="both"/>
            </w:pPr>
            <w:r>
              <w:rPr>
                <w:rFonts w:ascii="仿宋_GB2312" w:hAnsi="仿宋_GB2312" w:cs="仿宋_GB2312" w:eastAsia="仿宋_GB2312"/>
                <w:sz w:val="18"/>
                <w:color w:val="000000"/>
              </w:rPr>
              <w:t>基于现有陕西省医疗保障信息平台，以人员基础信息和参保信息为核心内容建设</w:t>
            </w:r>
            <w:r>
              <w:rPr>
                <w:rFonts w:ascii="仿宋_GB2312" w:hAnsi="仿宋_GB2312" w:cs="仿宋_GB2312" w:eastAsia="仿宋_GB2312"/>
                <w:sz w:val="18"/>
                <w:color w:val="000000"/>
              </w:rPr>
              <w:t>“一人一档”全民参保数据库。按照国家局和我省的规划，明确“一人一档”全民参保保数据库基础信息、参保数据库参保信息和未参保信息。</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 xml:space="preserve">建设本地全量户籍人员及常住人口数据库、本地全量参保数据库、本地未参保数据库及外部数据共享交换库等基础数据库。 </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建设支撑一人一档全民参保系统管理应用的业务管理归档及主题数据库。</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外部数据对接开发：基于省级医保数据共享交换平台和外部数据共享交换库，完成与外部共享数据的数据对接开发，同时增加新的接口，用于管控外部交互的数据安全及权限管理。</w:t>
            </w:r>
          </w:p>
          <w:p>
            <w:pPr>
              <w:pStyle w:val="null3"/>
              <w:ind w:firstLine="36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数据采集比对：完成全民参保相关的国家未参保数据的采集，以及完成与公安、民政、人社等单位部门的数据比对。</w:t>
            </w:r>
          </w:p>
          <w:p>
            <w:pPr>
              <w:pStyle w:val="null3"/>
            </w:pPr>
            <w:r>
              <w:rPr>
                <w:rFonts w:ascii="仿宋_GB2312" w:hAnsi="仿宋_GB2312" w:cs="仿宋_GB2312" w:eastAsia="仿宋_GB2312"/>
              </w:rPr>
              <w:t>1.2.3.3</w:t>
            </w:r>
            <w:r>
              <w:rPr>
                <w:rFonts w:ascii="仿宋_GB2312" w:hAnsi="仿宋_GB2312" w:cs="仿宋_GB2312" w:eastAsia="仿宋_GB2312"/>
                <w:sz w:val="18"/>
                <w:b/>
                <w:color w:val="000000"/>
              </w:rPr>
              <w:t>年终线上结算清算</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即时结算</w:t>
            </w:r>
            <w:r>
              <w:rPr>
                <w:rFonts w:ascii="仿宋_GB2312" w:hAnsi="仿宋_GB2312" w:cs="仿宋_GB2312" w:eastAsia="仿宋_GB2312"/>
                <w:sz w:val="18"/>
                <w:b/>
                <w:color w:val="000000"/>
              </w:rPr>
              <w:t>功能模块</w:t>
            </w:r>
          </w:p>
          <w:p>
            <w:pPr>
              <w:pStyle w:val="null3"/>
              <w:ind w:firstLine="360"/>
              <w:jc w:val="both"/>
            </w:pPr>
            <w:r>
              <w:rPr>
                <w:rFonts w:ascii="仿宋_GB2312" w:hAnsi="仿宋_GB2312" w:cs="仿宋_GB2312" w:eastAsia="仿宋_GB2312"/>
                <w:sz w:val="18"/>
                <w:color w:val="000000"/>
              </w:rPr>
              <w:t>实现全省各统筹区定点医药机构的线上年终结算清算和即时结算，包含：清算政策参数管理、年终清算数据管理、制作年终清算支付表、复核年终清算医疗费用、年终清算考核管理、年终清算补拨补扣管理、年终清算机构申诉管理、年终清算医疗费用审签、年终清算支付管理、业财拨付管理、全年清算医疗费用分析、年终模拟清算医疗费用和即时结算相关功能等。即时结算的基金范围包括基本医保基金（职工医保和居民医保基金）、补充医疗保险和公务员医疗保险基金，由第三方承办补充医疗保险的除外；结算范围包括纳入</w:t>
            </w:r>
            <w:r>
              <w:rPr>
                <w:rFonts w:ascii="仿宋_GB2312" w:hAnsi="仿宋_GB2312" w:cs="仿宋_GB2312" w:eastAsia="仿宋_GB2312"/>
                <w:sz w:val="18"/>
                <w:color w:val="000000"/>
              </w:rPr>
              <w:t>“一站式”结算范围的定点医药机构发生医药费用，包括普通门诊、门诊慢特病、住院医疗费用、生育医疗费用、药店购药费用等；结算时限从定点医药机构申报次日到医保基金拨付不超过20个工作日。</w:t>
            </w:r>
          </w:p>
          <w:p>
            <w:pPr>
              <w:pStyle w:val="null3"/>
            </w:pPr>
            <w:r>
              <w:rPr>
                <w:rFonts w:ascii="仿宋_GB2312" w:hAnsi="仿宋_GB2312" w:cs="仿宋_GB2312" w:eastAsia="仿宋_GB2312"/>
              </w:rPr>
              <w:t>1.2.3.4</w:t>
            </w:r>
            <w:r>
              <w:rPr>
                <w:rFonts w:ascii="仿宋_GB2312" w:hAnsi="仿宋_GB2312" w:cs="仿宋_GB2312" w:eastAsia="仿宋_GB2312"/>
                <w:sz w:val="28"/>
                <w:b/>
                <w:color w:val="000000"/>
              </w:rPr>
              <w:t xml:space="preserve"> </w:t>
            </w:r>
            <w:r>
              <w:rPr>
                <w:rFonts w:ascii="仿宋_GB2312" w:hAnsi="仿宋_GB2312" w:cs="仿宋_GB2312" w:eastAsia="仿宋_GB2312"/>
                <w:sz w:val="18"/>
                <w:b/>
                <w:color w:val="000000"/>
              </w:rPr>
              <w:t>省内异地就医纳入本地化结算功能模块</w:t>
            </w:r>
          </w:p>
          <w:p>
            <w:pPr>
              <w:pStyle w:val="null3"/>
              <w:ind w:firstLine="360"/>
              <w:jc w:val="both"/>
            </w:pPr>
            <w:r>
              <w:rPr>
                <w:rFonts w:ascii="仿宋_GB2312" w:hAnsi="仿宋_GB2312" w:cs="仿宋_GB2312" w:eastAsia="仿宋_GB2312"/>
                <w:sz w:val="18"/>
                <w:color w:val="000000"/>
              </w:rPr>
              <w:t>省内异地就医医疗费用纳入本地统筹结算，支撑全省</w:t>
            </w:r>
            <w:r>
              <w:rPr>
                <w:rFonts w:ascii="仿宋_GB2312" w:hAnsi="仿宋_GB2312" w:cs="仿宋_GB2312" w:eastAsia="仿宋_GB2312"/>
                <w:sz w:val="18"/>
                <w:color w:val="000000"/>
              </w:rPr>
              <w:t>12统筹区异地月度、年度结算、省内异地就医监管业务。</w:t>
            </w:r>
          </w:p>
          <w:p>
            <w:pPr>
              <w:pStyle w:val="null3"/>
              <w:ind w:firstLine="360"/>
              <w:jc w:val="both"/>
            </w:pPr>
            <w:r>
              <w:rPr>
                <w:rFonts w:ascii="仿宋_GB2312" w:hAnsi="仿宋_GB2312" w:cs="仿宋_GB2312" w:eastAsia="仿宋_GB2312"/>
                <w:sz w:val="18"/>
                <w:color w:val="000000"/>
              </w:rPr>
              <w:t>对现有就医结算相关功能进行改造，支撑省内异地就医纳入本地结算后，能够支撑各个统筹区在保障本地基金使用的前提下，支撑完成异地纳入本地结算基金及时审批、划拨。需要对相关功能进一步改造，包括异地就医地市开通、异地定点管理、异地数据对接、异地预付金管理、省内异地数据对账、省内异地就医就医地审核流重构、两定月结算、异地结算清单模块、结算撤销接口、冲正接口、两定月结确认、结算信息查询，拨付信息查询、报表、查询功能、异地弹性模块、</w:t>
            </w:r>
            <w:r>
              <w:rPr>
                <w:rFonts w:ascii="仿宋_GB2312" w:hAnsi="仿宋_GB2312" w:cs="仿宋_GB2312" w:eastAsia="仿宋_GB2312"/>
                <w:sz w:val="18"/>
                <w:color w:val="000000"/>
              </w:rPr>
              <w:t>省内</w:t>
            </w:r>
            <w:r>
              <w:rPr>
                <w:rFonts w:ascii="仿宋_GB2312" w:hAnsi="仿宋_GB2312" w:cs="仿宋_GB2312" w:eastAsia="仿宋_GB2312"/>
                <w:sz w:val="18"/>
                <w:color w:val="000000"/>
              </w:rPr>
              <w:t>费用清算</w:t>
            </w:r>
            <w:r>
              <w:rPr>
                <w:rFonts w:ascii="仿宋_GB2312" w:hAnsi="仿宋_GB2312" w:cs="仿宋_GB2312" w:eastAsia="仿宋_GB2312"/>
                <w:sz w:val="18"/>
                <w:color w:val="000000"/>
              </w:rPr>
              <w:t>、两定月结拨付管理、参保地清算拨付</w:t>
            </w:r>
            <w:r>
              <w:rPr>
                <w:rFonts w:ascii="仿宋_GB2312" w:hAnsi="仿宋_GB2312" w:cs="仿宋_GB2312" w:eastAsia="仿宋_GB2312"/>
                <w:sz w:val="18"/>
                <w:color w:val="000000"/>
              </w:rPr>
              <w:t>等功能。</w:t>
            </w:r>
          </w:p>
          <w:p>
            <w:pPr>
              <w:pStyle w:val="null3"/>
              <w:ind w:firstLine="360"/>
              <w:jc w:val="both"/>
            </w:pPr>
            <w:r>
              <w:rPr>
                <w:rFonts w:ascii="仿宋_GB2312" w:hAnsi="仿宋_GB2312" w:cs="仿宋_GB2312" w:eastAsia="仿宋_GB2312"/>
              </w:rPr>
              <w:t>1.2.3.5</w:t>
            </w:r>
            <w:r>
              <w:rPr>
                <w:rFonts w:ascii="仿宋_GB2312" w:hAnsi="仿宋_GB2312" w:cs="仿宋_GB2312" w:eastAsia="仿宋_GB2312"/>
                <w:sz w:val="18"/>
                <w:b/>
                <w:color w:val="000000"/>
              </w:rPr>
              <w:t>陕西省定点医药机构相关人员医保支付资格管理模块</w:t>
            </w:r>
          </w:p>
          <w:p>
            <w:pPr>
              <w:pStyle w:val="null3"/>
              <w:ind w:firstLine="360"/>
              <w:jc w:val="both"/>
            </w:pPr>
            <w:r>
              <w:rPr>
                <w:rFonts w:ascii="仿宋_GB2312" w:hAnsi="仿宋_GB2312" w:cs="仿宋_GB2312" w:eastAsia="仿宋_GB2312"/>
                <w:sz w:val="18"/>
                <w:color w:val="000000"/>
              </w:rPr>
              <w:t>根据国家医保局关于定点医药机构相关人员医保支付资格有关政策要求，结合陕西省</w:t>
            </w:r>
            <w:r>
              <w:rPr>
                <w:rFonts w:ascii="仿宋_GB2312" w:hAnsi="仿宋_GB2312" w:cs="仿宋_GB2312" w:eastAsia="仿宋_GB2312"/>
                <w:sz w:val="18"/>
                <w:color w:val="000000"/>
              </w:rPr>
              <w:t>医保工作</w:t>
            </w:r>
            <w:r>
              <w:rPr>
                <w:rFonts w:ascii="仿宋_GB2312" w:hAnsi="仿宋_GB2312" w:cs="仿宋_GB2312" w:eastAsia="仿宋_GB2312"/>
                <w:sz w:val="18"/>
                <w:color w:val="000000"/>
              </w:rPr>
              <w:t>的现状，建设陕西省定点医药机构相关人员医保支付资格相关模块，在陕西省医疗保障信息平台框架下扩建相关功能应用，系统按用户类型分为医保经办端和定点医药机构端及开发支付资格管理相关</w:t>
            </w:r>
            <w:r>
              <w:rPr>
                <w:rFonts w:ascii="仿宋_GB2312" w:hAnsi="仿宋_GB2312" w:cs="仿宋_GB2312" w:eastAsia="仿宋_GB2312"/>
                <w:sz w:val="18"/>
                <w:color w:val="000000"/>
              </w:rPr>
              <w:t>API接口。</w:t>
            </w:r>
          </w:p>
          <w:p>
            <w:pPr>
              <w:pStyle w:val="null3"/>
              <w:numPr>
                <w:ilvl w:val="0"/>
                <w:numId w:val="2"/>
              </w:numPr>
            </w:pPr>
            <w:r>
              <w:rPr>
                <w:rFonts w:ascii="仿宋_GB2312" w:hAnsi="仿宋_GB2312" w:cs="仿宋_GB2312" w:eastAsia="仿宋_GB2312"/>
              </w:rPr>
              <w:t>1.2.4</w:t>
            </w:r>
            <w:r>
              <w:rPr>
                <w:rFonts w:ascii="仿宋_GB2312" w:hAnsi="仿宋_GB2312" w:cs="仿宋_GB2312" w:eastAsia="仿宋_GB2312"/>
                <w:sz w:val="18"/>
                <w:b/>
                <w:color w:val="000000"/>
              </w:rPr>
              <w:t>建设规模</w:t>
            </w:r>
          </w:p>
          <w:p>
            <w:pPr>
              <w:pStyle w:val="null3"/>
              <w:ind w:firstLine="360"/>
              <w:jc w:val="both"/>
            </w:pPr>
            <w:r>
              <w:rPr>
                <w:rFonts w:ascii="仿宋_GB2312" w:hAnsi="仿宋_GB2312" w:cs="仿宋_GB2312" w:eastAsia="仿宋_GB2312"/>
                <w:sz w:val="18"/>
                <w:color w:val="000000"/>
              </w:rPr>
              <w:t>本项目基于现有陕西省医疗保障信息平台进行建设，对现有医疗保障信息平台相关子系统进行改造和新建功能，支撑全省</w:t>
            </w:r>
            <w:r>
              <w:rPr>
                <w:rFonts w:ascii="仿宋_GB2312" w:hAnsi="仿宋_GB2312" w:cs="仿宋_GB2312" w:eastAsia="仿宋_GB2312"/>
                <w:sz w:val="18"/>
                <w:color w:val="000000"/>
              </w:rPr>
              <w:t>12个统筹区，3900余万人，24190家定点医院，13851家定点药店，322家医保部门及经办机构，近40万家参保单位的就医结算业务办理。</w:t>
            </w:r>
          </w:p>
          <w:p>
            <w:pPr>
              <w:pStyle w:val="null3"/>
              <w:ind w:firstLine="360"/>
              <w:jc w:val="both"/>
            </w:pPr>
            <w:r>
              <w:rPr>
                <w:rFonts w:ascii="仿宋_GB2312" w:hAnsi="仿宋_GB2312" w:cs="仿宋_GB2312" w:eastAsia="仿宋_GB2312"/>
                <w:sz w:val="18"/>
                <w:color w:val="000000"/>
              </w:rPr>
              <w:t>一人一档全民参保应用和一人一档全民参保数据库，需针对全省</w:t>
            </w:r>
            <w:r>
              <w:rPr>
                <w:rFonts w:ascii="仿宋_GB2312" w:hAnsi="仿宋_GB2312" w:cs="仿宋_GB2312" w:eastAsia="仿宋_GB2312"/>
                <w:sz w:val="18"/>
                <w:color w:val="000000"/>
              </w:rPr>
              <w:t>3900多万参保人建设全民参保基础信息库，并获取采集国家下发的全省未参保人员数据，形成全省未参保人员信息库，并实现与公安、民政、人社、税务等部门之间进行交换、共享、比对，核实、完善未参保人员的信息，同时需要对全省未参保人员数据进行数据治理工作，实现对数据的去重、清洗等工作。</w:t>
            </w:r>
          </w:p>
          <w:p>
            <w:pPr>
              <w:pStyle w:val="null3"/>
              <w:ind w:firstLine="360"/>
              <w:jc w:val="both"/>
            </w:pPr>
            <w:r>
              <w:rPr>
                <w:rFonts w:ascii="仿宋_GB2312" w:hAnsi="仿宋_GB2312" w:cs="仿宋_GB2312" w:eastAsia="仿宋_GB2312"/>
                <w:sz w:val="18"/>
                <w:color w:val="000000"/>
              </w:rPr>
              <w:t>医保基金年终结算清算管理系统和即时结算模块，支撑全省</w:t>
            </w:r>
            <w:r>
              <w:rPr>
                <w:rFonts w:ascii="仿宋_GB2312" w:hAnsi="仿宋_GB2312" w:cs="仿宋_GB2312" w:eastAsia="仿宋_GB2312"/>
                <w:sz w:val="18"/>
                <w:color w:val="000000"/>
              </w:rPr>
              <w:t>12个统筹区，24190家定点医院，13851家定点药店，门诊、医共体、家庭医生签约、住院、门特门慢、生育基金年终结算清算和即时结算工作，完成年终清算和即时结算全业务线上办理。</w:t>
            </w:r>
          </w:p>
          <w:p>
            <w:pPr>
              <w:pStyle w:val="null3"/>
              <w:ind w:firstLine="360"/>
              <w:jc w:val="both"/>
            </w:pPr>
            <w:r>
              <w:rPr>
                <w:rFonts w:ascii="仿宋_GB2312" w:hAnsi="仿宋_GB2312" w:cs="仿宋_GB2312" w:eastAsia="仿宋_GB2312"/>
                <w:sz w:val="18"/>
                <w:color w:val="000000"/>
              </w:rPr>
              <w:t>省内异地就医医疗费用纳入本地统筹结算，需要对现有就医结算相关系统功能进行改造。同时，需要按照已经建设的数据治理相关功能，对全省</w:t>
            </w:r>
            <w:r>
              <w:rPr>
                <w:rFonts w:ascii="仿宋_GB2312" w:hAnsi="仿宋_GB2312" w:cs="仿宋_GB2312" w:eastAsia="仿宋_GB2312"/>
                <w:sz w:val="18"/>
                <w:color w:val="000000"/>
              </w:rPr>
              <w:t>3900多万参保人全量历史参保数据按医保结算清单相关要求进行数据治理工作，打造数据监控流程，实现数据的安全性、稳定性、准确性及符合国家数据等保要求。</w:t>
            </w:r>
          </w:p>
          <w:p>
            <w:pPr>
              <w:pStyle w:val="null3"/>
              <w:ind w:firstLine="360"/>
              <w:jc w:val="both"/>
            </w:pPr>
            <w:r>
              <w:rPr>
                <w:rFonts w:ascii="仿宋_GB2312" w:hAnsi="仿宋_GB2312" w:cs="仿宋_GB2312" w:eastAsia="仿宋_GB2312"/>
                <w:sz w:val="18"/>
                <w:color w:val="000000"/>
              </w:rPr>
              <w:t>陕西省定点医药机构相关人员医保支付资格管理模块，支撑全省</w:t>
            </w:r>
            <w:r>
              <w:rPr>
                <w:rFonts w:ascii="仿宋_GB2312" w:hAnsi="仿宋_GB2312" w:cs="仿宋_GB2312" w:eastAsia="仿宋_GB2312"/>
                <w:sz w:val="18"/>
                <w:color w:val="000000"/>
              </w:rPr>
              <w:t>332家医保部门及经办机构实现对定点医药机构相关人员医保支付资格的动态管理，加强对医保基金使用的全过程监管，及时发现和处理违规行为，提高医保基金监管的效率和精准度。</w:t>
            </w:r>
          </w:p>
          <w:p>
            <w:pPr>
              <w:pStyle w:val="null3"/>
              <w:numPr>
                <w:ilvl w:val="1"/>
                <w:numId w:val="2"/>
              </w:numPr>
            </w:pPr>
            <w:r>
              <w:rPr>
                <w:rFonts w:ascii="仿宋_GB2312" w:hAnsi="仿宋_GB2312" w:cs="仿宋_GB2312" w:eastAsia="仿宋_GB2312"/>
              </w:rPr>
              <w:t>1.2.5</w:t>
            </w:r>
            <w:r>
              <w:rPr>
                <w:rFonts w:ascii="仿宋_GB2312" w:hAnsi="仿宋_GB2312" w:cs="仿宋_GB2312" w:eastAsia="仿宋_GB2312"/>
                <w:sz w:val="18"/>
                <w:b/>
                <w:color w:val="000000"/>
              </w:rPr>
              <w:t>建设周期</w:t>
            </w:r>
            <w:r>
              <w:rPr>
                <w:rFonts w:ascii="仿宋_GB2312" w:hAnsi="仿宋_GB2312" w:cs="仿宋_GB2312" w:eastAsia="仿宋_GB2312"/>
                <w:sz w:val="18"/>
                <w:b/>
                <w:color w:val="000000"/>
              </w:rPr>
              <w:t>要求</w:t>
            </w:r>
          </w:p>
          <w:p>
            <w:pPr>
              <w:pStyle w:val="null3"/>
              <w:ind w:firstLine="361"/>
              <w:jc w:val="both"/>
            </w:pPr>
            <w:r>
              <w:rPr>
                <w:rFonts w:ascii="仿宋_GB2312" w:hAnsi="仿宋_GB2312" w:cs="仿宋_GB2312" w:eastAsia="仿宋_GB2312"/>
                <w:sz w:val="18"/>
                <w:b/>
                <w:color w:val="000000"/>
              </w:rPr>
              <w:t>建设周期：</w:t>
            </w:r>
            <w:r>
              <w:rPr>
                <w:rFonts w:ascii="仿宋_GB2312" w:hAnsi="仿宋_GB2312" w:cs="仿宋_GB2312" w:eastAsia="仿宋_GB2312"/>
                <w:sz w:val="18"/>
                <w:b/>
                <w:color w:val="000000"/>
              </w:rPr>
              <w:t>自合同签订至项目最终验收完成总用时</w:t>
            </w:r>
            <w:r>
              <w:rPr>
                <w:rFonts w:ascii="仿宋_GB2312" w:hAnsi="仿宋_GB2312" w:cs="仿宋_GB2312" w:eastAsia="仿宋_GB2312"/>
                <w:sz w:val="18"/>
                <w:b/>
                <w:color w:val="000000"/>
              </w:rPr>
              <w:t>12个月。</w:t>
            </w:r>
          </w:p>
          <w:p>
            <w:pPr>
              <w:pStyle w:val="null3"/>
              <w:jc w:val="left"/>
              <w:outlineLvl w:val="1"/>
            </w:pPr>
            <w:r>
              <w:rPr>
                <w:rFonts w:ascii="仿宋_GB2312" w:hAnsi="仿宋_GB2312" w:cs="仿宋_GB2312" w:eastAsia="仿宋_GB2312"/>
                <w:sz w:val="18"/>
                <w:b/>
                <w:color w:val="000000"/>
              </w:rPr>
              <w:t>1.2.6</w:t>
            </w:r>
            <w:r>
              <w:rPr>
                <w:rFonts w:ascii="仿宋_GB2312" w:hAnsi="仿宋_GB2312" w:cs="仿宋_GB2312" w:eastAsia="仿宋_GB2312"/>
                <w:sz w:val="18"/>
                <w:b/>
                <w:color w:val="000000"/>
              </w:rPr>
              <w:t>招标范围</w:t>
            </w:r>
          </w:p>
          <w:p>
            <w:pPr>
              <w:pStyle w:val="null3"/>
              <w:ind w:firstLine="360"/>
              <w:jc w:val="both"/>
            </w:pPr>
            <w:r>
              <w:rPr>
                <w:rFonts w:ascii="仿宋_GB2312" w:hAnsi="仿宋_GB2312" w:cs="仿宋_GB2312" w:eastAsia="仿宋_GB2312"/>
                <w:sz w:val="18"/>
                <w:color w:val="000000"/>
              </w:rPr>
              <w:t>本次项目的招标范围主要包括应用系统定制软件开发和数据服务相关内容，招标方式为公开招标</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根据本次</w:t>
            </w:r>
            <w:r>
              <w:rPr>
                <w:rFonts w:ascii="仿宋_GB2312" w:hAnsi="仿宋_GB2312" w:cs="仿宋_GB2312" w:eastAsia="仿宋_GB2312"/>
                <w:sz w:val="18"/>
                <w:color w:val="000000"/>
              </w:rPr>
              <w:t>建设内容要求，在</w:t>
            </w:r>
            <w:r>
              <w:rPr>
                <w:rFonts w:ascii="仿宋_GB2312" w:hAnsi="仿宋_GB2312" w:cs="仿宋_GB2312" w:eastAsia="仿宋_GB2312"/>
                <w:sz w:val="18"/>
                <w:color w:val="000000"/>
              </w:rPr>
              <w:t>陕西省医疗保障信息平台</w:t>
            </w:r>
            <w:r>
              <w:rPr>
                <w:rFonts w:ascii="仿宋_GB2312" w:hAnsi="仿宋_GB2312" w:cs="仿宋_GB2312" w:eastAsia="仿宋_GB2312"/>
                <w:sz w:val="18"/>
                <w:color w:val="000000"/>
              </w:rPr>
              <w:t>基础上，</w:t>
            </w:r>
            <w:r>
              <w:rPr>
                <w:rFonts w:ascii="仿宋_GB2312" w:hAnsi="仿宋_GB2312" w:cs="仿宋_GB2312" w:eastAsia="仿宋_GB2312"/>
                <w:sz w:val="18"/>
                <w:color w:val="333333"/>
              </w:rPr>
              <w:t>拓展建设</w:t>
            </w:r>
            <w:r>
              <w:rPr>
                <w:rFonts w:ascii="仿宋_GB2312" w:hAnsi="仿宋_GB2312" w:cs="仿宋_GB2312" w:eastAsia="仿宋_GB2312"/>
                <w:sz w:val="18"/>
                <w:color w:val="333333"/>
              </w:rPr>
              <w:t>“一人一档”全民参保应用模块和参保登记管理及公服接口模块，有效助力精准参保扩面。拓展建设陕西省医保基金年终结算清算管理和即时结算相关功能模块，实现全省各统筹区定点医药机构的医保基金线上年度结算清算和即时结算</w:t>
            </w:r>
            <w:r>
              <w:rPr>
                <w:rFonts w:ascii="仿宋_GB2312" w:hAnsi="仿宋_GB2312" w:cs="仿宋_GB2312" w:eastAsia="仿宋_GB2312"/>
                <w:sz w:val="18"/>
                <w:color w:val="333333"/>
              </w:rPr>
              <w:t>；</w:t>
            </w:r>
            <w:r>
              <w:rPr>
                <w:rFonts w:ascii="仿宋_GB2312" w:hAnsi="仿宋_GB2312" w:cs="仿宋_GB2312" w:eastAsia="仿宋_GB2312"/>
                <w:sz w:val="18"/>
                <w:color w:val="333333"/>
              </w:rPr>
              <w:t>拓展建设异地就医</w:t>
            </w:r>
            <w:r>
              <w:rPr>
                <w:rFonts w:ascii="仿宋_GB2312" w:hAnsi="仿宋_GB2312" w:cs="仿宋_GB2312" w:eastAsia="仿宋_GB2312"/>
                <w:sz w:val="18"/>
                <w:color w:val="333333"/>
              </w:rPr>
              <w:t>纳入本地结算</w:t>
            </w:r>
            <w:r>
              <w:rPr>
                <w:rFonts w:ascii="仿宋_GB2312" w:hAnsi="仿宋_GB2312" w:cs="仿宋_GB2312" w:eastAsia="仿宋_GB2312"/>
                <w:sz w:val="18"/>
                <w:color w:val="333333"/>
              </w:rPr>
              <w:t>相关功能模块</w:t>
            </w:r>
            <w:r>
              <w:rPr>
                <w:rFonts w:ascii="仿宋_GB2312" w:hAnsi="仿宋_GB2312" w:cs="仿宋_GB2312" w:eastAsia="仿宋_GB2312"/>
                <w:sz w:val="18"/>
                <w:color w:val="333333"/>
              </w:rPr>
              <w:t>,实现省内异地就医费用纳入就医地支付方式管理</w:t>
            </w:r>
            <w:r>
              <w:rPr>
                <w:rFonts w:ascii="仿宋_GB2312" w:hAnsi="仿宋_GB2312" w:cs="仿宋_GB2312" w:eastAsia="仿宋_GB2312"/>
                <w:sz w:val="18"/>
                <w:color w:val="333333"/>
              </w:rPr>
              <w:t>；</w:t>
            </w:r>
            <w:r>
              <w:rPr>
                <w:rFonts w:ascii="仿宋_GB2312" w:hAnsi="仿宋_GB2312" w:cs="仿宋_GB2312" w:eastAsia="仿宋_GB2312"/>
                <w:sz w:val="18"/>
                <w:color w:val="333333"/>
              </w:rPr>
              <w:t>拓展建设医保支付资格管理相关功能模块，实现对定点医药机构人员的动态管理，有效规范诊疗服务行为</w:t>
            </w:r>
            <w:r>
              <w:rPr>
                <w:rFonts w:ascii="仿宋_GB2312" w:hAnsi="仿宋_GB2312" w:cs="仿宋_GB2312" w:eastAsia="仿宋_GB2312"/>
                <w:sz w:val="18"/>
                <w:color w:val="333333"/>
              </w:rPr>
              <w:t>。</w:t>
            </w:r>
          </w:p>
          <w:p>
            <w:pPr>
              <w:pStyle w:val="null3"/>
              <w:numPr>
                <w:ilvl w:val="0"/>
                <w:numId w:val="2"/>
              </w:numPr>
            </w:pPr>
            <w:r>
              <w:rPr>
                <w:rFonts w:ascii="仿宋_GB2312" w:hAnsi="仿宋_GB2312" w:cs="仿宋_GB2312" w:eastAsia="仿宋_GB2312"/>
              </w:rPr>
              <w:t>1.3</w:t>
            </w:r>
            <w:r>
              <w:rPr>
                <w:rFonts w:ascii="仿宋_GB2312" w:hAnsi="仿宋_GB2312" w:cs="仿宋_GB2312" w:eastAsia="仿宋_GB2312"/>
                <w:sz w:val="18"/>
                <w:b/>
                <w:color w:val="000000"/>
              </w:rPr>
              <w:t>软件功能要求</w:t>
            </w:r>
          </w:p>
          <w:p>
            <w:pPr>
              <w:pStyle w:val="null3"/>
              <w:numPr>
                <w:ilvl w:val="0"/>
                <w:numId w:val="2"/>
              </w:numPr>
            </w:pPr>
            <w:r>
              <w:rPr>
                <w:rFonts w:ascii="仿宋_GB2312" w:hAnsi="仿宋_GB2312" w:cs="仿宋_GB2312" w:eastAsia="仿宋_GB2312"/>
                <w:sz w:val="18"/>
                <w:b/>
                <w:color w:val="000000"/>
              </w:rPr>
              <w:t>1.3.1一人一档全民参保应用模块功能要求</w:t>
            </w:r>
          </w:p>
          <w:p>
            <w:pPr>
              <w:pStyle w:val="null3"/>
              <w:ind w:firstLine="360"/>
              <w:jc w:val="both"/>
            </w:pPr>
            <w:r>
              <w:rPr>
                <w:rFonts w:ascii="仿宋_GB2312" w:hAnsi="仿宋_GB2312" w:cs="仿宋_GB2312" w:eastAsia="仿宋_GB2312"/>
                <w:sz w:val="18"/>
                <w:color w:val="000000"/>
              </w:rPr>
              <w:t>基于现有陕西省医疗保障信息平台，以人员基础信息和参保信息为核心内容建设</w:t>
            </w:r>
            <w:r>
              <w:rPr>
                <w:rFonts w:ascii="仿宋_GB2312" w:hAnsi="仿宋_GB2312" w:cs="仿宋_GB2312" w:eastAsia="仿宋_GB2312"/>
                <w:sz w:val="18"/>
                <w:color w:val="000000"/>
              </w:rPr>
              <w:t>“一人一档”全民参保数据库及相关应用。按照国家局和我省的规划，明确“一人一档”全民参保数据库基础信息、参保数据库参保信息和未参保信息，并通过新建应用功能模块满足对全民参保各种数据的管理和应用。</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人员摸底计划管理</w:t>
            </w:r>
          </w:p>
          <w:p>
            <w:pPr>
              <w:pStyle w:val="null3"/>
              <w:ind w:firstLine="360"/>
              <w:jc w:val="both"/>
            </w:pPr>
            <w:r>
              <w:rPr>
                <w:rFonts w:ascii="仿宋_GB2312" w:hAnsi="仿宋_GB2312" w:cs="仿宋_GB2312" w:eastAsia="仿宋_GB2312"/>
                <w:sz w:val="18"/>
                <w:color w:val="000000"/>
              </w:rPr>
              <w:t>针对采集和比对完成的未参保人员信息，进行未参保人员信息维护、下发、全民参保登记网格员采集信息审核、未参保人员核查情况上报等。</w:t>
            </w:r>
          </w:p>
          <w:p>
            <w:pPr>
              <w:pStyle w:val="null3"/>
              <w:ind w:firstLine="360"/>
              <w:jc w:val="both"/>
            </w:pPr>
            <w:r>
              <w:rPr>
                <w:rFonts w:ascii="仿宋_GB2312" w:hAnsi="仿宋_GB2312" w:cs="仿宋_GB2312" w:eastAsia="仿宋_GB2312"/>
                <w:sz w:val="18"/>
                <w:color w:val="000000"/>
              </w:rPr>
              <w:t>主要功能需要包括未参保人员信息维护、人员摸底计划生成、未参人员明细二次下发、人员摸底计划撤销、人员摸底计划变更、未参保人员核查情况上报、全民参保登记信息采集审核、档案注销审核等。</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人员档案管理</w:t>
            </w:r>
          </w:p>
          <w:p>
            <w:pPr>
              <w:pStyle w:val="null3"/>
              <w:ind w:firstLine="360"/>
              <w:jc w:val="both"/>
            </w:pPr>
            <w:r>
              <w:rPr>
                <w:rFonts w:ascii="仿宋_GB2312" w:hAnsi="仿宋_GB2312" w:cs="仿宋_GB2312" w:eastAsia="仿宋_GB2312"/>
                <w:sz w:val="18"/>
                <w:color w:val="000000"/>
              </w:rPr>
              <w:t>为加强对区域参保人员及未参保人群综合管控，需要对区域内人口进行档案建立，并通过人员档案信息的完善，促进全民参保落地。</w:t>
            </w:r>
          </w:p>
          <w:p>
            <w:pPr>
              <w:pStyle w:val="null3"/>
              <w:ind w:firstLine="360"/>
              <w:jc w:val="both"/>
            </w:pPr>
            <w:r>
              <w:rPr>
                <w:rFonts w:ascii="仿宋_GB2312" w:hAnsi="仿宋_GB2312" w:cs="仿宋_GB2312" w:eastAsia="仿宋_GB2312"/>
                <w:sz w:val="18"/>
                <w:color w:val="000000"/>
              </w:rPr>
              <w:t>主要功能需要包括人员信息登记、人员信息批量登记、人员信息反馈、人员信息批量反馈、国家未参保人员导入、人员信息合并等。</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医保经办区划管理</w:t>
            </w:r>
          </w:p>
          <w:p>
            <w:pPr>
              <w:pStyle w:val="null3"/>
              <w:ind w:firstLine="360"/>
              <w:jc w:val="both"/>
            </w:pPr>
            <w:r>
              <w:rPr>
                <w:rFonts w:ascii="仿宋_GB2312" w:hAnsi="仿宋_GB2312" w:cs="仿宋_GB2312" w:eastAsia="仿宋_GB2312"/>
                <w:sz w:val="18"/>
                <w:color w:val="000000"/>
              </w:rPr>
              <w:t>为加强医保经办区划对参保人群管理，需要增加医保经办管理模块，主要包括经办区域信息维护、管辖地权限申请、管辖地权限变更、管辖地权限审核等。</w:t>
            </w:r>
          </w:p>
          <w:p>
            <w:pPr>
              <w:pStyle w:val="null3"/>
              <w:ind w:firstLine="36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网格人员管理</w:t>
            </w:r>
          </w:p>
          <w:p>
            <w:pPr>
              <w:pStyle w:val="null3"/>
              <w:ind w:firstLine="360"/>
              <w:jc w:val="both"/>
            </w:pPr>
            <w:r>
              <w:rPr>
                <w:rFonts w:ascii="仿宋_GB2312" w:hAnsi="仿宋_GB2312" w:cs="仿宋_GB2312" w:eastAsia="仿宋_GB2312"/>
                <w:sz w:val="18"/>
                <w:color w:val="000000"/>
              </w:rPr>
              <w:t>为了对辖区内的未参保人员进行人员核实及信息采集等业务工作，各统筹区区县级医保经办管理部门对辖区内的街道、乡镇、社区、行政村等设置网格化管理员。</w:t>
            </w:r>
          </w:p>
          <w:p>
            <w:pPr>
              <w:pStyle w:val="null3"/>
              <w:ind w:firstLine="360"/>
              <w:jc w:val="both"/>
            </w:pPr>
            <w:r>
              <w:rPr>
                <w:rFonts w:ascii="仿宋_GB2312" w:hAnsi="仿宋_GB2312" w:cs="仿宋_GB2312" w:eastAsia="仿宋_GB2312"/>
                <w:sz w:val="18"/>
                <w:color w:val="000000"/>
              </w:rPr>
              <w:t>主要的功能需要包括：网格人员新增、网格人员修改、网格人员删除、网格人员密码修改、网格人员密码重置、网格人员管理范围维护、资源授权等。</w:t>
            </w:r>
          </w:p>
          <w:p>
            <w:pPr>
              <w:pStyle w:val="null3"/>
              <w:ind w:firstLine="36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短信推送管理</w:t>
            </w:r>
          </w:p>
          <w:p>
            <w:pPr>
              <w:pStyle w:val="null3"/>
              <w:ind w:firstLine="360"/>
              <w:jc w:val="both"/>
            </w:pPr>
            <w:r>
              <w:rPr>
                <w:rFonts w:ascii="仿宋_GB2312" w:hAnsi="仿宋_GB2312" w:cs="仿宋_GB2312" w:eastAsia="仿宋_GB2312"/>
                <w:sz w:val="18"/>
                <w:color w:val="000000"/>
              </w:rPr>
              <w:t>需要针对筛查出未参保人员等信息后，以短信的形式通知未参保人进行按时参保，并将参保的相关政策及待遇情况简要告知，引导未参保人尽快参保。</w:t>
            </w:r>
          </w:p>
          <w:p>
            <w:pPr>
              <w:pStyle w:val="null3"/>
              <w:ind w:firstLine="360"/>
              <w:jc w:val="both"/>
            </w:pPr>
            <w:r>
              <w:rPr>
                <w:rFonts w:ascii="仿宋_GB2312" w:hAnsi="仿宋_GB2312" w:cs="仿宋_GB2312" w:eastAsia="仿宋_GB2312"/>
                <w:sz w:val="18"/>
                <w:color w:val="000000"/>
              </w:rPr>
              <w:t>主要的功能需要包括短信模板维护、短信批量推送、配置定期短信批量推送任务、短信推送记录查询等。</w:t>
            </w:r>
          </w:p>
          <w:p>
            <w:pPr>
              <w:pStyle w:val="null3"/>
              <w:ind w:firstLine="36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网格化业务管理</w:t>
            </w:r>
          </w:p>
          <w:p>
            <w:pPr>
              <w:pStyle w:val="null3"/>
              <w:ind w:firstLine="360"/>
              <w:jc w:val="both"/>
            </w:pPr>
            <w:r>
              <w:rPr>
                <w:rFonts w:ascii="仿宋_GB2312" w:hAnsi="仿宋_GB2312" w:cs="仿宋_GB2312" w:eastAsia="仿宋_GB2312"/>
                <w:sz w:val="18"/>
                <w:color w:val="000000"/>
              </w:rPr>
              <w:t>主要是各统筹区通过网格员完成对辖区内的未参保人员进行实地人员核实及信息采集等业务工作，分为核心</w:t>
            </w:r>
            <w:r>
              <w:rPr>
                <w:rFonts w:ascii="仿宋_GB2312" w:hAnsi="仿宋_GB2312" w:cs="仿宋_GB2312" w:eastAsia="仿宋_GB2312"/>
                <w:sz w:val="18"/>
                <w:color w:val="000000"/>
              </w:rPr>
              <w:t>PC端及移动端两部分。其中，</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PC端）的功能需要包括：权限管理、网格人员管理、用户管理、人员档案管理、参保登记业务、综合查询、汇总统计等。</w:t>
            </w:r>
          </w:p>
          <w:p>
            <w:pPr>
              <w:pStyle w:val="null3"/>
              <w:ind w:firstLine="360"/>
              <w:jc w:val="both"/>
            </w:pPr>
            <w:r>
              <w:rPr>
                <w:rFonts w:ascii="仿宋_GB2312" w:hAnsi="仿宋_GB2312" w:cs="仿宋_GB2312" w:eastAsia="仿宋_GB2312"/>
                <w:sz w:val="18"/>
                <w:color w:val="000000"/>
              </w:rPr>
              <w:t>（移动端）的功能需要包括：用户管理、人员档案管理、参保登记业务、综合查询、汇总统计等。</w:t>
            </w:r>
          </w:p>
          <w:p>
            <w:pPr>
              <w:pStyle w:val="null3"/>
              <w:ind w:firstLine="36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动态监测及分析</w:t>
            </w:r>
          </w:p>
          <w:p>
            <w:pPr>
              <w:pStyle w:val="null3"/>
              <w:ind w:firstLine="360"/>
              <w:jc w:val="both"/>
            </w:pPr>
            <w:r>
              <w:rPr>
                <w:rFonts w:ascii="仿宋_GB2312" w:hAnsi="仿宋_GB2312" w:cs="仿宋_GB2312" w:eastAsia="仿宋_GB2312"/>
                <w:sz w:val="18"/>
                <w:color w:val="000000"/>
              </w:rPr>
              <w:t>通过监测大屏及数据统计分析等手段，对全民参保一人一档、一户一档、一村一档、一校一档等不同层级，以及属地、人群、年龄、性别等各种维度，以数据及图表等多种形式进行展现，实现全省医保全民参保情况的实时监测及分析。</w:t>
            </w:r>
          </w:p>
          <w:p>
            <w:pPr>
              <w:pStyle w:val="null3"/>
              <w:ind w:firstLine="360"/>
              <w:jc w:val="both"/>
            </w:pPr>
            <w:r>
              <w:rPr>
                <w:rFonts w:ascii="仿宋_GB2312" w:hAnsi="仿宋_GB2312" w:cs="仿宋_GB2312" w:eastAsia="仿宋_GB2312"/>
                <w:sz w:val="18"/>
                <w:color w:val="000000"/>
              </w:rPr>
              <w:t>主要的功能需要包括：各年龄段的参保情况监测、当地参保人员结构监测、当地参保人员性别监测、职工居民医保人员结构监测、本周新增参保情况、未参保原因监测、参保发展历程监测、未参保台账统计分析、动员情况统计分析、参保人群统计分析、已参保未缴费统计分析、未参保年龄统计分析、未参保户籍统计分析、未参保性别统计分析、参保时间序列统计分析、</w:t>
            </w:r>
            <w:r>
              <w:rPr>
                <w:rFonts w:ascii="仿宋_GB2312" w:hAnsi="仿宋_GB2312" w:cs="仿宋_GB2312" w:eastAsia="仿宋_GB2312"/>
                <w:sz w:val="18"/>
                <w:color w:val="000000"/>
              </w:rPr>
              <w:t>“一户一档”参保统计分析、“一村一档”参保统计分析、“一企一档”参保统计分析、“一校一档”参保统计分析、纳税未参保人员统计分析、企业参保统计分析、享受全额资助未参保人员分析、人社参保医保未参保分析、未参保原因标识工作绩效评估分析等。</w:t>
            </w:r>
          </w:p>
          <w:p>
            <w:pPr>
              <w:pStyle w:val="null3"/>
              <w:ind w:firstLine="360"/>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综合查询及统计表格</w:t>
            </w:r>
          </w:p>
          <w:p>
            <w:pPr>
              <w:pStyle w:val="null3"/>
              <w:ind w:firstLine="360"/>
              <w:jc w:val="both"/>
            </w:pPr>
            <w:r>
              <w:rPr>
                <w:rFonts w:ascii="仿宋_GB2312" w:hAnsi="仿宋_GB2312" w:cs="仿宋_GB2312" w:eastAsia="仿宋_GB2312"/>
                <w:sz w:val="18"/>
                <w:color w:val="000000"/>
              </w:rPr>
              <w:t>针对全省一人一档全民参保情况，为各级医保管理部门开发相应的业务查询模块功能，并提供不同辖区层级的未参保统计表格。</w:t>
            </w:r>
          </w:p>
          <w:p>
            <w:pPr>
              <w:pStyle w:val="null3"/>
              <w:ind w:firstLine="360"/>
              <w:jc w:val="both"/>
            </w:pPr>
            <w:r>
              <w:rPr>
                <w:rFonts w:ascii="仿宋_GB2312" w:hAnsi="仿宋_GB2312" w:cs="仿宋_GB2312" w:eastAsia="仿宋_GB2312"/>
                <w:sz w:val="18"/>
                <w:color w:val="000000"/>
              </w:rPr>
              <w:t>主要的功能要包括：一村（社区）一档、一企一档、一户一档、一校一档、未参保人员明细查询、个人信息综合查询、人员汇总查询、未参保人员信息采集结果查询、参保动员情况查询、网格人员查询、城乡居民已参保未缴费人员明细信息查询、城乡居民缴费人员明细查询、城乡居民缴费情况汇总统计、医疗救助人员参保信息查询、村</w:t>
            </w:r>
            <w:r>
              <w:rPr>
                <w:rFonts w:ascii="仿宋_GB2312" w:hAnsi="仿宋_GB2312" w:cs="仿宋_GB2312" w:eastAsia="仿宋_GB2312"/>
                <w:sz w:val="18"/>
                <w:color w:val="000000"/>
              </w:rPr>
              <w:t>(社区)级汇总管理台账、乡镇(街道)级汇总管理台账、县(区)级汇总管理台账、市级汇总管理台账、省级汇总管理台账、未参保人员动员统计台账、精准扩面汇总报表、参保情况汇总、户籍信息汇总、身份信息汇总、基础信息汇总、已参保未缴费人员统计台账等。</w:t>
            </w:r>
          </w:p>
          <w:p>
            <w:pPr>
              <w:pStyle w:val="null3"/>
              <w:ind w:firstLine="360"/>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系统管理</w:t>
            </w:r>
          </w:p>
          <w:p>
            <w:pPr>
              <w:pStyle w:val="null3"/>
              <w:ind w:firstLine="360"/>
              <w:jc w:val="both"/>
            </w:pPr>
            <w:r>
              <w:rPr>
                <w:rFonts w:ascii="仿宋_GB2312" w:hAnsi="仿宋_GB2312" w:cs="仿宋_GB2312" w:eastAsia="仿宋_GB2312"/>
                <w:sz w:val="18"/>
                <w:color w:val="000000"/>
              </w:rPr>
              <w:t>本次系统建设需要与多个部门进行数据的采集及比对分析，因此需要加强系统安全管理及数据同步管理等。确保人员参保变更后的信息同步，并加强对交互数据的敏感信息脱敏管理等。</w:t>
            </w:r>
          </w:p>
          <w:p>
            <w:pPr>
              <w:pStyle w:val="null3"/>
              <w:numPr>
                <w:ilvl w:val="0"/>
                <w:numId w:val="2"/>
              </w:numPr>
            </w:pPr>
            <w:r>
              <w:rPr>
                <w:rFonts w:ascii="仿宋_GB2312" w:hAnsi="仿宋_GB2312" w:cs="仿宋_GB2312" w:eastAsia="仿宋_GB2312"/>
              </w:rPr>
              <w:t>1.3.2</w:t>
            </w:r>
            <w:r>
              <w:rPr>
                <w:rFonts w:ascii="仿宋_GB2312" w:hAnsi="仿宋_GB2312" w:cs="仿宋_GB2312" w:eastAsia="仿宋_GB2312"/>
                <w:sz w:val="21"/>
                <w:color w:val="000000"/>
              </w:rPr>
              <w:t xml:space="preserve"> </w:t>
            </w:r>
            <w:r>
              <w:rPr>
                <w:rFonts w:ascii="仿宋_GB2312" w:hAnsi="仿宋_GB2312" w:cs="仿宋_GB2312" w:eastAsia="仿宋_GB2312"/>
                <w:sz w:val="18"/>
                <w:b/>
                <w:color w:val="000000"/>
              </w:rPr>
              <w:t>参保登记及公服接口模块要求</w:t>
            </w:r>
          </w:p>
          <w:p>
            <w:pPr>
              <w:pStyle w:val="null3"/>
              <w:ind w:firstLine="360"/>
              <w:jc w:val="both"/>
            </w:pPr>
            <w:r>
              <w:rPr>
                <w:rFonts w:ascii="仿宋_GB2312" w:hAnsi="仿宋_GB2312" w:cs="仿宋_GB2312" w:eastAsia="仿宋_GB2312"/>
                <w:sz w:val="18"/>
                <w:color w:val="000000"/>
              </w:rPr>
              <w:t>本次项目医保业务功能升级改造，主要是针对一人一档全民参保数据经过采集、比对后，对全省人员基本信息进行了优化完善，因此陕西省医疗保障信息平台核心业务系统参保登记相关功能也需要进行升级改造，满足人员相关基础信息的录入和维护，以保证核心生产库数据与全民参保数据库中的人员数据的一致性，完善核心生产库人员基本信息。</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参保登记管理模块升级改造</w:t>
            </w:r>
          </w:p>
          <w:p>
            <w:pPr>
              <w:pStyle w:val="null3"/>
              <w:ind w:firstLine="360"/>
              <w:jc w:val="both"/>
            </w:pPr>
            <w:r>
              <w:rPr>
                <w:rFonts w:ascii="仿宋_GB2312" w:hAnsi="仿宋_GB2312" w:cs="仿宋_GB2312" w:eastAsia="仿宋_GB2312"/>
                <w:sz w:val="18"/>
                <w:color w:val="000000"/>
              </w:rPr>
              <w:t>针对医保城镇职工、城乡居民、灵活就业人员等人群的参保登记及信息维护等功能进行升级改造，保证核心生产库数据与全民参保数据库中的人员数据的一致性，完善核心生产库人员基本信息，满足一人一档全民参保对人员基础数据信息的要求。</w:t>
            </w:r>
          </w:p>
          <w:p>
            <w:pPr>
              <w:pStyle w:val="null3"/>
              <w:ind w:firstLine="360"/>
              <w:jc w:val="both"/>
            </w:pPr>
            <w:r>
              <w:rPr>
                <w:rFonts w:ascii="仿宋_GB2312" w:hAnsi="仿宋_GB2312" w:cs="仿宋_GB2312" w:eastAsia="仿宋_GB2312"/>
                <w:sz w:val="18"/>
                <w:color w:val="000000"/>
              </w:rPr>
              <w:t>主要功能需要包括：居民参保登记、居民参保维护、居民批量参保、职工参保登记、职工一般信息维护、职工批量参保、大学生参保登记、学生参保登记维护、大学生批量参保、公务员参保登记、灵活就业参保登记、城乡居民缴费人员明细查询、城乡居民缴费情况汇总统计、医疗救助人员参保信息查询、西安特殊单位职工参保登记、一人一档全民参保信息批量维护等。</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公共服务接口升级改造</w:t>
            </w:r>
          </w:p>
          <w:p>
            <w:pPr>
              <w:pStyle w:val="null3"/>
              <w:ind w:firstLine="360"/>
              <w:jc w:val="both"/>
            </w:pPr>
            <w:r>
              <w:rPr>
                <w:rFonts w:ascii="仿宋_GB2312" w:hAnsi="仿宋_GB2312" w:cs="仿宋_GB2312" w:eastAsia="仿宋_GB2312"/>
                <w:sz w:val="18"/>
                <w:color w:val="000000"/>
              </w:rPr>
              <w:t>针对医保公共服务参保登记相关业务服务，升级改造核心业务相关被调用接口，满足一人一档全民参保对数据指标信息的要求。</w:t>
            </w:r>
          </w:p>
          <w:p>
            <w:pPr>
              <w:pStyle w:val="null3"/>
              <w:ind w:firstLine="360"/>
              <w:jc w:val="both"/>
            </w:pPr>
            <w:r>
              <w:rPr>
                <w:rFonts w:ascii="仿宋_GB2312" w:hAnsi="仿宋_GB2312" w:cs="仿宋_GB2312" w:eastAsia="仿宋_GB2312"/>
                <w:sz w:val="18"/>
                <w:color w:val="000000"/>
              </w:rPr>
              <w:t>主要功能需要包括：居民参保登记接口、居民维护功能接口、职工参保登记接口、职工维护功能接口、大学生参保登记接口、大学生维护功能接口等接口，按照项目建设要求进行接口功能完善及后期调试工作。</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外部接口服务</w:t>
            </w:r>
          </w:p>
          <w:p>
            <w:pPr>
              <w:pStyle w:val="null3"/>
              <w:ind w:firstLine="360"/>
              <w:jc w:val="both"/>
            </w:pPr>
            <w:r>
              <w:rPr>
                <w:rFonts w:ascii="仿宋_GB2312" w:hAnsi="仿宋_GB2312" w:cs="仿宋_GB2312" w:eastAsia="仿宋_GB2312"/>
                <w:sz w:val="18"/>
                <w:color w:val="000000"/>
              </w:rPr>
              <w:t>根据国家医保局相关一人一档工作要求，需要在现有已经建设的接口基础上新增外部交互接口，用于交互外部系统的数据，加强数据交互的管控。主要包括管辖地权限申请、管辖地权限变更、人员信息登记、人员信息反馈、人员信息查询、参保情况汇总等接口。</w:t>
            </w:r>
          </w:p>
          <w:p>
            <w:pPr>
              <w:pStyle w:val="null3"/>
              <w:numPr>
                <w:ilvl w:val="0"/>
                <w:numId w:val="2"/>
              </w:numPr>
            </w:pPr>
            <w:r>
              <w:rPr>
                <w:rFonts w:ascii="仿宋_GB2312" w:hAnsi="仿宋_GB2312" w:cs="仿宋_GB2312" w:eastAsia="仿宋_GB2312"/>
                <w:sz w:val="18"/>
                <w:b/>
                <w:color w:val="000000"/>
              </w:rPr>
              <w:t>1.3.3线上年终结算清算、即时结算要求</w:t>
            </w:r>
          </w:p>
          <w:p>
            <w:pPr>
              <w:pStyle w:val="null3"/>
              <w:numPr>
                <w:ilvl w:val="0"/>
                <w:numId w:val="2"/>
              </w:numPr>
            </w:pPr>
            <w:r>
              <w:rPr>
                <w:rFonts w:ascii="仿宋_GB2312" w:hAnsi="仿宋_GB2312" w:cs="仿宋_GB2312" w:eastAsia="仿宋_GB2312"/>
              </w:rPr>
              <w:t>1.3.3.1</w:t>
            </w:r>
            <w:r>
              <w:rPr>
                <w:rFonts w:ascii="仿宋_GB2312" w:hAnsi="仿宋_GB2312" w:cs="仿宋_GB2312" w:eastAsia="仿宋_GB2312"/>
                <w:sz w:val="18"/>
                <w:b/>
                <w:color w:val="000000"/>
              </w:rPr>
              <w:t>线上年终结算清算要求</w:t>
            </w:r>
          </w:p>
          <w:p>
            <w:pPr>
              <w:pStyle w:val="null3"/>
              <w:ind w:firstLine="360"/>
              <w:jc w:val="both"/>
            </w:pPr>
            <w:r>
              <w:rPr>
                <w:rFonts w:ascii="仿宋_GB2312" w:hAnsi="仿宋_GB2312" w:cs="仿宋_GB2312" w:eastAsia="仿宋_GB2312"/>
                <w:sz w:val="18"/>
                <w:color w:val="000000"/>
              </w:rPr>
              <w:t>在现有医保业务相关功能基础上，扩展医保基金线上年度结算清算管理功能，实现全省各统筹区定点医药机构的线上年终清算工作，主要需要完成的清算分类包括定额年终清算（职工统筹年终清算、居民统筹年终清算）、</w:t>
            </w:r>
            <w:r>
              <w:rPr>
                <w:rFonts w:ascii="仿宋_GB2312" w:hAnsi="仿宋_GB2312" w:cs="仿宋_GB2312" w:eastAsia="仿宋_GB2312"/>
                <w:sz w:val="18"/>
                <w:color w:val="000000"/>
              </w:rPr>
              <w:t>DRG/DIP职工年终清算、DRG/DIP居民年终清算、大学生门诊统筹年终清算、清算管理、异地职工住院年终清算、异地居民住院年终清算、异地职工门诊年终清算、异地居民门诊年终清算、职工家庭病床年终清算、居民家庭病床年终清算等；</w:t>
            </w:r>
          </w:p>
          <w:p>
            <w:pPr>
              <w:pStyle w:val="null3"/>
              <w:ind w:firstLine="360"/>
              <w:jc w:val="both"/>
            </w:pPr>
            <w:r>
              <w:rPr>
                <w:rFonts w:ascii="仿宋_GB2312" w:hAnsi="仿宋_GB2312" w:cs="仿宋_GB2312" w:eastAsia="仿宋_GB2312"/>
                <w:sz w:val="18"/>
                <w:color w:val="000000"/>
              </w:rPr>
              <w:t>本次线上年终结算清算相关功能需要包含：年终清算领导驾驶舱、清算政策参数管理、年终清算数据管理、制作年终清算支付表、复核年终清算医疗费用、年终清算考核管理、年终清算补拨补扣管理、年终清算机构申诉管理、年终清算医疗费用审签、年终清算支付管理、业财拨付管理、全年清算医疗费用分析、年终模拟清算医疗费用、医疗机构结算数据管理、院端应用、年终清算管理、模拟测算、接口管理等。其中详细的功能要求如下：</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年终清算领导驾驶舱的功能需要包括：基金总额分析、统筹区完成进度分析、年终基金清算过程展示、统筹区考评结果展示、机构考评排名展示、年终清算结果展示、年终清算支付结果展示等；</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清算政策参数管理的功能需要包括：门诊清算政策参数维护管理、医共体清算政策参数维护管理、家庭医生签约清算政策参数维护管理、住院清算政策参数维护管理、门特门慢清算政策参数维护管理、生育清算政策参数维护管理等；</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清算政策参数审批管理</w:t>
            </w:r>
            <w:r>
              <w:rPr>
                <w:rFonts w:ascii="仿宋_GB2312" w:hAnsi="仿宋_GB2312" w:cs="仿宋_GB2312" w:eastAsia="仿宋_GB2312"/>
                <w:sz w:val="18"/>
                <w:color w:val="000000"/>
              </w:rPr>
              <w:t>功能</w:t>
            </w:r>
            <w:r>
              <w:rPr>
                <w:rFonts w:ascii="仿宋_GB2312" w:hAnsi="仿宋_GB2312" w:cs="仿宋_GB2312" w:eastAsia="仿宋_GB2312"/>
                <w:sz w:val="18"/>
                <w:color w:val="000000"/>
              </w:rPr>
              <w:t>需要包括：门诊清算政策参数审批管理、医共体清算政策参数审批管理、家庭医生签约清算政策参数审批管理、住院清算政策参数审批管理、门特门慢清算政策参数审批管理、生育清算政策参数管理等；</w:t>
            </w:r>
          </w:p>
          <w:p>
            <w:pPr>
              <w:pStyle w:val="null3"/>
              <w:ind w:firstLine="36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年终清算数据管理的功能需要包括：门诊年终清算数据管理、医共体年终清算数据管理、家庭医生签约年终清算数据管理、门特门慢年终清算数据管理、住院年终清算数据管理、生育年终清算数据管理等；</w:t>
            </w:r>
          </w:p>
          <w:p>
            <w:pPr>
              <w:pStyle w:val="null3"/>
              <w:ind w:firstLine="36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制作年终清算支付表</w:t>
            </w:r>
            <w:r>
              <w:rPr>
                <w:rFonts w:ascii="仿宋_GB2312" w:hAnsi="仿宋_GB2312" w:cs="仿宋_GB2312" w:eastAsia="仿宋_GB2312"/>
                <w:sz w:val="18"/>
                <w:color w:val="000000"/>
              </w:rPr>
              <w:t>功能</w:t>
            </w:r>
            <w:r>
              <w:rPr>
                <w:rFonts w:ascii="仿宋_GB2312" w:hAnsi="仿宋_GB2312" w:cs="仿宋_GB2312" w:eastAsia="仿宋_GB2312"/>
                <w:sz w:val="18"/>
                <w:color w:val="000000"/>
              </w:rPr>
              <w:t>需要包括：门诊年终清算支付表</w:t>
            </w:r>
            <w:r>
              <w:rPr>
                <w:rFonts w:ascii="仿宋_GB2312" w:hAnsi="仿宋_GB2312" w:cs="仿宋_GB2312" w:eastAsia="仿宋_GB2312"/>
                <w:sz w:val="18"/>
                <w:color w:val="000000"/>
              </w:rPr>
              <w:t>、</w:t>
            </w:r>
            <w:r>
              <w:rPr>
                <w:rFonts w:ascii="仿宋_GB2312" w:hAnsi="仿宋_GB2312" w:cs="仿宋_GB2312" w:eastAsia="仿宋_GB2312"/>
                <w:sz w:val="18"/>
                <w:color w:val="000000"/>
              </w:rPr>
              <w:t>医共体年终清算支付表</w:t>
            </w:r>
            <w:r>
              <w:rPr>
                <w:rFonts w:ascii="仿宋_GB2312" w:hAnsi="仿宋_GB2312" w:cs="仿宋_GB2312" w:eastAsia="仿宋_GB2312"/>
                <w:sz w:val="18"/>
                <w:color w:val="000000"/>
              </w:rPr>
              <w:t>、</w:t>
            </w:r>
            <w:r>
              <w:rPr>
                <w:rFonts w:ascii="仿宋_GB2312" w:hAnsi="仿宋_GB2312" w:cs="仿宋_GB2312" w:eastAsia="仿宋_GB2312"/>
                <w:sz w:val="18"/>
                <w:color w:val="000000"/>
              </w:rPr>
              <w:t>家庭医生签约年终清算支付表</w:t>
            </w:r>
            <w:r>
              <w:rPr>
                <w:rFonts w:ascii="仿宋_GB2312" w:hAnsi="仿宋_GB2312" w:cs="仿宋_GB2312" w:eastAsia="仿宋_GB2312"/>
                <w:sz w:val="18"/>
                <w:color w:val="000000"/>
              </w:rPr>
              <w:t>、</w:t>
            </w:r>
            <w:r>
              <w:rPr>
                <w:rFonts w:ascii="仿宋_GB2312" w:hAnsi="仿宋_GB2312" w:cs="仿宋_GB2312" w:eastAsia="仿宋_GB2312"/>
                <w:sz w:val="18"/>
                <w:color w:val="000000"/>
              </w:rPr>
              <w:t>门特门慢年终清算支付表</w:t>
            </w:r>
            <w:r>
              <w:rPr>
                <w:rFonts w:ascii="仿宋_GB2312" w:hAnsi="仿宋_GB2312" w:cs="仿宋_GB2312" w:eastAsia="仿宋_GB2312"/>
                <w:sz w:val="18"/>
                <w:color w:val="000000"/>
              </w:rPr>
              <w:t>、</w:t>
            </w:r>
            <w:r>
              <w:rPr>
                <w:rFonts w:ascii="仿宋_GB2312" w:hAnsi="仿宋_GB2312" w:cs="仿宋_GB2312" w:eastAsia="仿宋_GB2312"/>
                <w:sz w:val="18"/>
                <w:color w:val="000000"/>
              </w:rPr>
              <w:t>住院年终清算支付表</w:t>
            </w:r>
            <w:r>
              <w:rPr>
                <w:rFonts w:ascii="仿宋_GB2312" w:hAnsi="仿宋_GB2312" w:cs="仿宋_GB2312" w:eastAsia="仿宋_GB2312"/>
                <w:sz w:val="18"/>
                <w:color w:val="000000"/>
              </w:rPr>
              <w:t>、</w:t>
            </w:r>
            <w:r>
              <w:rPr>
                <w:rFonts w:ascii="仿宋_GB2312" w:hAnsi="仿宋_GB2312" w:cs="仿宋_GB2312" w:eastAsia="仿宋_GB2312"/>
                <w:sz w:val="18"/>
                <w:color w:val="000000"/>
              </w:rPr>
              <w:t>生育年终清算支付表</w:t>
            </w:r>
            <w:r>
              <w:rPr>
                <w:rFonts w:ascii="仿宋_GB2312" w:hAnsi="仿宋_GB2312" w:cs="仿宋_GB2312" w:eastAsia="仿宋_GB2312"/>
                <w:sz w:val="18"/>
                <w:color w:val="000000"/>
              </w:rPr>
              <w:t>等；</w:t>
            </w:r>
          </w:p>
          <w:p>
            <w:pPr>
              <w:pStyle w:val="null3"/>
              <w:ind w:firstLine="36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复核年终清算医疗费用的功能需要包括：门诊年终清算医疗费用、医共体年终清算医疗费用、家庭医生签约年终清算医疗费用、门特门慢年终清算医疗费用、住院年终清算医疗费用、生育年终清算医疗费用等；</w:t>
            </w:r>
          </w:p>
          <w:p>
            <w:pPr>
              <w:pStyle w:val="null3"/>
              <w:ind w:firstLine="36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年终清算考核管理的功能需要包括：年终清算考核指标管理、年终清算考核指标复审、年终清算考核结果管理、考核结果复审管理、考核扣款规则管理、考核扣款规则复审、考核扣款结果管理、考核扣款结果复审、考核金维护、机构考评排名、机构考评结果综合分析等；</w:t>
            </w:r>
          </w:p>
          <w:p>
            <w:pPr>
              <w:pStyle w:val="null3"/>
              <w:ind w:firstLine="360"/>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年终清算补拨补扣管理的功能需要包括：清算补拨补扣信息、零报数据维护；</w:t>
            </w:r>
          </w:p>
          <w:p>
            <w:pPr>
              <w:pStyle w:val="null3"/>
              <w:ind w:firstLine="360"/>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年终清算机构申诉管理的功能需要包括：清算结果下发管理、清算结果机构申诉管理、清算结果回执管理；</w:t>
            </w:r>
          </w:p>
          <w:p>
            <w:pPr>
              <w:pStyle w:val="null3"/>
              <w:ind w:firstLine="360"/>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年终清算医疗费用审签的功能需要包括：门诊年终清算医疗费用审签、医共体年终清算医疗费用审签、家庭医生签约年终清算医疗费用审签、门特门慢年终清算医疗费用审签、住院年终清算医疗费用审签、生育年终清算医疗费用审签等；</w:t>
            </w:r>
          </w:p>
          <w:p>
            <w:pPr>
              <w:pStyle w:val="null3"/>
              <w:ind w:firstLine="360"/>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年终清算支付管理的功能需要包括：年终清算支付表制作、年终清算支付表审核、年终清算医疗费汇总、终清算二次汇总、年终清算医疗费用二次汇总审签等；基于现有医保业务相关功能，需要结合已经建设的相关功能及流程要求，完善年终清算的相关支付功能；</w:t>
            </w:r>
          </w:p>
          <w:p>
            <w:pPr>
              <w:pStyle w:val="null3"/>
              <w:ind w:firstLine="360"/>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业财拨付管理的功能需要包括：支付计划、资金拨付，在已经建设的通路上，对现有功能进一步完善，支撑年终清算工作完成；</w:t>
            </w:r>
          </w:p>
          <w:p>
            <w:pPr>
              <w:pStyle w:val="null3"/>
              <w:ind w:firstLine="360"/>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全年清算医疗费用分析的功能需要包括：全年清算医疗费用分析，需要包括按项目结算、按</w:t>
            </w:r>
            <w:r>
              <w:rPr>
                <w:rFonts w:ascii="仿宋_GB2312" w:hAnsi="仿宋_GB2312" w:cs="仿宋_GB2312" w:eastAsia="仿宋_GB2312"/>
                <w:sz w:val="18"/>
                <w:color w:val="000000"/>
              </w:rPr>
              <w:t>DRG/DIP结算及其他多种结算方式清算数据的集合进行综合的数据分析；</w:t>
            </w:r>
          </w:p>
          <w:p>
            <w:pPr>
              <w:pStyle w:val="null3"/>
              <w:ind w:firstLine="360"/>
              <w:jc w:val="both"/>
            </w:pPr>
            <w:r>
              <w:rPr>
                <w:rFonts w:ascii="仿宋_GB2312" w:hAnsi="仿宋_GB2312" w:cs="仿宋_GB2312" w:eastAsia="仿宋_GB2312"/>
                <w:sz w:val="18"/>
                <w:color w:val="000000"/>
              </w:rPr>
              <w:t>14.</w:t>
            </w:r>
            <w:r>
              <w:rPr>
                <w:rFonts w:ascii="仿宋_GB2312" w:hAnsi="仿宋_GB2312" w:cs="仿宋_GB2312" w:eastAsia="仿宋_GB2312"/>
                <w:sz w:val="18"/>
                <w:color w:val="000000"/>
              </w:rPr>
              <w:t>年终模拟清算医疗费用的功能需要包括：年终模拟清算数据管理；</w:t>
            </w:r>
          </w:p>
          <w:p>
            <w:pPr>
              <w:pStyle w:val="null3"/>
              <w:ind w:firstLine="360"/>
              <w:jc w:val="both"/>
            </w:pPr>
            <w:r>
              <w:rPr>
                <w:rFonts w:ascii="仿宋_GB2312" w:hAnsi="仿宋_GB2312" w:cs="仿宋_GB2312" w:eastAsia="仿宋_GB2312"/>
                <w:sz w:val="18"/>
                <w:color w:val="000000"/>
              </w:rPr>
              <w:t>15.</w:t>
            </w:r>
            <w:r>
              <w:rPr>
                <w:rFonts w:ascii="仿宋_GB2312" w:hAnsi="仿宋_GB2312" w:cs="仿宋_GB2312" w:eastAsia="仿宋_GB2312"/>
                <w:sz w:val="18"/>
                <w:color w:val="000000"/>
              </w:rPr>
              <w:t>医疗机构结算数据管理的功能需要包括：年终清算数据建模管理、年终清算数据采集规则管理等，对已经建设的相关功能进行完善，支撑年终清算工作完成；</w:t>
            </w:r>
          </w:p>
          <w:p>
            <w:pPr>
              <w:pStyle w:val="null3"/>
              <w:ind w:firstLine="360"/>
              <w:jc w:val="both"/>
            </w:pPr>
            <w:r>
              <w:rPr>
                <w:rFonts w:ascii="仿宋_GB2312" w:hAnsi="仿宋_GB2312" w:cs="仿宋_GB2312" w:eastAsia="仿宋_GB2312"/>
                <w:sz w:val="18"/>
                <w:color w:val="000000"/>
              </w:rPr>
              <w:t>16.</w:t>
            </w:r>
            <w:r>
              <w:rPr>
                <w:rFonts w:ascii="仿宋_GB2312" w:hAnsi="仿宋_GB2312" w:cs="仿宋_GB2312" w:eastAsia="仿宋_GB2312"/>
                <w:sz w:val="18"/>
                <w:color w:val="000000"/>
              </w:rPr>
              <w:t>院端应用的功能需要包括：年终清算结果、年终清算支付结果、机构总额、历年清算结果分析、机构考评结果、机构考评排名情况、机构改进建议、门诊年终清算医疗费用审签、医共体年终清算医疗费用审签、住院年终清算医疗费用审签、中医优势病例申报等；</w:t>
            </w:r>
          </w:p>
          <w:p>
            <w:pPr>
              <w:pStyle w:val="null3"/>
              <w:ind w:firstLine="360"/>
              <w:jc w:val="both"/>
            </w:pPr>
            <w:r>
              <w:rPr>
                <w:rFonts w:ascii="仿宋_GB2312" w:hAnsi="仿宋_GB2312" w:cs="仿宋_GB2312" w:eastAsia="仿宋_GB2312"/>
                <w:sz w:val="18"/>
                <w:color w:val="000000"/>
              </w:rPr>
              <w:t>17.</w:t>
            </w:r>
            <w:r>
              <w:rPr>
                <w:rFonts w:ascii="仿宋_GB2312" w:hAnsi="仿宋_GB2312" w:cs="仿宋_GB2312" w:eastAsia="仿宋_GB2312"/>
                <w:sz w:val="18"/>
                <w:color w:val="000000"/>
              </w:rPr>
              <w:t>年终清算管理功能需要包括：参数配置管理（政策清单管理、住院清算管理、生育清算管理、门诊清算管理、医共体清算管理、算式管理、费率调整、点值调整、各分段返还比例设定、超值分担算法管理、按项目付费占比维护（西安）、</w:t>
            </w:r>
            <w:r>
              <w:rPr>
                <w:rFonts w:ascii="仿宋_GB2312" w:hAnsi="仿宋_GB2312" w:cs="仿宋_GB2312" w:eastAsia="仿宋_GB2312"/>
                <w:sz w:val="18"/>
                <w:color w:val="000000"/>
              </w:rPr>
              <w:t>DRG中医特色病种加成系数管理、DRG专科病种加成系数管理、DIP中医特色病种加成比例管理、DIP专科病种加成比例管理、DRG年度结算总金额管理、DIP年度总金额管理、DRG中治率加成系数管理、DIP中治率加成比例管理、中治率中成药范围管理、中治率中医操作范围管理、中医优势病种审核管理、结核病、精神病和传染病专科医院维护）、算法管理（12个统筹区算法管理）、年终清算人工扣款管理、机构考评管理等；</w:t>
            </w:r>
          </w:p>
          <w:p>
            <w:pPr>
              <w:pStyle w:val="null3"/>
              <w:ind w:firstLine="360"/>
              <w:jc w:val="both"/>
            </w:pPr>
            <w:r>
              <w:rPr>
                <w:rFonts w:ascii="仿宋_GB2312" w:hAnsi="仿宋_GB2312" w:cs="仿宋_GB2312" w:eastAsia="仿宋_GB2312"/>
                <w:sz w:val="18"/>
                <w:color w:val="000000"/>
              </w:rPr>
              <w:t>18.</w:t>
            </w:r>
            <w:r>
              <w:rPr>
                <w:rFonts w:ascii="仿宋_GB2312" w:hAnsi="仿宋_GB2312" w:cs="仿宋_GB2312" w:eastAsia="仿宋_GB2312"/>
                <w:sz w:val="18"/>
                <w:color w:val="000000"/>
              </w:rPr>
              <w:t>模拟测算功能需要包括：自动模拟测算、人工模拟测算、模拟结果、模拟结果分析等；</w:t>
            </w:r>
          </w:p>
          <w:p>
            <w:pPr>
              <w:pStyle w:val="null3"/>
              <w:ind w:firstLine="360"/>
              <w:jc w:val="both"/>
            </w:pPr>
            <w:r>
              <w:rPr>
                <w:rFonts w:ascii="仿宋_GB2312" w:hAnsi="仿宋_GB2312" w:cs="仿宋_GB2312" w:eastAsia="仿宋_GB2312"/>
                <w:sz w:val="18"/>
                <w:color w:val="000000"/>
              </w:rPr>
              <w:t>19.</w:t>
            </w:r>
            <w:r>
              <w:rPr>
                <w:rFonts w:ascii="仿宋_GB2312" w:hAnsi="仿宋_GB2312" w:cs="仿宋_GB2312" w:eastAsia="仿宋_GB2312"/>
                <w:sz w:val="18"/>
                <w:color w:val="000000"/>
              </w:rPr>
              <w:t>接口管理的功能，与年终清算相关的接口功能优化。</w:t>
            </w:r>
          </w:p>
          <w:p>
            <w:pPr>
              <w:pStyle w:val="null3"/>
            </w:pPr>
            <w:r>
              <w:rPr>
                <w:rFonts w:ascii="仿宋_GB2312" w:hAnsi="仿宋_GB2312" w:cs="仿宋_GB2312" w:eastAsia="仿宋_GB2312"/>
              </w:rPr>
              <w:t>1.2.3.2</w:t>
            </w:r>
            <w:r>
              <w:rPr>
                <w:rFonts w:ascii="仿宋_GB2312" w:hAnsi="仿宋_GB2312" w:cs="仿宋_GB2312" w:eastAsia="仿宋_GB2312"/>
                <w:sz w:val="18"/>
                <w:b/>
                <w:color w:val="000000"/>
              </w:rPr>
              <w:t>即时结算要求</w:t>
            </w:r>
          </w:p>
          <w:p>
            <w:pPr>
              <w:pStyle w:val="null3"/>
              <w:ind w:firstLine="360"/>
              <w:jc w:val="both"/>
            </w:pPr>
            <w:r>
              <w:rPr>
                <w:rFonts w:ascii="仿宋_GB2312" w:hAnsi="仿宋_GB2312" w:cs="仿宋_GB2312" w:eastAsia="仿宋_GB2312"/>
                <w:sz w:val="18"/>
                <w:color w:val="000000"/>
              </w:rPr>
              <w:t>即时结算的基金范围包括基本医保基金（职工医保和居民医保基金）、补充医疗保险和公务员医疗保险基金，由第三方承办补充医疗保险的除外；结算范围包括纳入</w:t>
            </w:r>
            <w:r>
              <w:rPr>
                <w:rFonts w:ascii="仿宋_GB2312" w:hAnsi="仿宋_GB2312" w:cs="仿宋_GB2312" w:eastAsia="仿宋_GB2312"/>
                <w:sz w:val="18"/>
                <w:color w:val="000000"/>
              </w:rPr>
              <w:t>“一站式”结算范围的定点医药机构发生医药费用，包括普通门诊、门诊慢特病、住院医疗费用、生育医疗费用、药店购药费用等；结算时限从定点医药机构申报次日到医保基金拨付不超过5个工作日。</w:t>
            </w:r>
          </w:p>
          <w:p>
            <w:pPr>
              <w:pStyle w:val="null3"/>
              <w:ind w:firstLine="360"/>
              <w:jc w:val="both"/>
            </w:pPr>
            <w:r>
              <w:rPr>
                <w:rFonts w:ascii="仿宋_GB2312" w:hAnsi="仿宋_GB2312" w:cs="仿宋_GB2312" w:eastAsia="仿宋_GB2312"/>
                <w:sz w:val="18"/>
                <w:color w:val="000000"/>
              </w:rPr>
              <w:t>在现有医保业务相关功能基础上，扩展医保基金即时结算功能，实现全省各统筹区定点医药机构的即时结算工作，包括即时结算申报、查询、月结申报、即时结算、结算管理、基金财务支付等功能。具体功能模块建设要求如下：</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定点医药机构即时结算功能需要包括：配置管理、即时结算、职工统筹即时结算、居民统筹即时结算、职工家庭病床即时结算、居民家庭病床即时结算、慢病即时结算、即时结算账户清算、离休即时结算、即时结算查询及打印等；</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定点机构结算管理功能需要包括：医药机构月度清算管理、职工账户清算管理、职工统筹清算管理、居民统筹清算管理、职工家庭病床清算管理、居民家庭病床清算管理、慢病清算管理、离休清算管理、周转金拨付管理、即时结算统计等；</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基金财务支付功能需要包括：生成支付计划、支付计划管理。</w:t>
            </w:r>
          </w:p>
          <w:p>
            <w:pPr>
              <w:pStyle w:val="null3"/>
              <w:numPr>
                <w:ilvl w:val="0"/>
                <w:numId w:val="2"/>
              </w:numPr>
            </w:pPr>
            <w:r>
              <w:rPr>
                <w:rFonts w:ascii="仿宋_GB2312" w:hAnsi="仿宋_GB2312" w:cs="仿宋_GB2312" w:eastAsia="仿宋_GB2312"/>
              </w:rPr>
              <w:t>1.3.4</w:t>
            </w:r>
            <w:r>
              <w:rPr>
                <w:rFonts w:ascii="仿宋_GB2312" w:hAnsi="仿宋_GB2312" w:cs="仿宋_GB2312" w:eastAsia="仿宋_GB2312"/>
                <w:sz w:val="18"/>
                <w:b/>
                <w:color w:val="000000"/>
              </w:rPr>
              <w:t>省内异地就医纳入本地化结算要求</w:t>
            </w:r>
          </w:p>
          <w:p>
            <w:pPr>
              <w:pStyle w:val="null3"/>
              <w:ind w:firstLine="360"/>
              <w:jc w:val="both"/>
            </w:pPr>
            <w:r>
              <w:rPr>
                <w:rFonts w:ascii="仿宋_GB2312" w:hAnsi="仿宋_GB2312" w:cs="仿宋_GB2312" w:eastAsia="仿宋_GB2312"/>
                <w:sz w:val="18"/>
                <w:color w:val="000000"/>
              </w:rPr>
              <w:t>省内异地就医医疗费用纳入本地统筹结算，支撑全省</w:t>
            </w:r>
            <w:r>
              <w:rPr>
                <w:rFonts w:ascii="仿宋_GB2312" w:hAnsi="仿宋_GB2312" w:cs="仿宋_GB2312" w:eastAsia="仿宋_GB2312"/>
                <w:sz w:val="18"/>
                <w:color w:val="000000"/>
              </w:rPr>
              <w:t>12统筹区异地月度、年度结算、省内异地就医监管业务。本次省内异地就医纳入本地结算的相关基金结算方式包括按项目付费、按DRG/DIP付费等多种付费方式的综合结算。</w:t>
            </w:r>
          </w:p>
          <w:p>
            <w:pPr>
              <w:pStyle w:val="null3"/>
              <w:ind w:firstLine="360"/>
              <w:jc w:val="both"/>
            </w:pPr>
            <w:r>
              <w:rPr>
                <w:rFonts w:ascii="仿宋_GB2312" w:hAnsi="仿宋_GB2312" w:cs="仿宋_GB2312" w:eastAsia="仿宋_GB2312"/>
                <w:sz w:val="18"/>
                <w:color w:val="000000"/>
              </w:rPr>
              <w:t>主要功能需要包括：</w:t>
            </w:r>
            <w:r>
              <w:rPr>
                <w:rFonts w:ascii="仿宋_GB2312" w:hAnsi="仿宋_GB2312" w:cs="仿宋_GB2312" w:eastAsia="仿宋_GB2312"/>
                <w:sz w:val="18"/>
                <w:color w:val="000000"/>
              </w:rPr>
              <w:t>12个地市超封顶金额数据计算开发配置、12个地市超封顶金额数据计算规则内部测试验证、配合用户对各地市超封顶金额数据计算规则验证、对陕西省12个地市及神木市机构月结政策变更调研工作、全省12个地市及神木市为推行省内异地就医结算需调整各地市机构月结拨付政策，完成相关政策开发配置、全省12个地市及神木市为推行省内异地就医结算需调整各地市机构月结拨付政策，完成相关政策内部测试、全省12个地市及神木市为推行省内异地就医结算需调整各地市机构月结拨付政策，配合地市用户完成政策验证、进行省内异地就医结算业务联调测试工作、配合地市用户进行省内异地就医结算业务验证、配合地市用户进行省内异地就医计算结果验证、省内异地业务协调工作、全省12个地市支付范围的调整与支付政策的调整配置与测试、西安市省内异地就医医院系数的测算、异地住院医疗费用抓取、回写开发、异地住院数据抓取、回写测试、监管模块开发、监管模块上线运行服务等。</w:t>
            </w:r>
          </w:p>
          <w:p>
            <w:pPr>
              <w:pStyle w:val="null3"/>
              <w:ind w:firstLine="360"/>
              <w:jc w:val="both"/>
            </w:pPr>
            <w:r>
              <w:rPr>
                <w:rFonts w:ascii="仿宋_GB2312" w:hAnsi="仿宋_GB2312" w:cs="仿宋_GB2312" w:eastAsia="仿宋_GB2312"/>
                <w:sz w:val="18"/>
                <w:color w:val="000000"/>
              </w:rPr>
              <w:t>对现有就医结算相关功能进行改造，支撑省内异地就医纳入本地结算后，能够支撑各个统筹区在保障本地基金使用的前提下，支撑完成异地纳入本地结算基金及时审批、划拨。需要对相关功能进一步改造，主要包括：异地就医纳入本地结算地市开通、异地就医纳入本地结算定点管理、异地就医纳入本地结算数据对接、异地就医纳入本地结算预付金管理、省内异地数据对账、省内异地就医就医地审核流重构、两定月结算、异地结算清单模块优化升级、结算撤销接口、冲正接口、两定月结确认、结算信息查询、报表、查询功能、异地弹性模块、</w:t>
            </w:r>
            <w:r>
              <w:rPr>
                <w:rFonts w:ascii="仿宋_GB2312" w:hAnsi="仿宋_GB2312" w:cs="仿宋_GB2312" w:eastAsia="仿宋_GB2312"/>
                <w:sz w:val="18"/>
                <w:color w:val="000000"/>
              </w:rPr>
              <w:t>市级经办机构银行账号维护、机构服务协议管理、月度结算申请、月结申请撤销、智能审核接入管理、省内专项治理扣款管理、省内两定月结</w:t>
            </w:r>
            <w:r>
              <w:rPr>
                <w:rFonts w:ascii="仿宋_GB2312" w:hAnsi="仿宋_GB2312" w:cs="仿宋_GB2312" w:eastAsia="仿宋_GB2312"/>
                <w:sz w:val="18"/>
                <w:color w:val="000000"/>
              </w:rPr>
              <w:t>、</w:t>
            </w:r>
            <w:r>
              <w:rPr>
                <w:rFonts w:ascii="仿宋_GB2312" w:hAnsi="仿宋_GB2312" w:cs="仿宋_GB2312" w:eastAsia="仿宋_GB2312"/>
                <w:sz w:val="18"/>
                <w:color w:val="000000"/>
              </w:rPr>
              <w:t>省内</w:t>
            </w:r>
            <w:r>
              <w:rPr>
                <w:rFonts w:ascii="仿宋_GB2312" w:hAnsi="仿宋_GB2312" w:cs="仿宋_GB2312" w:eastAsia="仿宋_GB2312"/>
                <w:sz w:val="18"/>
                <w:color w:val="000000"/>
              </w:rPr>
              <w:t>费用清算、两定</w:t>
            </w:r>
            <w:r>
              <w:rPr>
                <w:rFonts w:ascii="仿宋_GB2312" w:hAnsi="仿宋_GB2312" w:cs="仿宋_GB2312" w:eastAsia="仿宋_GB2312"/>
                <w:sz w:val="18"/>
                <w:color w:val="000000"/>
              </w:rPr>
              <w:t>月结拨付管理、参保地清算拨付、异地就医省级费用下拨、财务回退数据维护、支付通知查询、账户共济清算、账户</w:t>
            </w:r>
            <w:r>
              <w:rPr>
                <w:rFonts w:ascii="仿宋_GB2312" w:hAnsi="仿宋_GB2312" w:cs="仿宋_GB2312" w:eastAsia="仿宋_GB2312"/>
                <w:sz w:val="18"/>
                <w:color w:val="000000"/>
              </w:rPr>
              <w:t>共</w:t>
            </w:r>
            <w:r>
              <w:rPr>
                <w:rFonts w:ascii="仿宋_GB2312" w:hAnsi="仿宋_GB2312" w:cs="仿宋_GB2312" w:eastAsia="仿宋_GB2312"/>
                <w:sz w:val="18"/>
                <w:color w:val="000000"/>
              </w:rPr>
              <w:t>济报表打印、账户共济上解拨付管理、账户共济省级费用下拨、账户共济财务回退数据维护、账户共济业务查询、省内异地业务查询、省内跨统筹区预付金管理、财务支付交互、财务中间库、省内智能审核扣款对接、省内跨市结算智能审核数据交互、省内专项治理扣款数据接入、省内专项治理扣款数据接入确认、核心</w:t>
            </w:r>
            <w:r>
              <w:rPr>
                <w:rFonts w:ascii="仿宋_GB2312" w:hAnsi="仿宋_GB2312" w:cs="仿宋_GB2312" w:eastAsia="仿宋_GB2312"/>
                <w:sz w:val="18"/>
                <w:color w:val="000000"/>
              </w:rPr>
              <w:t>DRG数据交互、省内DRG住院费用清算、弹性数据推送、业务查询比对、统计分析、省内异地就医监控大屏、对异地就医支付方式政策调整分析模拟、异地就医制度运行评估分析等功能进行改造等功能；</w:t>
            </w:r>
          </w:p>
          <w:p>
            <w:pPr>
              <w:pStyle w:val="null3"/>
              <w:ind w:firstLine="360"/>
              <w:jc w:val="both"/>
            </w:pPr>
            <w:r>
              <w:rPr>
                <w:rFonts w:ascii="仿宋_GB2312" w:hAnsi="仿宋_GB2312" w:cs="仿宋_GB2312" w:eastAsia="仿宋_GB2312"/>
                <w:sz w:val="18"/>
                <w:color w:val="000000"/>
              </w:rPr>
              <w:t>对现有相关接口进行改造，主要改造内容包括住院结算、门诊结算、药店结算、异地</w:t>
            </w:r>
            <w:r>
              <w:rPr>
                <w:rFonts w:ascii="仿宋_GB2312" w:hAnsi="仿宋_GB2312" w:cs="仿宋_GB2312" w:eastAsia="仿宋_GB2312"/>
                <w:sz w:val="18"/>
                <w:color w:val="000000"/>
              </w:rPr>
              <w:t>DRG/DIP相关功能、追溯码相关接口改造、月结清算、两定统计报表等相关的接口；</w:t>
            </w:r>
          </w:p>
          <w:p>
            <w:pPr>
              <w:pStyle w:val="null3"/>
              <w:ind w:firstLine="360"/>
              <w:jc w:val="both"/>
            </w:pPr>
            <w:r>
              <w:rPr>
                <w:rFonts w:ascii="仿宋_GB2312" w:hAnsi="仿宋_GB2312" w:cs="仿宋_GB2312" w:eastAsia="仿宋_GB2312"/>
                <w:sz w:val="18"/>
                <w:color w:val="000000"/>
              </w:rPr>
              <w:t>数据治理、迁移及归集，对历史异地就医数据迁移，并对迁移的数据进行治理，同时增加数据物理删除、数据归集等功能。</w:t>
            </w:r>
          </w:p>
          <w:p>
            <w:pPr>
              <w:pStyle w:val="null3"/>
              <w:numPr>
                <w:ilvl w:val="0"/>
                <w:numId w:val="2"/>
              </w:numPr>
            </w:pPr>
            <w:r>
              <w:rPr>
                <w:rFonts w:ascii="仿宋_GB2312" w:hAnsi="仿宋_GB2312" w:cs="仿宋_GB2312" w:eastAsia="仿宋_GB2312"/>
              </w:rPr>
              <w:t>1.3.5</w:t>
            </w:r>
            <w:r>
              <w:rPr>
                <w:rFonts w:ascii="仿宋_GB2312" w:hAnsi="仿宋_GB2312" w:cs="仿宋_GB2312" w:eastAsia="仿宋_GB2312"/>
                <w:sz w:val="18"/>
                <w:b/>
                <w:color w:val="000000"/>
              </w:rPr>
              <w:t>陕西省定点医药机构相关人员医保支付资格管理要求</w:t>
            </w:r>
          </w:p>
          <w:p>
            <w:pPr>
              <w:pStyle w:val="null3"/>
              <w:ind w:firstLine="360"/>
              <w:jc w:val="both"/>
            </w:pPr>
            <w:r>
              <w:rPr>
                <w:rFonts w:ascii="仿宋_GB2312" w:hAnsi="仿宋_GB2312" w:cs="仿宋_GB2312" w:eastAsia="仿宋_GB2312"/>
                <w:sz w:val="18"/>
                <w:color w:val="000000"/>
              </w:rPr>
              <w:t>根据国家医保局关于定点医药机构相关人员医保支付资格有关政策要求，结合陕西省</w:t>
            </w:r>
            <w:r>
              <w:rPr>
                <w:rFonts w:ascii="仿宋_GB2312" w:hAnsi="仿宋_GB2312" w:cs="仿宋_GB2312" w:eastAsia="仿宋_GB2312"/>
                <w:sz w:val="18"/>
                <w:color w:val="000000"/>
              </w:rPr>
              <w:t>医保工作</w:t>
            </w:r>
            <w:r>
              <w:rPr>
                <w:rFonts w:ascii="仿宋_GB2312" w:hAnsi="仿宋_GB2312" w:cs="仿宋_GB2312" w:eastAsia="仿宋_GB2312"/>
                <w:sz w:val="18"/>
                <w:color w:val="000000"/>
              </w:rPr>
              <w:t>的现状，建设陕西省定点医药机构相关人员医保支付资格相关模块，在陕西省医疗保障信息平台框架下扩建相关功能应用，系统按用户类型分为医保经办端和定点医药机构端及开发支付资格管理相关</w:t>
            </w:r>
            <w:r>
              <w:rPr>
                <w:rFonts w:ascii="仿宋_GB2312" w:hAnsi="仿宋_GB2312" w:cs="仿宋_GB2312" w:eastAsia="仿宋_GB2312"/>
                <w:sz w:val="18"/>
                <w:color w:val="000000"/>
              </w:rPr>
              <w:t>API接口。</w:t>
            </w:r>
          </w:p>
          <w:p>
            <w:pPr>
              <w:pStyle w:val="null3"/>
              <w:ind w:firstLine="360"/>
              <w:jc w:val="both"/>
            </w:pPr>
            <w:r>
              <w:rPr>
                <w:rFonts w:ascii="仿宋_GB2312" w:hAnsi="仿宋_GB2312" w:cs="仿宋_GB2312" w:eastAsia="仿宋_GB2312"/>
                <w:sz w:val="18"/>
                <w:color w:val="000000"/>
              </w:rPr>
              <w:t>医保经办端的功能主要包括定点医药机构相关人员基础信息管理，服务承诺书管理、记分管理、记分规则管理、医保支付资格管理、异议申诉管理、记分修复管理、其他部门共享数据管理、诚信档案管理、统计分析管理。</w:t>
            </w:r>
          </w:p>
          <w:p>
            <w:pPr>
              <w:pStyle w:val="null3"/>
              <w:numPr>
                <w:ilvl w:val="0"/>
                <w:numId w:val="2"/>
              </w:numPr>
            </w:pPr>
            <w:r>
              <w:rPr>
                <w:rFonts w:ascii="仿宋_GB2312" w:hAnsi="仿宋_GB2312" w:cs="仿宋_GB2312" w:eastAsia="仿宋_GB2312"/>
              </w:rPr>
              <w:t>1.3.6</w:t>
            </w:r>
            <w:r>
              <w:rPr>
                <w:rFonts w:ascii="仿宋_GB2312" w:hAnsi="仿宋_GB2312" w:cs="仿宋_GB2312" w:eastAsia="仿宋_GB2312"/>
                <w:sz w:val="18"/>
                <w:b/>
                <w:color w:val="000000"/>
              </w:rPr>
              <w:t>数据治理要求</w:t>
            </w:r>
          </w:p>
          <w:p>
            <w:pPr>
              <w:pStyle w:val="null3"/>
              <w:ind w:firstLine="360"/>
              <w:jc w:val="both"/>
            </w:pPr>
            <w:r>
              <w:rPr>
                <w:rFonts w:ascii="仿宋_GB2312" w:hAnsi="仿宋_GB2312" w:cs="仿宋_GB2312" w:eastAsia="仿宋_GB2312"/>
                <w:sz w:val="18"/>
                <w:color w:val="000000"/>
              </w:rPr>
              <w:t>投标人需要根据本项目建设要求，对建设范围内涉及的</w:t>
            </w:r>
            <w:r>
              <w:rPr>
                <w:rFonts w:ascii="仿宋_GB2312" w:hAnsi="仿宋_GB2312" w:cs="仿宋_GB2312" w:eastAsia="仿宋_GB2312"/>
                <w:sz w:val="18"/>
                <w:color w:val="000000"/>
              </w:rPr>
              <w:t>12个统筹区、3900多万参保人和约40万多用人单位，包括职工、居民、灵活就业人员、特殊人群等相关参保数据、结算数据进行数据治理。用以支撑完成本次项目建设需要的“一人一档”系统及数据库建设、线上年终结算清算、</w:t>
            </w:r>
            <w:r>
              <w:rPr>
                <w:rFonts w:ascii="仿宋_GB2312" w:hAnsi="仿宋_GB2312" w:cs="仿宋_GB2312" w:eastAsia="仿宋_GB2312"/>
                <w:sz w:val="18"/>
                <w:color w:val="000000"/>
              </w:rPr>
              <w:t>即时结算、</w:t>
            </w:r>
            <w:r>
              <w:rPr>
                <w:rFonts w:ascii="仿宋_GB2312" w:hAnsi="仿宋_GB2312" w:cs="仿宋_GB2312" w:eastAsia="仿宋_GB2312"/>
                <w:sz w:val="18"/>
                <w:color w:val="000000"/>
              </w:rPr>
              <w:t>省内异地就医纳入本地结算等业务应用。同时，必须明确数据治理的内容、数据治理的步骤和数据治理的必要性分析。</w:t>
            </w:r>
          </w:p>
          <w:p>
            <w:pPr>
              <w:pStyle w:val="null3"/>
              <w:numPr>
                <w:ilvl w:val="0"/>
                <w:numId w:val="2"/>
              </w:numPr>
            </w:pPr>
            <w:r>
              <w:rPr>
                <w:rFonts w:ascii="仿宋_GB2312" w:hAnsi="仿宋_GB2312" w:cs="仿宋_GB2312" w:eastAsia="仿宋_GB2312"/>
              </w:rPr>
              <w:t>1.3.7</w:t>
            </w:r>
            <w:r>
              <w:rPr>
                <w:rFonts w:ascii="仿宋_GB2312" w:hAnsi="仿宋_GB2312" w:cs="仿宋_GB2312" w:eastAsia="仿宋_GB2312"/>
                <w:sz w:val="18"/>
                <w:b/>
                <w:color w:val="000000"/>
              </w:rPr>
              <w:t>数据交互共享要求</w:t>
            </w:r>
          </w:p>
          <w:p>
            <w:pPr>
              <w:pStyle w:val="null3"/>
              <w:ind w:firstLine="480"/>
            </w:pPr>
            <w:r>
              <w:rPr>
                <w:rFonts w:ascii="仿宋_GB2312" w:hAnsi="仿宋_GB2312" w:cs="仿宋_GB2312" w:eastAsia="仿宋_GB2312"/>
                <w:sz w:val="18"/>
              </w:rPr>
              <w:t>投标人须结合本项目建设相关功能模块业务要求，明确与外部单位数据交换与共享的内容、共享的方式，并阐述清楚数据共享的必要性。明确与内部其他应用系统的数据交换共享的内容、共享的方式，及内部数据共享的路径。提供的方案需要充分考虑陕西省医疗保障信息平台综合业务，并且需要阐述清楚如何利用已经建设的共享交互机制及方式，进一步加强数据交互共享的安全性、可靠性、时效性。</w:t>
            </w:r>
          </w:p>
          <w:p>
            <w:pPr>
              <w:pStyle w:val="null3"/>
              <w:numPr>
                <w:ilvl w:val="0"/>
                <w:numId w:val="2"/>
              </w:numPr>
            </w:pPr>
            <w:r>
              <w:rPr>
                <w:rFonts w:ascii="仿宋_GB2312" w:hAnsi="仿宋_GB2312" w:cs="仿宋_GB2312" w:eastAsia="仿宋_GB2312"/>
              </w:rPr>
              <w:t>1.3.8</w:t>
            </w:r>
            <w:r>
              <w:rPr>
                <w:rFonts w:ascii="仿宋_GB2312" w:hAnsi="仿宋_GB2312" w:cs="仿宋_GB2312" w:eastAsia="仿宋_GB2312"/>
                <w:sz w:val="18"/>
                <w:b/>
                <w:color w:val="000000"/>
              </w:rPr>
              <w:t>软件安全要求</w:t>
            </w:r>
          </w:p>
          <w:p>
            <w:pPr>
              <w:pStyle w:val="null3"/>
              <w:ind w:firstLine="480"/>
            </w:pPr>
            <w:r>
              <w:rPr>
                <w:rFonts w:ascii="仿宋_GB2312" w:hAnsi="仿宋_GB2312" w:cs="仿宋_GB2312" w:eastAsia="仿宋_GB2312"/>
                <w:sz w:val="18"/>
              </w:rPr>
              <w:t>投标方须严格按照国家医疗保障局《医保信息系统安全开发规范》要求，组织研究和实施。</w:t>
            </w:r>
          </w:p>
          <w:p>
            <w:pPr>
              <w:pStyle w:val="null3"/>
              <w:ind w:firstLine="480"/>
            </w:pPr>
            <w:r>
              <w:rPr>
                <w:rFonts w:ascii="仿宋_GB2312" w:hAnsi="仿宋_GB2312" w:cs="仿宋_GB2312" w:eastAsia="仿宋_GB2312"/>
                <w:sz w:val="18"/>
              </w:rPr>
              <w:t>系统上线前，应按照招标方要求进行源代码安全扫描，并对发现的漏洞进行修复。</w:t>
            </w:r>
          </w:p>
          <w:p>
            <w:pPr>
              <w:pStyle w:val="null3"/>
              <w:ind w:firstLine="480"/>
            </w:pPr>
            <w:r>
              <w:rPr>
                <w:rFonts w:ascii="仿宋_GB2312" w:hAnsi="仿宋_GB2312" w:cs="仿宋_GB2312" w:eastAsia="仿宋_GB2312"/>
                <w:sz w:val="18"/>
              </w:rPr>
              <w:t>投标方应提供详细的安全设计方案并详细说明在应用安全和数据安全方面采取的安全的措施。</w:t>
            </w:r>
          </w:p>
          <w:p>
            <w:pPr>
              <w:pStyle w:val="null3"/>
              <w:ind w:firstLine="480"/>
            </w:pPr>
            <w:r>
              <w:rPr>
                <w:rFonts w:ascii="仿宋_GB2312" w:hAnsi="仿宋_GB2312" w:cs="仿宋_GB2312" w:eastAsia="仿宋_GB2312"/>
                <w:sz w:val="18"/>
              </w:rPr>
              <w:t>投标方需要配合完成符合国家密码技术要求的相关调试和测试工作，系统需要符合国家密码标准。</w:t>
            </w:r>
          </w:p>
          <w:p>
            <w:pPr>
              <w:pStyle w:val="null3"/>
              <w:numPr>
                <w:ilvl w:val="0"/>
                <w:numId w:val="2"/>
              </w:numPr>
            </w:pPr>
            <w:r>
              <w:rPr>
                <w:rFonts w:ascii="仿宋_GB2312" w:hAnsi="仿宋_GB2312" w:cs="仿宋_GB2312" w:eastAsia="仿宋_GB2312"/>
              </w:rPr>
              <w:t>1.3.9</w:t>
            </w:r>
            <w:r>
              <w:rPr>
                <w:rFonts w:ascii="仿宋_GB2312" w:hAnsi="仿宋_GB2312" w:cs="仿宋_GB2312" w:eastAsia="仿宋_GB2312"/>
                <w:sz w:val="18"/>
                <w:b/>
                <w:color w:val="000000"/>
              </w:rPr>
              <w:t>软件性能要求</w:t>
            </w:r>
          </w:p>
          <w:p>
            <w:pPr>
              <w:pStyle w:val="null3"/>
              <w:ind w:firstLine="360"/>
              <w:jc w:val="both"/>
            </w:pPr>
            <w:r>
              <w:rPr>
                <w:rFonts w:ascii="仿宋_GB2312" w:hAnsi="仿宋_GB2312" w:cs="仿宋_GB2312" w:eastAsia="仿宋_GB2312"/>
                <w:sz w:val="18"/>
                <w:color w:val="000000"/>
              </w:rPr>
              <w:t>交易响应时间指完成目标系统中的交互或批量业务处理所需的响应时间。根据业务处理类型的不同，可以把交易划分为三类：交互类业务、查询类业务和大数据量批处理类业务，分别给出响应时间要求的参考值，包括峰值响应时间、平均响应时间。</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交互类业务</w:t>
            </w:r>
          </w:p>
          <w:p>
            <w:pPr>
              <w:pStyle w:val="null3"/>
              <w:ind w:firstLine="360"/>
              <w:jc w:val="both"/>
            </w:pPr>
            <w:r>
              <w:rPr>
                <w:rFonts w:ascii="仿宋_GB2312" w:hAnsi="仿宋_GB2312" w:cs="仿宋_GB2312" w:eastAsia="仿宋_GB2312"/>
                <w:sz w:val="18"/>
                <w:color w:val="000000"/>
              </w:rPr>
              <w:t>交互类业务是指平时工作中在系统中进行的业务处理，如录入、修改或删除一条记录、发布一条信息等操作。</w:t>
            </w:r>
          </w:p>
          <w:p>
            <w:pPr>
              <w:pStyle w:val="null3"/>
              <w:ind w:firstLine="360"/>
              <w:jc w:val="both"/>
            </w:pPr>
            <w:r>
              <w:rPr>
                <w:rFonts w:ascii="仿宋_GB2312" w:hAnsi="仿宋_GB2312" w:cs="仿宋_GB2312" w:eastAsia="仿宋_GB2312"/>
                <w:sz w:val="18"/>
                <w:color w:val="000000"/>
              </w:rPr>
              <w:t>平均响应时间：</w:t>
            </w:r>
            <w:r>
              <w:rPr>
                <w:rFonts w:ascii="仿宋_GB2312" w:hAnsi="仿宋_GB2312" w:cs="仿宋_GB2312" w:eastAsia="仿宋_GB2312"/>
                <w:sz w:val="18"/>
                <w:color w:val="000000"/>
              </w:rPr>
              <w:t>≤1秒</w:t>
            </w:r>
          </w:p>
          <w:p>
            <w:pPr>
              <w:pStyle w:val="null3"/>
              <w:ind w:firstLine="360"/>
              <w:jc w:val="both"/>
            </w:pPr>
            <w:r>
              <w:rPr>
                <w:rFonts w:ascii="仿宋_GB2312" w:hAnsi="仿宋_GB2312" w:cs="仿宋_GB2312" w:eastAsia="仿宋_GB2312"/>
                <w:sz w:val="18"/>
                <w:color w:val="000000"/>
              </w:rPr>
              <w:t>峰值响应时间：</w:t>
            </w:r>
            <w:r>
              <w:rPr>
                <w:rFonts w:ascii="仿宋_GB2312" w:hAnsi="仿宋_GB2312" w:cs="仿宋_GB2312" w:eastAsia="仿宋_GB2312"/>
                <w:sz w:val="18"/>
                <w:color w:val="000000"/>
              </w:rPr>
              <w:t>≤3秒</w:t>
            </w:r>
          </w:p>
          <w:p>
            <w:pPr>
              <w:pStyle w:val="null3"/>
              <w:ind w:firstLine="360"/>
              <w:jc w:val="both"/>
            </w:pPr>
            <w:r>
              <w:rPr>
                <w:rFonts w:ascii="仿宋_GB2312" w:hAnsi="仿宋_GB2312" w:cs="仿宋_GB2312" w:eastAsia="仿宋_GB2312"/>
                <w:sz w:val="18"/>
                <w:color w:val="000000"/>
              </w:rPr>
              <w:t>批量业务数据导入（按一次</w:t>
            </w:r>
            <w:r>
              <w:rPr>
                <w:rFonts w:ascii="仿宋_GB2312" w:hAnsi="仿宋_GB2312" w:cs="仿宋_GB2312" w:eastAsia="仿宋_GB2312"/>
                <w:sz w:val="18"/>
                <w:color w:val="000000"/>
              </w:rPr>
              <w:t>2000条评估）</w:t>
            </w:r>
          </w:p>
          <w:p>
            <w:pPr>
              <w:pStyle w:val="null3"/>
              <w:ind w:firstLine="360"/>
              <w:jc w:val="both"/>
            </w:pPr>
            <w:r>
              <w:rPr>
                <w:rFonts w:ascii="仿宋_GB2312" w:hAnsi="仿宋_GB2312" w:cs="仿宋_GB2312" w:eastAsia="仿宋_GB2312"/>
                <w:sz w:val="18"/>
                <w:color w:val="000000"/>
              </w:rPr>
              <w:t>平均响应时间：</w:t>
            </w:r>
            <w:r>
              <w:rPr>
                <w:rFonts w:ascii="仿宋_GB2312" w:hAnsi="仿宋_GB2312" w:cs="仿宋_GB2312" w:eastAsia="仿宋_GB2312"/>
                <w:sz w:val="18"/>
                <w:color w:val="000000"/>
              </w:rPr>
              <w:t>≤5秒</w:t>
            </w:r>
          </w:p>
          <w:p>
            <w:pPr>
              <w:pStyle w:val="null3"/>
              <w:ind w:firstLine="360"/>
              <w:jc w:val="both"/>
            </w:pPr>
            <w:r>
              <w:rPr>
                <w:rFonts w:ascii="仿宋_GB2312" w:hAnsi="仿宋_GB2312" w:cs="仿宋_GB2312" w:eastAsia="仿宋_GB2312"/>
                <w:sz w:val="18"/>
                <w:color w:val="000000"/>
              </w:rPr>
              <w:t>峰值响应时间：</w:t>
            </w:r>
            <w:r>
              <w:rPr>
                <w:rFonts w:ascii="仿宋_GB2312" w:hAnsi="仿宋_GB2312" w:cs="仿宋_GB2312" w:eastAsia="仿宋_GB2312"/>
                <w:sz w:val="18"/>
                <w:color w:val="000000"/>
              </w:rPr>
              <w:t>≤10秒</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查询类业务</w:t>
            </w:r>
          </w:p>
          <w:p>
            <w:pPr>
              <w:pStyle w:val="null3"/>
              <w:ind w:firstLine="360"/>
              <w:jc w:val="both"/>
            </w:pPr>
            <w:r>
              <w:rPr>
                <w:rFonts w:ascii="仿宋_GB2312" w:hAnsi="仿宋_GB2312" w:cs="仿宋_GB2312" w:eastAsia="仿宋_GB2312"/>
                <w:sz w:val="18"/>
                <w:color w:val="000000"/>
              </w:rPr>
              <w:t>查询业务由于受到查询的复杂程度、查询的数据量大小等因素的影响，需要根据具体情况而定，在此给出一个参考范围。</w:t>
            </w:r>
          </w:p>
          <w:p>
            <w:pPr>
              <w:pStyle w:val="null3"/>
              <w:ind w:firstLine="360"/>
              <w:jc w:val="both"/>
            </w:pPr>
            <w:r>
              <w:rPr>
                <w:rFonts w:ascii="仿宋_GB2312" w:hAnsi="仿宋_GB2312" w:cs="仿宋_GB2312" w:eastAsia="仿宋_GB2312"/>
                <w:sz w:val="18"/>
                <w:color w:val="000000"/>
              </w:rPr>
              <w:t>简单查询平均响应时间：</w:t>
            </w:r>
            <w:r>
              <w:rPr>
                <w:rFonts w:ascii="仿宋_GB2312" w:hAnsi="仿宋_GB2312" w:cs="仿宋_GB2312" w:eastAsia="仿宋_GB2312"/>
                <w:sz w:val="18"/>
                <w:color w:val="000000"/>
              </w:rPr>
              <w:t>≤1秒</w:t>
            </w:r>
          </w:p>
          <w:p>
            <w:pPr>
              <w:pStyle w:val="null3"/>
              <w:ind w:firstLine="360"/>
              <w:jc w:val="both"/>
            </w:pPr>
            <w:r>
              <w:rPr>
                <w:rFonts w:ascii="仿宋_GB2312" w:hAnsi="仿宋_GB2312" w:cs="仿宋_GB2312" w:eastAsia="仿宋_GB2312"/>
                <w:sz w:val="18"/>
                <w:color w:val="000000"/>
              </w:rPr>
              <w:t>复杂查询平均响应时间：</w:t>
            </w:r>
            <w:r>
              <w:rPr>
                <w:rFonts w:ascii="仿宋_GB2312" w:hAnsi="仿宋_GB2312" w:cs="仿宋_GB2312" w:eastAsia="仿宋_GB2312"/>
                <w:sz w:val="18"/>
                <w:color w:val="000000"/>
              </w:rPr>
              <w:t>≤3秒</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交易接口服务（数据交换）</w:t>
            </w:r>
          </w:p>
          <w:p>
            <w:pPr>
              <w:pStyle w:val="null3"/>
              <w:ind w:firstLine="360"/>
              <w:jc w:val="both"/>
            </w:pPr>
            <w:r>
              <w:rPr>
                <w:rFonts w:ascii="仿宋_GB2312" w:hAnsi="仿宋_GB2312" w:cs="仿宋_GB2312" w:eastAsia="仿宋_GB2312"/>
                <w:sz w:val="18"/>
                <w:color w:val="000000"/>
              </w:rPr>
              <w:t>单条记录交易接口平均响应时间：</w:t>
            </w:r>
            <w:r>
              <w:rPr>
                <w:rFonts w:ascii="仿宋_GB2312" w:hAnsi="仿宋_GB2312" w:cs="仿宋_GB2312" w:eastAsia="仿宋_GB2312"/>
                <w:sz w:val="18"/>
                <w:color w:val="000000"/>
              </w:rPr>
              <w:t>≤1秒</w:t>
            </w:r>
          </w:p>
          <w:p>
            <w:pPr>
              <w:pStyle w:val="null3"/>
              <w:ind w:firstLine="360"/>
              <w:jc w:val="both"/>
            </w:pPr>
            <w:r>
              <w:rPr>
                <w:rFonts w:ascii="仿宋_GB2312" w:hAnsi="仿宋_GB2312" w:cs="仿宋_GB2312" w:eastAsia="仿宋_GB2312"/>
                <w:sz w:val="18"/>
                <w:color w:val="000000"/>
              </w:rPr>
              <w:t>多条记录（</w:t>
            </w:r>
            <w:r>
              <w:rPr>
                <w:rFonts w:ascii="仿宋_GB2312" w:hAnsi="仿宋_GB2312" w:cs="仿宋_GB2312" w:eastAsia="仿宋_GB2312"/>
                <w:sz w:val="18"/>
                <w:color w:val="000000"/>
              </w:rPr>
              <w:t>100条）交易接口平均响应时间：≤3秒</w:t>
            </w:r>
          </w:p>
          <w:p>
            <w:pPr>
              <w:pStyle w:val="null3"/>
              <w:ind w:firstLine="36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大数据量、批处理业务</w:t>
            </w:r>
          </w:p>
          <w:p>
            <w:pPr>
              <w:pStyle w:val="null3"/>
              <w:ind w:firstLine="360"/>
              <w:jc w:val="both"/>
            </w:pPr>
            <w:r>
              <w:rPr>
                <w:rFonts w:ascii="仿宋_GB2312" w:hAnsi="仿宋_GB2312" w:cs="仿宋_GB2312" w:eastAsia="仿宋_GB2312"/>
                <w:sz w:val="18"/>
                <w:color w:val="000000"/>
              </w:rPr>
              <w:t>批量交易指一次完成多笔业务处理的交易，如批量扣缴等。由于批量交易的数据量不确定，需要根据具体的情况确定响应时间，如会计核算等业务处理。该类业务具有处理复杂、操作数据量大、处理时间长的特点，具体的响应时间视提交数据量、业务处理量而定。</w:t>
            </w:r>
          </w:p>
          <w:p>
            <w:pPr>
              <w:pStyle w:val="null3"/>
              <w:ind w:firstLine="360"/>
              <w:jc w:val="both"/>
            </w:pPr>
            <w:r>
              <w:rPr>
                <w:rFonts w:ascii="仿宋_GB2312" w:hAnsi="仿宋_GB2312" w:cs="仿宋_GB2312" w:eastAsia="仿宋_GB2312"/>
                <w:sz w:val="18"/>
                <w:color w:val="000000"/>
              </w:rPr>
              <w:t>批量数据采用</w:t>
            </w:r>
            <w:r>
              <w:rPr>
                <w:rFonts w:ascii="仿宋_GB2312" w:hAnsi="仿宋_GB2312" w:cs="仿宋_GB2312" w:eastAsia="仿宋_GB2312"/>
                <w:sz w:val="18"/>
                <w:color w:val="000000"/>
              </w:rPr>
              <w:t>SFTP文件方式传输，每次传输的文件大小和数量会根据业务需要有很大差异性：</w:t>
            </w:r>
          </w:p>
          <w:p>
            <w:pPr>
              <w:pStyle w:val="null3"/>
              <w:ind w:firstLine="360"/>
              <w:jc w:val="both"/>
            </w:pPr>
            <w:r>
              <w:rPr>
                <w:rFonts w:ascii="仿宋_GB2312" w:hAnsi="仿宋_GB2312" w:cs="仿宋_GB2312" w:eastAsia="仿宋_GB2312"/>
                <w:sz w:val="18"/>
                <w:color w:val="000000"/>
              </w:rPr>
              <w:t>平均响应时间：</w:t>
            </w:r>
            <w:r>
              <w:rPr>
                <w:rFonts w:ascii="仿宋_GB2312" w:hAnsi="仿宋_GB2312" w:cs="仿宋_GB2312" w:eastAsia="仿宋_GB2312"/>
                <w:sz w:val="18"/>
                <w:color w:val="000000"/>
              </w:rPr>
              <w:t>≤1分钟</w:t>
            </w:r>
          </w:p>
          <w:p>
            <w:pPr>
              <w:pStyle w:val="null3"/>
              <w:ind w:firstLine="360"/>
              <w:jc w:val="both"/>
            </w:pPr>
            <w:r>
              <w:rPr>
                <w:rFonts w:ascii="仿宋_GB2312" w:hAnsi="仿宋_GB2312" w:cs="仿宋_GB2312" w:eastAsia="仿宋_GB2312"/>
                <w:sz w:val="18"/>
                <w:color w:val="000000"/>
              </w:rPr>
              <w:t>峰值响应时间：</w:t>
            </w:r>
            <w:r>
              <w:rPr>
                <w:rFonts w:ascii="仿宋_GB2312" w:hAnsi="仿宋_GB2312" w:cs="仿宋_GB2312" w:eastAsia="仿宋_GB2312"/>
                <w:sz w:val="18"/>
                <w:color w:val="000000"/>
              </w:rPr>
              <w:t>≤30分钟</w:t>
            </w:r>
          </w:p>
          <w:p>
            <w:pPr>
              <w:pStyle w:val="null3"/>
              <w:ind w:firstLine="36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可靠性指标</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网络可靠性</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网络中关键设备，如各核心交换机，骨干路由器等，应该具备电信级可靠性；</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网络可靠性指标必须达到</w:t>
            </w:r>
            <w:r>
              <w:rPr>
                <w:rFonts w:ascii="仿宋_GB2312" w:hAnsi="仿宋_GB2312" w:cs="仿宋_GB2312" w:eastAsia="仿宋_GB2312"/>
                <w:sz w:val="18"/>
                <w:color w:val="000000"/>
              </w:rPr>
              <w:t>99.9%，确保实时业务交互。</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云平台可靠性指标：</w:t>
            </w:r>
          </w:p>
          <w:p>
            <w:pPr>
              <w:pStyle w:val="null3"/>
              <w:ind w:firstLine="36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应保证云基础设施层和云支撑服务层</w:t>
            </w:r>
            <w:r>
              <w:rPr>
                <w:rFonts w:ascii="仿宋_GB2312" w:hAnsi="仿宋_GB2312" w:cs="仿宋_GB2312" w:eastAsia="仿宋_GB2312"/>
                <w:sz w:val="18"/>
                <w:color w:val="000000"/>
              </w:rPr>
              <w:t>7*24小时的连续性；</w:t>
            </w:r>
          </w:p>
          <w:p>
            <w:pPr>
              <w:pStyle w:val="null3"/>
              <w:ind w:firstLine="36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应保证云基础设施层和云支撑服务层可用性达到</w:t>
            </w:r>
            <w:r>
              <w:rPr>
                <w:rFonts w:ascii="仿宋_GB2312" w:hAnsi="仿宋_GB2312" w:cs="仿宋_GB2312" w:eastAsia="仿宋_GB2312"/>
                <w:sz w:val="18"/>
                <w:color w:val="000000"/>
              </w:rPr>
              <w:t>99.99%；</w:t>
            </w:r>
          </w:p>
          <w:p>
            <w:pPr>
              <w:pStyle w:val="null3"/>
              <w:ind w:firstLine="3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应保证云基础设施层和云支撑服务层存储数据的可靠性达到</w:t>
            </w:r>
            <w:r>
              <w:rPr>
                <w:rFonts w:ascii="仿宋_GB2312" w:hAnsi="仿宋_GB2312" w:cs="仿宋_GB2312" w:eastAsia="仿宋_GB2312"/>
                <w:sz w:val="18"/>
                <w:color w:val="000000"/>
              </w:rPr>
              <w:t>99.9999%。</w:t>
            </w:r>
          </w:p>
          <w:p>
            <w:pPr>
              <w:pStyle w:val="null3"/>
              <w:ind w:firstLine="36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系统用户数指标</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1）“一人一档”</w:t>
            </w:r>
          </w:p>
          <w:p>
            <w:pPr>
              <w:pStyle w:val="null3"/>
              <w:ind w:firstLine="360"/>
              <w:jc w:val="both"/>
            </w:pPr>
            <w:r>
              <w:rPr>
                <w:rFonts w:ascii="仿宋_GB2312" w:hAnsi="仿宋_GB2312" w:cs="仿宋_GB2312" w:eastAsia="仿宋_GB2312"/>
                <w:sz w:val="18"/>
                <w:color w:val="000000"/>
              </w:rPr>
              <w:t>1）内部及管理用户</w:t>
            </w:r>
          </w:p>
          <w:p>
            <w:pPr>
              <w:pStyle w:val="null3"/>
              <w:ind w:firstLine="360"/>
              <w:jc w:val="both"/>
            </w:pPr>
            <w:r>
              <w:rPr>
                <w:rFonts w:ascii="仿宋_GB2312" w:hAnsi="仿宋_GB2312" w:cs="仿宋_GB2312" w:eastAsia="仿宋_GB2312"/>
                <w:sz w:val="18"/>
                <w:color w:val="000000"/>
              </w:rPr>
              <w:t>规划数量：全省区经办</w:t>
            </w:r>
            <w:r>
              <w:rPr>
                <w:rFonts w:ascii="仿宋_GB2312" w:hAnsi="仿宋_GB2312" w:cs="仿宋_GB2312" w:eastAsia="仿宋_GB2312"/>
                <w:sz w:val="18"/>
                <w:color w:val="000000"/>
              </w:rPr>
              <w:t>146个，区县对应街道数3331，按照每个区经办一个，街道的网格人员1个，社区或村的网格员1个。</w:t>
            </w:r>
          </w:p>
          <w:p>
            <w:pPr>
              <w:pStyle w:val="null3"/>
              <w:ind w:firstLine="360"/>
              <w:jc w:val="both"/>
            </w:pPr>
            <w:r>
              <w:rPr>
                <w:rFonts w:ascii="仿宋_GB2312" w:hAnsi="仿宋_GB2312" w:cs="仿宋_GB2312" w:eastAsia="仿宋_GB2312"/>
                <w:sz w:val="18"/>
                <w:color w:val="000000"/>
              </w:rPr>
              <w:t>初始化账户数量：</w:t>
            </w:r>
            <w:r>
              <w:rPr>
                <w:rFonts w:ascii="仿宋_GB2312" w:hAnsi="仿宋_GB2312" w:cs="仿宋_GB2312" w:eastAsia="仿宋_GB2312"/>
                <w:sz w:val="18"/>
                <w:color w:val="000000"/>
              </w:rPr>
              <w:t>37308个。</w:t>
            </w:r>
          </w:p>
          <w:p>
            <w:pPr>
              <w:pStyle w:val="null3"/>
              <w:ind w:firstLine="360"/>
              <w:jc w:val="both"/>
            </w:pPr>
            <w:r>
              <w:rPr>
                <w:rFonts w:ascii="仿宋_GB2312" w:hAnsi="仿宋_GB2312" w:cs="仿宋_GB2312" w:eastAsia="仿宋_GB2312"/>
                <w:sz w:val="18"/>
                <w:color w:val="000000"/>
              </w:rPr>
              <w:t>年增长量：账户相对稳定，相对服务对象用户可以忽略，所以账户增量预估为</w:t>
            </w:r>
            <w:r>
              <w:rPr>
                <w:rFonts w:ascii="仿宋_GB2312" w:hAnsi="仿宋_GB2312" w:cs="仿宋_GB2312" w:eastAsia="仿宋_GB2312"/>
                <w:sz w:val="18"/>
                <w:color w:val="000000"/>
              </w:rPr>
              <w:t>0；</w:t>
            </w:r>
          </w:p>
          <w:p>
            <w:pPr>
              <w:pStyle w:val="null3"/>
              <w:ind w:firstLine="360"/>
              <w:jc w:val="both"/>
            </w:pPr>
            <w:r>
              <w:rPr>
                <w:rFonts w:ascii="仿宋_GB2312" w:hAnsi="仿宋_GB2312" w:cs="仿宋_GB2312" w:eastAsia="仿宋_GB2312"/>
                <w:sz w:val="18"/>
                <w:color w:val="000000"/>
              </w:rPr>
              <w:t>2）数据库服务器需要的峰值处理能力</w:t>
            </w:r>
          </w:p>
          <w:p>
            <w:pPr>
              <w:pStyle w:val="null3"/>
              <w:ind w:firstLine="360"/>
              <w:jc w:val="both"/>
            </w:pPr>
            <w:r>
              <w:rPr>
                <w:rFonts w:ascii="仿宋_GB2312" w:hAnsi="仿宋_GB2312" w:cs="仿宋_GB2312" w:eastAsia="仿宋_GB2312"/>
                <w:sz w:val="18"/>
                <w:color w:val="000000"/>
              </w:rPr>
              <w:t>每秒处理事务数</w:t>
            </w:r>
            <w:r>
              <w:rPr>
                <w:rFonts w:ascii="仿宋_GB2312" w:hAnsi="仿宋_GB2312" w:cs="仿宋_GB2312" w:eastAsia="仿宋_GB2312"/>
                <w:sz w:val="18"/>
                <w:color w:val="000000"/>
              </w:rPr>
              <w:t>=系统忙时并发PV访问量+访问高峰期每秒响应的应用请求数，依据目前医保信息平台运维反馈数据，系统忙时并发约为在线用户的10%。</w:t>
            </w:r>
          </w:p>
          <w:p>
            <w:pPr>
              <w:pStyle w:val="null3"/>
              <w:ind w:firstLine="360"/>
              <w:jc w:val="both"/>
            </w:pPr>
            <w:r>
              <w:rPr>
                <w:rFonts w:ascii="仿宋_GB2312" w:hAnsi="仿宋_GB2312" w:cs="仿宋_GB2312" w:eastAsia="仿宋_GB2312"/>
                <w:sz w:val="18"/>
                <w:color w:val="000000"/>
              </w:rPr>
              <w:t>综上所述，考虑到行政人员单位编制调整增长等因素，本项目中</w:t>
            </w:r>
            <w:r>
              <w:rPr>
                <w:rFonts w:ascii="仿宋_GB2312" w:hAnsi="仿宋_GB2312" w:cs="仿宋_GB2312" w:eastAsia="仿宋_GB2312"/>
                <w:sz w:val="18"/>
                <w:color w:val="000000"/>
              </w:rPr>
              <w:t>“一人一档”最大注册用户数50000，最大在线用户数40000，最大并发用户数400。</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2）线上年终清算</w:t>
            </w:r>
            <w:r>
              <w:rPr>
                <w:rFonts w:ascii="仿宋_GB2312" w:hAnsi="仿宋_GB2312" w:cs="仿宋_GB2312" w:eastAsia="仿宋_GB2312"/>
                <w:sz w:val="18"/>
                <w:color w:val="000000"/>
              </w:rPr>
              <w:t>、</w:t>
            </w:r>
            <w:r>
              <w:rPr>
                <w:rFonts w:ascii="仿宋_GB2312" w:hAnsi="仿宋_GB2312" w:cs="仿宋_GB2312" w:eastAsia="仿宋_GB2312"/>
                <w:sz w:val="18"/>
                <w:color w:val="000000"/>
              </w:rPr>
              <w:t>即时结算</w:t>
            </w:r>
          </w:p>
          <w:p>
            <w:pPr>
              <w:pStyle w:val="null3"/>
              <w:ind w:firstLine="360"/>
              <w:jc w:val="both"/>
            </w:pPr>
            <w:r>
              <w:rPr>
                <w:rFonts w:ascii="仿宋_GB2312" w:hAnsi="仿宋_GB2312" w:cs="仿宋_GB2312" w:eastAsia="仿宋_GB2312"/>
                <w:sz w:val="18"/>
                <w:color w:val="000000"/>
              </w:rPr>
              <w:t>1）内部及管理用户</w:t>
            </w:r>
          </w:p>
          <w:p>
            <w:pPr>
              <w:pStyle w:val="null3"/>
              <w:ind w:firstLine="360"/>
              <w:jc w:val="both"/>
            </w:pPr>
            <w:r>
              <w:rPr>
                <w:rFonts w:ascii="仿宋_GB2312" w:hAnsi="仿宋_GB2312" w:cs="仿宋_GB2312" w:eastAsia="仿宋_GB2312"/>
                <w:sz w:val="18"/>
                <w:color w:val="000000"/>
              </w:rPr>
              <w:t>全省共</w:t>
            </w:r>
            <w:r>
              <w:rPr>
                <w:rFonts w:ascii="仿宋_GB2312" w:hAnsi="仿宋_GB2312" w:cs="仿宋_GB2312" w:eastAsia="仿宋_GB2312"/>
                <w:sz w:val="18"/>
                <w:color w:val="000000"/>
              </w:rPr>
              <w:t>12个统筹区，省级10个账户、每地市15个账户共计180个账户。</w:t>
            </w:r>
          </w:p>
          <w:p>
            <w:pPr>
              <w:pStyle w:val="null3"/>
              <w:ind w:firstLine="360"/>
              <w:jc w:val="both"/>
            </w:pPr>
            <w:r>
              <w:rPr>
                <w:rFonts w:ascii="仿宋_GB2312" w:hAnsi="仿宋_GB2312" w:cs="仿宋_GB2312" w:eastAsia="仿宋_GB2312"/>
                <w:sz w:val="18"/>
                <w:color w:val="000000"/>
              </w:rPr>
              <w:t>初始化账户数量：</w:t>
            </w:r>
            <w:r>
              <w:rPr>
                <w:rFonts w:ascii="仿宋_GB2312" w:hAnsi="仿宋_GB2312" w:cs="仿宋_GB2312" w:eastAsia="仿宋_GB2312"/>
                <w:sz w:val="18"/>
                <w:color w:val="000000"/>
              </w:rPr>
              <w:t>190个。</w:t>
            </w:r>
          </w:p>
          <w:p>
            <w:pPr>
              <w:pStyle w:val="null3"/>
              <w:ind w:firstLine="360"/>
              <w:jc w:val="both"/>
            </w:pPr>
            <w:r>
              <w:rPr>
                <w:rFonts w:ascii="仿宋_GB2312" w:hAnsi="仿宋_GB2312" w:cs="仿宋_GB2312" w:eastAsia="仿宋_GB2312"/>
                <w:sz w:val="18"/>
                <w:color w:val="000000"/>
              </w:rPr>
              <w:t>年增长量：账户相对稳定，相对服务对象用户可以忽略，所以账户增量预估为</w:t>
            </w:r>
            <w:r>
              <w:rPr>
                <w:rFonts w:ascii="仿宋_GB2312" w:hAnsi="仿宋_GB2312" w:cs="仿宋_GB2312" w:eastAsia="仿宋_GB2312"/>
                <w:sz w:val="18"/>
                <w:color w:val="000000"/>
              </w:rPr>
              <w:t>0。</w:t>
            </w:r>
          </w:p>
          <w:p>
            <w:pPr>
              <w:pStyle w:val="null3"/>
              <w:ind w:firstLine="360"/>
              <w:jc w:val="both"/>
            </w:pPr>
            <w:r>
              <w:rPr>
                <w:rFonts w:ascii="仿宋_GB2312" w:hAnsi="仿宋_GB2312" w:cs="仿宋_GB2312" w:eastAsia="仿宋_GB2312"/>
                <w:sz w:val="18"/>
                <w:color w:val="000000"/>
              </w:rPr>
              <w:t>2）数据库服务器需要的峰值处理能力</w:t>
            </w:r>
          </w:p>
          <w:p>
            <w:pPr>
              <w:pStyle w:val="null3"/>
              <w:ind w:firstLine="360"/>
              <w:jc w:val="both"/>
            </w:pPr>
            <w:r>
              <w:rPr>
                <w:rFonts w:ascii="仿宋_GB2312" w:hAnsi="仿宋_GB2312" w:cs="仿宋_GB2312" w:eastAsia="仿宋_GB2312"/>
                <w:sz w:val="18"/>
                <w:color w:val="000000"/>
              </w:rPr>
              <w:t>每秒处理事务数</w:t>
            </w:r>
            <w:r>
              <w:rPr>
                <w:rFonts w:ascii="仿宋_GB2312" w:hAnsi="仿宋_GB2312" w:cs="仿宋_GB2312" w:eastAsia="仿宋_GB2312"/>
                <w:sz w:val="18"/>
                <w:color w:val="000000"/>
              </w:rPr>
              <w:t>=系统忙时并发PV访问量+访问高峰期每秒响应的应用请求数，依据目前医保信息平台运维反馈数据，系统，忙时并发约为在线用户的80%。</w:t>
            </w:r>
          </w:p>
          <w:p>
            <w:pPr>
              <w:pStyle w:val="null3"/>
              <w:ind w:firstLine="360"/>
              <w:jc w:val="both"/>
            </w:pPr>
            <w:r>
              <w:rPr>
                <w:rFonts w:ascii="仿宋_GB2312" w:hAnsi="仿宋_GB2312" w:cs="仿宋_GB2312" w:eastAsia="仿宋_GB2312"/>
                <w:sz w:val="18"/>
                <w:color w:val="000000"/>
              </w:rPr>
              <w:t>综上所述，考虑到行政人员单位编制调整增长等因素，本项目中线上年终清算最大注册用户数</w:t>
            </w:r>
            <w:r>
              <w:rPr>
                <w:rFonts w:ascii="仿宋_GB2312" w:hAnsi="仿宋_GB2312" w:cs="仿宋_GB2312" w:eastAsia="仿宋_GB2312"/>
                <w:sz w:val="18"/>
                <w:color w:val="000000"/>
              </w:rPr>
              <w:t>200，最大在线用户数80，最大并发用户数60。</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3）省内异地就医纳入就医地结算</w:t>
            </w:r>
          </w:p>
          <w:p>
            <w:pPr>
              <w:pStyle w:val="null3"/>
              <w:ind w:firstLine="360"/>
              <w:jc w:val="both"/>
            </w:pPr>
            <w:r>
              <w:rPr>
                <w:rFonts w:ascii="仿宋_GB2312" w:hAnsi="仿宋_GB2312" w:cs="仿宋_GB2312" w:eastAsia="仿宋_GB2312"/>
                <w:sz w:val="18"/>
                <w:color w:val="000000"/>
              </w:rPr>
              <w:t>1）内部及管理用户</w:t>
            </w:r>
          </w:p>
          <w:p>
            <w:pPr>
              <w:pStyle w:val="null3"/>
              <w:ind w:firstLine="360"/>
              <w:jc w:val="both"/>
            </w:pPr>
            <w:r>
              <w:rPr>
                <w:rFonts w:ascii="仿宋_GB2312" w:hAnsi="仿宋_GB2312" w:cs="仿宋_GB2312" w:eastAsia="仿宋_GB2312"/>
                <w:sz w:val="18"/>
                <w:color w:val="000000"/>
              </w:rPr>
              <w:t>全省共</w:t>
            </w:r>
            <w:r>
              <w:rPr>
                <w:rFonts w:ascii="仿宋_GB2312" w:hAnsi="仿宋_GB2312" w:cs="仿宋_GB2312" w:eastAsia="仿宋_GB2312"/>
                <w:sz w:val="18"/>
                <w:color w:val="000000"/>
              </w:rPr>
              <w:t>12个统筹区，省级10个账户、每地市15个账户共计180个账户。</w:t>
            </w:r>
          </w:p>
          <w:p>
            <w:pPr>
              <w:pStyle w:val="null3"/>
              <w:ind w:firstLine="360"/>
              <w:jc w:val="both"/>
            </w:pPr>
            <w:r>
              <w:rPr>
                <w:rFonts w:ascii="仿宋_GB2312" w:hAnsi="仿宋_GB2312" w:cs="仿宋_GB2312" w:eastAsia="仿宋_GB2312"/>
                <w:sz w:val="18"/>
                <w:color w:val="000000"/>
              </w:rPr>
              <w:t>初始化账户数量：</w:t>
            </w:r>
            <w:r>
              <w:rPr>
                <w:rFonts w:ascii="仿宋_GB2312" w:hAnsi="仿宋_GB2312" w:cs="仿宋_GB2312" w:eastAsia="仿宋_GB2312"/>
                <w:sz w:val="18"/>
                <w:color w:val="000000"/>
              </w:rPr>
              <w:t>190个。</w:t>
            </w:r>
          </w:p>
          <w:p>
            <w:pPr>
              <w:pStyle w:val="null3"/>
              <w:ind w:firstLine="360"/>
              <w:jc w:val="both"/>
            </w:pPr>
            <w:r>
              <w:rPr>
                <w:rFonts w:ascii="仿宋_GB2312" w:hAnsi="仿宋_GB2312" w:cs="仿宋_GB2312" w:eastAsia="仿宋_GB2312"/>
                <w:sz w:val="18"/>
                <w:color w:val="000000"/>
              </w:rPr>
              <w:t>年增长量：账户相对稳定，相对服务对象用户可以忽略，所以账户增量预估为</w:t>
            </w:r>
            <w:r>
              <w:rPr>
                <w:rFonts w:ascii="仿宋_GB2312" w:hAnsi="仿宋_GB2312" w:cs="仿宋_GB2312" w:eastAsia="仿宋_GB2312"/>
                <w:sz w:val="18"/>
                <w:color w:val="000000"/>
              </w:rPr>
              <w:t>0。</w:t>
            </w:r>
          </w:p>
          <w:p>
            <w:pPr>
              <w:pStyle w:val="null3"/>
              <w:ind w:firstLine="360"/>
              <w:jc w:val="both"/>
            </w:pPr>
            <w:r>
              <w:rPr>
                <w:rFonts w:ascii="仿宋_GB2312" w:hAnsi="仿宋_GB2312" w:cs="仿宋_GB2312" w:eastAsia="仿宋_GB2312"/>
                <w:sz w:val="18"/>
                <w:color w:val="000000"/>
              </w:rPr>
              <w:t>2）数据库服务器需要的峰值处理能力</w:t>
            </w:r>
          </w:p>
          <w:p>
            <w:pPr>
              <w:pStyle w:val="null3"/>
              <w:ind w:firstLine="360"/>
              <w:jc w:val="both"/>
            </w:pPr>
            <w:r>
              <w:rPr>
                <w:rFonts w:ascii="仿宋_GB2312" w:hAnsi="仿宋_GB2312" w:cs="仿宋_GB2312" w:eastAsia="仿宋_GB2312"/>
                <w:sz w:val="18"/>
                <w:color w:val="000000"/>
              </w:rPr>
              <w:t>每秒处理事务数</w:t>
            </w:r>
            <w:r>
              <w:rPr>
                <w:rFonts w:ascii="仿宋_GB2312" w:hAnsi="仿宋_GB2312" w:cs="仿宋_GB2312" w:eastAsia="仿宋_GB2312"/>
                <w:sz w:val="18"/>
                <w:color w:val="000000"/>
              </w:rPr>
              <w:t>=系统忙时并发PV访问量+访问高峰期每秒响应的应用请求数，依据目前医保信息平台运维反馈数据，系统，忙时并发约为在线用户的80%。</w:t>
            </w:r>
          </w:p>
          <w:p>
            <w:pPr>
              <w:pStyle w:val="null3"/>
              <w:ind w:firstLine="360"/>
              <w:jc w:val="both"/>
            </w:pPr>
            <w:r>
              <w:rPr>
                <w:rFonts w:ascii="仿宋_GB2312" w:hAnsi="仿宋_GB2312" w:cs="仿宋_GB2312" w:eastAsia="仿宋_GB2312"/>
                <w:sz w:val="18"/>
                <w:color w:val="000000"/>
              </w:rPr>
              <w:t>综上所述，考虑到行政人员单位编制调整增长等因素，本项目中省内异地就医纳入就医地结算最大注册用户数</w:t>
            </w:r>
            <w:r>
              <w:rPr>
                <w:rFonts w:ascii="仿宋_GB2312" w:hAnsi="仿宋_GB2312" w:cs="仿宋_GB2312" w:eastAsia="仿宋_GB2312"/>
                <w:sz w:val="18"/>
                <w:color w:val="000000"/>
              </w:rPr>
              <w:t>200，最大在线用户数80，最大并发用户数60。</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4）医保支付资格管理</w:t>
            </w:r>
          </w:p>
          <w:p>
            <w:pPr>
              <w:pStyle w:val="null3"/>
              <w:ind w:firstLine="360"/>
              <w:jc w:val="both"/>
            </w:pPr>
            <w:r>
              <w:rPr>
                <w:rFonts w:ascii="仿宋_GB2312" w:hAnsi="仿宋_GB2312" w:cs="仿宋_GB2312" w:eastAsia="仿宋_GB2312"/>
                <w:sz w:val="18"/>
                <w:color w:val="000000"/>
              </w:rPr>
              <w:t>1）内部及管理用户</w:t>
            </w:r>
          </w:p>
          <w:p>
            <w:pPr>
              <w:pStyle w:val="null3"/>
              <w:ind w:firstLine="360"/>
              <w:jc w:val="both"/>
            </w:pPr>
            <w:r>
              <w:rPr>
                <w:rFonts w:ascii="仿宋_GB2312" w:hAnsi="仿宋_GB2312" w:cs="仿宋_GB2312" w:eastAsia="仿宋_GB2312"/>
                <w:sz w:val="18"/>
                <w:color w:val="000000"/>
              </w:rPr>
              <w:t>全省区经办</w:t>
            </w:r>
            <w:r>
              <w:rPr>
                <w:rFonts w:ascii="仿宋_GB2312" w:hAnsi="仿宋_GB2312" w:cs="仿宋_GB2312" w:eastAsia="仿宋_GB2312"/>
                <w:sz w:val="18"/>
                <w:color w:val="000000"/>
              </w:rPr>
              <w:t>146个，区县对应街道的合计数是3331，按照每个区经办一个，街道的网格人员1个，总计3477。</w:t>
            </w:r>
          </w:p>
          <w:p>
            <w:pPr>
              <w:pStyle w:val="null3"/>
              <w:ind w:firstLine="360"/>
              <w:jc w:val="both"/>
            </w:pPr>
            <w:r>
              <w:rPr>
                <w:rFonts w:ascii="仿宋_GB2312" w:hAnsi="仿宋_GB2312" w:cs="仿宋_GB2312" w:eastAsia="仿宋_GB2312"/>
                <w:sz w:val="18"/>
                <w:color w:val="000000"/>
              </w:rPr>
              <w:t>初始化账户数量：</w:t>
            </w:r>
            <w:r>
              <w:rPr>
                <w:rFonts w:ascii="仿宋_GB2312" w:hAnsi="仿宋_GB2312" w:cs="仿宋_GB2312" w:eastAsia="仿宋_GB2312"/>
                <w:sz w:val="18"/>
                <w:color w:val="000000"/>
              </w:rPr>
              <w:t>3477个。</w:t>
            </w:r>
          </w:p>
          <w:p>
            <w:pPr>
              <w:pStyle w:val="null3"/>
              <w:ind w:firstLine="360"/>
              <w:jc w:val="both"/>
            </w:pPr>
            <w:r>
              <w:rPr>
                <w:rFonts w:ascii="仿宋_GB2312" w:hAnsi="仿宋_GB2312" w:cs="仿宋_GB2312" w:eastAsia="仿宋_GB2312"/>
                <w:sz w:val="18"/>
                <w:color w:val="000000"/>
              </w:rPr>
              <w:t>年增长量：账户相对稳定，相对服务对象用户可以忽略，所以账户增量预估为</w:t>
            </w:r>
            <w:r>
              <w:rPr>
                <w:rFonts w:ascii="仿宋_GB2312" w:hAnsi="仿宋_GB2312" w:cs="仿宋_GB2312" w:eastAsia="仿宋_GB2312"/>
                <w:sz w:val="18"/>
                <w:color w:val="000000"/>
              </w:rPr>
              <w:t>0。</w:t>
            </w:r>
          </w:p>
          <w:p>
            <w:pPr>
              <w:pStyle w:val="null3"/>
              <w:ind w:firstLine="360"/>
              <w:jc w:val="both"/>
            </w:pPr>
            <w:r>
              <w:rPr>
                <w:rFonts w:ascii="仿宋_GB2312" w:hAnsi="仿宋_GB2312" w:cs="仿宋_GB2312" w:eastAsia="仿宋_GB2312"/>
                <w:sz w:val="18"/>
                <w:color w:val="000000"/>
              </w:rPr>
              <w:t>2）数据库服务器需要的峰值处理能力</w:t>
            </w:r>
          </w:p>
          <w:p>
            <w:pPr>
              <w:pStyle w:val="null3"/>
              <w:ind w:firstLine="360"/>
              <w:jc w:val="both"/>
            </w:pPr>
            <w:r>
              <w:rPr>
                <w:rFonts w:ascii="仿宋_GB2312" w:hAnsi="仿宋_GB2312" w:cs="仿宋_GB2312" w:eastAsia="仿宋_GB2312"/>
                <w:sz w:val="18"/>
                <w:color w:val="000000"/>
              </w:rPr>
              <w:t>每秒处理事务数</w:t>
            </w:r>
            <w:r>
              <w:rPr>
                <w:rFonts w:ascii="仿宋_GB2312" w:hAnsi="仿宋_GB2312" w:cs="仿宋_GB2312" w:eastAsia="仿宋_GB2312"/>
                <w:sz w:val="18"/>
                <w:color w:val="000000"/>
              </w:rPr>
              <w:t>=系统忙时并发PV访问量+访问高峰期每秒响应的应用请求数，依据目前医保信息平台运维反馈数据，系统忙时并发约为在线用户的30%。</w:t>
            </w:r>
          </w:p>
          <w:p>
            <w:pPr>
              <w:pStyle w:val="null3"/>
              <w:ind w:firstLine="360"/>
              <w:jc w:val="both"/>
            </w:pPr>
            <w:r>
              <w:rPr>
                <w:rFonts w:ascii="仿宋_GB2312" w:hAnsi="仿宋_GB2312" w:cs="仿宋_GB2312" w:eastAsia="仿宋_GB2312"/>
                <w:sz w:val="18"/>
                <w:color w:val="000000"/>
              </w:rPr>
              <w:t>综上所述，考虑到行政人员单位编制调整增长等因素，且后续工作可能细化到网格化管理，本项目中医保支付资格管理最大注册用户数</w:t>
            </w:r>
            <w:r>
              <w:rPr>
                <w:rFonts w:ascii="仿宋_GB2312" w:hAnsi="仿宋_GB2312" w:cs="仿宋_GB2312" w:eastAsia="仿宋_GB2312"/>
                <w:sz w:val="18"/>
                <w:color w:val="000000"/>
              </w:rPr>
              <w:t>50000，最大在线用户数4000，最大并发用户数120（考虑到资源利用率，最大在线和最大并发以当前实际用户为基准评估）。</w:t>
            </w:r>
          </w:p>
          <w:p>
            <w:pPr>
              <w:pStyle w:val="null3"/>
              <w:numPr>
                <w:ilvl w:val="0"/>
                <w:numId w:val="2"/>
              </w:numPr>
              <w:jc w:val="both"/>
            </w:pPr>
            <w:r>
              <w:rPr>
                <w:rFonts w:ascii="仿宋_GB2312" w:hAnsi="仿宋_GB2312" w:cs="仿宋_GB2312" w:eastAsia="仿宋_GB2312"/>
                <w:sz w:val="18"/>
                <w:color w:val="000000"/>
              </w:rPr>
              <w:t>其他性能需求</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1）系统必须能够切实满足平台管理的需求，并且适应今后的业务增长和变化，随时可以按功能需要进行修改和维护。</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2）系统应采用通用软件开发平台进行开发，有很强的灵活性和扩展性，在今后开展新业务时可通过对参数等的简单更改迅速方便地实现，具有良好的适应能力。</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系统应采用图形化窗口的用户操作界面，可操作性强，而且操作界面应力求简洁、直观，具有全中文界面，有向导性功能，支持工作台化管理，有利于简化操作，并提高操作效率。在考虑简化用户的操作的同时，应允许操作人员必要时做一些人工干预。</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4）系统应具备一套完备的数据管理体系，以保证系统的安全可靠和整个系统的正常运转</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5）系统还应采用参数驱动的设计思想，在应用软件中，凡是不能确定的因素，应做到参数化，以达到通过对参数的设置就可适应不同的情况及不同时期的应用要求，并具备多用户和多任务操作能力。</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6）所有系统功能由一个应用架构完成，确保后期使用方便。</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7）系统必须可制作打包安装盘（包），具有自动安装功能以及网络远程安装功能。</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8）系统要遵循易操作性、健壮性、实用性、高效性和安全性的原则。</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9）灵活设计和详细规划系统操作权限，支持功能级、数据级权限控制。</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10系统应具有完整、严谨的操作权限管理机制和日志记录，确保系统的安全性和业务的可稽核性；系统采用业务回退机制，加强业务的可逆性。</w:t>
            </w:r>
          </w:p>
          <w:p>
            <w:pPr>
              <w:pStyle w:val="null3"/>
              <w:numPr>
                <w:ilvl w:val="0"/>
                <w:numId w:val="2"/>
              </w:numPr>
            </w:pPr>
            <w:r>
              <w:rPr>
                <w:rFonts w:ascii="仿宋_GB2312" w:hAnsi="仿宋_GB2312" w:cs="仿宋_GB2312" w:eastAsia="仿宋_GB2312"/>
              </w:rPr>
              <w:t>1.3.10</w:t>
            </w:r>
            <w:r>
              <w:rPr>
                <w:rFonts w:ascii="仿宋_GB2312" w:hAnsi="仿宋_GB2312" w:cs="仿宋_GB2312" w:eastAsia="仿宋_GB2312"/>
                <w:sz w:val="18"/>
                <w:b/>
                <w:color w:val="000000"/>
              </w:rPr>
              <w:t>软件技术要求</w:t>
            </w:r>
          </w:p>
          <w:p>
            <w:pPr>
              <w:pStyle w:val="null3"/>
              <w:ind w:firstLine="480"/>
            </w:pPr>
            <w:r>
              <w:rPr>
                <w:rFonts w:ascii="仿宋_GB2312" w:hAnsi="仿宋_GB2312" w:cs="仿宋_GB2312" w:eastAsia="仿宋_GB2312"/>
                <w:sz w:val="18"/>
              </w:rPr>
              <w:t>企业级的解决方案，支持可分布的、可伸缩的体系结构。支持部署在</w:t>
            </w:r>
            <w:r>
              <w:rPr>
                <w:rFonts w:ascii="仿宋_GB2312" w:hAnsi="仿宋_GB2312" w:cs="仿宋_GB2312" w:eastAsia="仿宋_GB2312"/>
                <w:sz w:val="18"/>
              </w:rPr>
              <w:t>医保现有</w:t>
            </w:r>
            <w:r>
              <w:rPr>
                <w:rFonts w:ascii="仿宋_GB2312" w:hAnsi="仿宋_GB2312" w:cs="仿宋_GB2312" w:eastAsia="仿宋_GB2312"/>
                <w:sz w:val="18"/>
              </w:rPr>
              <w:t>的操作系统（</w:t>
            </w:r>
            <w:r>
              <w:rPr>
                <w:rFonts w:ascii="仿宋_GB2312" w:hAnsi="仿宋_GB2312" w:cs="仿宋_GB2312" w:eastAsia="仿宋_GB2312"/>
                <w:sz w:val="18"/>
              </w:rPr>
              <w:t>Linux）</w:t>
            </w:r>
            <w:r>
              <w:rPr>
                <w:rFonts w:ascii="仿宋_GB2312" w:hAnsi="仿宋_GB2312" w:cs="仿宋_GB2312" w:eastAsia="仿宋_GB2312"/>
                <w:sz w:val="18"/>
              </w:rPr>
              <w:t>、</w:t>
            </w:r>
            <w:r>
              <w:rPr>
                <w:rFonts w:ascii="仿宋_GB2312" w:hAnsi="仿宋_GB2312" w:cs="仿宋_GB2312" w:eastAsia="仿宋_GB2312"/>
                <w:sz w:val="18"/>
              </w:rPr>
              <w:t>数据库环境（</w:t>
            </w:r>
            <w:r>
              <w:rPr>
                <w:rFonts w:ascii="仿宋_GB2312" w:hAnsi="仿宋_GB2312" w:cs="仿宋_GB2312" w:eastAsia="仿宋_GB2312"/>
                <w:sz w:val="18"/>
              </w:rPr>
              <w:t>MYSQL）</w:t>
            </w:r>
            <w:r>
              <w:rPr>
                <w:rFonts w:ascii="仿宋_GB2312" w:hAnsi="仿宋_GB2312" w:cs="仿宋_GB2312" w:eastAsia="仿宋_GB2312"/>
                <w:sz w:val="18"/>
              </w:rPr>
              <w:t>和硬件平台上，支持</w:t>
            </w:r>
            <w:r>
              <w:rPr>
                <w:rFonts w:ascii="仿宋_GB2312" w:hAnsi="仿宋_GB2312" w:cs="仿宋_GB2312" w:eastAsia="仿宋_GB2312"/>
                <w:sz w:val="18"/>
              </w:rPr>
              <w:t>B/S结构，支持云计算技术架构。</w:t>
            </w:r>
          </w:p>
          <w:p>
            <w:pPr>
              <w:pStyle w:val="null3"/>
              <w:ind w:firstLine="480"/>
            </w:pPr>
            <w:r>
              <w:rPr>
                <w:rFonts w:ascii="仿宋_GB2312" w:hAnsi="仿宋_GB2312" w:cs="仿宋_GB2312" w:eastAsia="仿宋_GB2312"/>
                <w:sz w:val="18"/>
              </w:rPr>
              <w:t>投标方提供的软件应该基于国家医疗保障局</w:t>
            </w:r>
            <w:r>
              <w:rPr>
                <w:rFonts w:ascii="仿宋_GB2312" w:hAnsi="仿宋_GB2312" w:cs="仿宋_GB2312" w:eastAsia="仿宋_GB2312"/>
                <w:sz w:val="18"/>
              </w:rPr>
              <w:t>HSAF应用框架和国家局下发的业务中台进行开发，支持对业务中台服务调用。</w:t>
            </w:r>
          </w:p>
          <w:p>
            <w:pPr>
              <w:pStyle w:val="null3"/>
              <w:ind w:firstLine="480"/>
            </w:pPr>
            <w:r>
              <w:rPr>
                <w:rFonts w:ascii="仿宋_GB2312" w:hAnsi="仿宋_GB2312" w:cs="仿宋_GB2312" w:eastAsia="仿宋_GB2312"/>
                <w:sz w:val="18"/>
              </w:rPr>
              <w:t>投标方提供的软件必须是模块化设计，并且保证任何软件模块的维护和更新都不影响其它软件模块。</w:t>
            </w:r>
          </w:p>
          <w:p>
            <w:pPr>
              <w:pStyle w:val="null3"/>
              <w:ind w:firstLine="480"/>
            </w:pPr>
            <w:r>
              <w:rPr>
                <w:rFonts w:ascii="仿宋_GB2312" w:hAnsi="仿宋_GB2312" w:cs="仿宋_GB2312" w:eastAsia="仿宋_GB2312"/>
                <w:sz w:val="18"/>
              </w:rPr>
              <w:t>投标方提供的软件应具有自身故障监视和诊断能力，即软件能及时发现故障。</w:t>
            </w:r>
          </w:p>
          <w:p>
            <w:pPr>
              <w:pStyle w:val="null3"/>
              <w:ind w:firstLine="480"/>
            </w:pPr>
            <w:r>
              <w:rPr>
                <w:rFonts w:ascii="仿宋_GB2312" w:hAnsi="仿宋_GB2312" w:cs="仿宋_GB2312" w:eastAsia="仿宋_GB2312"/>
                <w:sz w:val="18"/>
              </w:rPr>
              <w:t>投标方提供的软件在不同时期软件版本应能向下兼容，软件版本易于升级，且在升级的过程中不影响业务的性能与运行。</w:t>
            </w:r>
          </w:p>
          <w:p>
            <w:pPr>
              <w:pStyle w:val="null3"/>
              <w:ind w:firstLine="480"/>
            </w:pPr>
            <w:r>
              <w:rPr>
                <w:rFonts w:ascii="仿宋_GB2312" w:hAnsi="仿宋_GB2312" w:cs="仿宋_GB2312" w:eastAsia="仿宋_GB2312"/>
                <w:sz w:val="18"/>
              </w:rPr>
              <w:t>投标方应承诺在供货时提供最新版本的软件，但该软件必须是经过测试正式推出，其可靠性、稳定性经过严格验证。</w:t>
            </w:r>
          </w:p>
          <w:p>
            <w:pPr>
              <w:pStyle w:val="null3"/>
              <w:ind w:firstLine="480"/>
            </w:pPr>
            <w:r>
              <w:rPr>
                <w:rFonts w:ascii="仿宋_GB2312" w:hAnsi="仿宋_GB2312" w:cs="仿宋_GB2312" w:eastAsia="仿宋_GB2312"/>
                <w:sz w:val="18"/>
              </w:rPr>
              <w:t>本项目运维期内，软件版本升级时，投标方应承诺免费更新软件版本，并提供相应的新版本软件功能说明书及修改说明书。</w:t>
            </w:r>
          </w:p>
          <w:p>
            <w:pPr>
              <w:pStyle w:val="null3"/>
              <w:ind w:firstLine="480"/>
            </w:pPr>
            <w:r>
              <w:rPr>
                <w:rFonts w:ascii="仿宋_GB2312" w:hAnsi="仿宋_GB2312" w:cs="仿宋_GB2312" w:eastAsia="仿宋_GB2312"/>
                <w:sz w:val="18"/>
              </w:rPr>
              <w:t>投标方提供的应用软件具有较强的容错功能。</w:t>
            </w:r>
          </w:p>
          <w:p>
            <w:pPr>
              <w:pStyle w:val="null3"/>
              <w:ind w:firstLine="480"/>
            </w:pPr>
            <w:r>
              <w:rPr>
                <w:rFonts w:ascii="仿宋_GB2312" w:hAnsi="仿宋_GB2312" w:cs="仿宋_GB2312" w:eastAsia="仿宋_GB2312"/>
                <w:sz w:val="18"/>
              </w:rPr>
              <w:t>投标方需要满足医保现有使用操作系统（</w:t>
            </w:r>
            <w:r>
              <w:rPr>
                <w:rFonts w:ascii="仿宋_GB2312" w:hAnsi="仿宋_GB2312" w:cs="仿宋_GB2312" w:eastAsia="仿宋_GB2312"/>
                <w:sz w:val="18"/>
              </w:rPr>
              <w:t>Linux）、数据库</w:t>
            </w:r>
            <w:r>
              <w:rPr>
                <w:rFonts w:ascii="仿宋_GB2312" w:hAnsi="仿宋_GB2312" w:cs="仿宋_GB2312" w:eastAsia="仿宋_GB2312"/>
                <w:sz w:val="18"/>
              </w:rPr>
              <w:t>（</w:t>
            </w:r>
            <w:r>
              <w:rPr>
                <w:rFonts w:ascii="仿宋_GB2312" w:hAnsi="仿宋_GB2312" w:cs="仿宋_GB2312" w:eastAsia="仿宋_GB2312"/>
                <w:sz w:val="18"/>
              </w:rPr>
              <w:t>MYSQL）</w:t>
            </w:r>
            <w:r>
              <w:rPr>
                <w:rFonts w:ascii="仿宋_GB2312" w:hAnsi="仿宋_GB2312" w:cs="仿宋_GB2312" w:eastAsia="仿宋_GB2312"/>
                <w:sz w:val="18"/>
              </w:rPr>
              <w:t>要求，在现有已经采购的应用系统软件基础上进行开发。</w:t>
            </w:r>
          </w:p>
          <w:p>
            <w:pPr>
              <w:pStyle w:val="null3"/>
              <w:numPr>
                <w:ilvl w:val="0"/>
                <w:numId w:val="2"/>
              </w:numPr>
            </w:pPr>
            <w:r>
              <w:rPr>
                <w:rFonts w:ascii="仿宋_GB2312" w:hAnsi="仿宋_GB2312" w:cs="仿宋_GB2312" w:eastAsia="仿宋_GB2312"/>
              </w:rPr>
              <w:t>1.3.11</w:t>
            </w:r>
            <w:r>
              <w:rPr>
                <w:rFonts w:ascii="仿宋_GB2312" w:hAnsi="仿宋_GB2312" w:cs="仿宋_GB2312" w:eastAsia="仿宋_GB2312"/>
                <w:sz w:val="18"/>
                <w:b/>
                <w:color w:val="000000"/>
              </w:rPr>
              <w:t>投标方第三方软件技术要求</w:t>
            </w:r>
          </w:p>
          <w:p>
            <w:pPr>
              <w:pStyle w:val="null3"/>
              <w:ind w:firstLine="480"/>
            </w:pPr>
            <w:r>
              <w:rPr>
                <w:rFonts w:ascii="仿宋_GB2312" w:hAnsi="仿宋_GB2312" w:cs="仿宋_GB2312" w:eastAsia="仿宋_GB2312"/>
                <w:sz w:val="18"/>
              </w:rPr>
              <w:t>投标方原则上须使用招标方所提供的第三方软件，如遇特殊情况，需使用其他第三方软件，在征得招标方同意后，由投标方自行解决。</w:t>
            </w:r>
          </w:p>
          <w:p>
            <w:pPr>
              <w:pStyle w:val="null3"/>
              <w:numPr>
                <w:ilvl w:val="0"/>
                <w:numId w:val="2"/>
              </w:numPr>
            </w:pPr>
            <w:r>
              <w:rPr>
                <w:rFonts w:ascii="仿宋_GB2312" w:hAnsi="仿宋_GB2312" w:cs="仿宋_GB2312" w:eastAsia="仿宋_GB2312"/>
              </w:rPr>
              <w:t>1.3.12</w:t>
            </w:r>
            <w:r>
              <w:rPr>
                <w:rFonts w:ascii="仿宋_GB2312" w:hAnsi="仿宋_GB2312" w:cs="仿宋_GB2312" w:eastAsia="仿宋_GB2312"/>
                <w:sz w:val="18"/>
                <w:b/>
                <w:color w:val="000000"/>
              </w:rPr>
              <w:t>项目进度要求</w:t>
            </w:r>
          </w:p>
          <w:p>
            <w:pPr>
              <w:pStyle w:val="null3"/>
              <w:ind w:firstLine="360"/>
              <w:jc w:val="both"/>
            </w:pPr>
            <w:r>
              <w:rPr>
                <w:rFonts w:ascii="仿宋_GB2312" w:hAnsi="仿宋_GB2312" w:cs="仿宋_GB2312" w:eastAsia="仿宋_GB2312"/>
                <w:sz w:val="18"/>
                <w:color w:val="000000"/>
              </w:rPr>
              <w:t>投标人需要根据本次项目建设的特点及国家考核要求，本项目建设周期自合同签订之日起</w:t>
            </w:r>
            <w:r>
              <w:rPr>
                <w:rFonts w:ascii="仿宋_GB2312" w:hAnsi="仿宋_GB2312" w:cs="仿宋_GB2312" w:eastAsia="仿宋_GB2312"/>
                <w:sz w:val="18"/>
                <w:color w:val="000000"/>
              </w:rPr>
              <w:t>1个月内完成12个统筹区线上年终结算清算、即时结算建设及使用，3个月内完成12个统筹区省内异地就医纳入本地按病种付费结算建设及使用，3个月内完成“一人一档”建设及使用，3个月内完成定点医药机构相关人员医保支付资格管理建设及使用。</w:t>
            </w:r>
          </w:p>
          <w:p>
            <w:pPr>
              <w:pStyle w:val="null3"/>
              <w:ind w:firstLine="360"/>
              <w:jc w:val="both"/>
            </w:pPr>
            <w:r>
              <w:rPr>
                <w:rFonts w:ascii="仿宋_GB2312" w:hAnsi="仿宋_GB2312" w:cs="仿宋_GB2312" w:eastAsia="仿宋_GB2312"/>
                <w:sz w:val="18"/>
                <w:color w:val="000000"/>
              </w:rPr>
              <w:t>总体项目周期为自合同签订之日起</w:t>
            </w:r>
            <w:r>
              <w:rPr>
                <w:rFonts w:ascii="仿宋_GB2312" w:hAnsi="仿宋_GB2312" w:cs="仿宋_GB2312" w:eastAsia="仿宋_GB2312"/>
                <w:sz w:val="18"/>
                <w:color w:val="000000"/>
              </w:rPr>
              <w:t>12</w:t>
            </w:r>
            <w:r>
              <w:rPr>
                <w:rFonts w:ascii="仿宋_GB2312" w:hAnsi="仿宋_GB2312" w:cs="仿宋_GB2312" w:eastAsia="仿宋_GB2312"/>
                <w:sz w:val="18"/>
                <w:color w:val="000000"/>
              </w:rPr>
              <w:t>个月，完成全部系统建设及验收工作。</w:t>
            </w:r>
          </w:p>
          <w:p>
            <w:pPr>
              <w:pStyle w:val="null3"/>
              <w:ind w:firstLine="360"/>
              <w:jc w:val="both"/>
            </w:pPr>
            <w:r>
              <w:rPr>
                <w:rFonts w:ascii="仿宋_GB2312" w:hAnsi="仿宋_GB2312" w:cs="仿宋_GB2312" w:eastAsia="仿宋_GB2312"/>
                <w:sz w:val="18"/>
                <w:color w:val="000000"/>
              </w:rPr>
              <w:t>在工程实施全过程中，招标方有对工程质量进行监督控制的职责和权利，承建商应按照项目管理要求进行严格的质量控制，并制定详细合理的沟通计划，至少包括周报、月报和项目例会，应确保双方能及时了解所需的信息。</w:t>
            </w:r>
          </w:p>
          <w:p>
            <w:pPr>
              <w:pStyle w:val="null3"/>
              <w:numPr>
                <w:ilvl w:val="0"/>
                <w:numId w:val="2"/>
              </w:numPr>
            </w:pPr>
            <w:r>
              <w:rPr>
                <w:rFonts w:ascii="仿宋_GB2312" w:hAnsi="仿宋_GB2312" w:cs="仿宋_GB2312" w:eastAsia="仿宋_GB2312"/>
              </w:rPr>
              <w:t>1.3.13</w:t>
            </w:r>
            <w:r>
              <w:rPr>
                <w:rFonts w:ascii="仿宋_GB2312" w:hAnsi="仿宋_GB2312" w:cs="仿宋_GB2312" w:eastAsia="仿宋_GB2312"/>
                <w:sz w:val="18"/>
                <w:b/>
                <w:color w:val="000000"/>
              </w:rPr>
              <w:t>项目管理要求</w:t>
            </w:r>
          </w:p>
          <w:p>
            <w:pPr>
              <w:pStyle w:val="null3"/>
              <w:ind w:firstLine="480"/>
            </w:pPr>
            <w:r>
              <w:rPr>
                <w:rFonts w:ascii="仿宋_GB2312" w:hAnsi="仿宋_GB2312" w:cs="仿宋_GB2312" w:eastAsia="仿宋_GB2312"/>
                <w:sz w:val="18"/>
              </w:rPr>
              <w:t>投标人需提供本次工程建设的项目管理方案，本项目投入技术人员总数不少于</w:t>
            </w:r>
            <w:r>
              <w:rPr>
                <w:rFonts w:ascii="仿宋_GB2312" w:hAnsi="仿宋_GB2312" w:cs="仿宋_GB2312" w:eastAsia="仿宋_GB2312"/>
                <w:sz w:val="18"/>
              </w:rPr>
              <w:t>10人，投标人提供项目人员名单，允许各实施阶段人员有重复，包括项目人员名单（投标方安排的项目人员必须固定，若有替换，必须与招标人协商，未经招标人同意，人员变动扣除项目1%/人，人员超过总人数10%，甲方有权终止项目。此外，投标人所安排的开发和运维人员必须专职于本项目的开发）及角色分工、项目实施计划、项目变更管理方案以及项目风险管理方案等。投标人应承诺提供现场实施服务。</w:t>
            </w:r>
          </w:p>
          <w:p>
            <w:pPr>
              <w:pStyle w:val="null3"/>
              <w:ind w:firstLine="480"/>
            </w:pPr>
            <w:r>
              <w:rPr>
                <w:rFonts w:ascii="仿宋_GB2312" w:hAnsi="仿宋_GB2312" w:cs="仿宋_GB2312" w:eastAsia="仿宋_GB2312"/>
                <w:sz w:val="18"/>
              </w:rPr>
              <w:t>基本要求如下：</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1）项目经理</w:t>
            </w:r>
          </w:p>
          <w:p>
            <w:pPr>
              <w:pStyle w:val="null3"/>
              <w:ind w:firstLine="480"/>
            </w:pPr>
            <w:r>
              <w:rPr>
                <w:rFonts w:ascii="仿宋_GB2312" w:hAnsi="仿宋_GB2312" w:cs="仿宋_GB2312" w:eastAsia="仿宋_GB2312"/>
                <w:sz w:val="18"/>
              </w:rPr>
              <w:t>投标人需要为本项目安排</w:t>
            </w:r>
            <w:r>
              <w:rPr>
                <w:rFonts w:ascii="仿宋_GB2312" w:hAnsi="仿宋_GB2312" w:cs="仿宋_GB2312" w:eastAsia="仿宋_GB2312"/>
                <w:sz w:val="18"/>
              </w:rPr>
              <w:t>1名项目经理，必须在用户现场。要求项目经理具有8年以上的信息化规划和建设管理经验，具有信息化总体规划能力，具备省级及以上医保信息系统项目管理经验，对医保领域信息化有深入理解，有良好的沟通能力、耐性和综合素质，具备专业的项目管理资质认证。</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2）需求分析阶段</w:t>
            </w:r>
          </w:p>
          <w:p>
            <w:pPr>
              <w:pStyle w:val="null3"/>
              <w:ind w:firstLine="480"/>
            </w:pPr>
            <w:r>
              <w:rPr>
                <w:rFonts w:ascii="仿宋_GB2312" w:hAnsi="仿宋_GB2312" w:cs="仿宋_GB2312" w:eastAsia="仿宋_GB2312"/>
                <w:sz w:val="18"/>
              </w:rPr>
              <w:t>投标人需与</w:t>
            </w:r>
            <w:r>
              <w:rPr>
                <w:rFonts w:ascii="仿宋_GB2312" w:hAnsi="仿宋_GB2312" w:cs="仿宋_GB2312" w:eastAsia="仿宋_GB2312"/>
                <w:sz w:val="18"/>
              </w:rPr>
              <w:t>陕西省医疗保障</w:t>
            </w:r>
            <w:r>
              <w:rPr>
                <w:rFonts w:ascii="仿宋_GB2312" w:hAnsi="仿宋_GB2312" w:cs="仿宋_GB2312" w:eastAsia="仿宋_GB2312"/>
                <w:sz w:val="18"/>
              </w:rPr>
              <w:t>技术服务中心</w:t>
            </w:r>
            <w:r>
              <w:rPr>
                <w:rFonts w:ascii="仿宋_GB2312" w:hAnsi="仿宋_GB2312" w:cs="仿宋_GB2312" w:eastAsia="仿宋_GB2312"/>
                <w:sz w:val="18"/>
              </w:rPr>
              <w:t>相关人员充分沟通，掌握本项目的需求。要求投标方参与人员数量不少于</w:t>
            </w:r>
            <w:r>
              <w:rPr>
                <w:rFonts w:ascii="仿宋_GB2312" w:hAnsi="仿宋_GB2312" w:cs="仿宋_GB2312" w:eastAsia="仿宋_GB2312"/>
                <w:sz w:val="18"/>
              </w:rPr>
              <w:t>5人。</w:t>
            </w:r>
          </w:p>
          <w:p>
            <w:pPr>
              <w:pStyle w:val="null3"/>
              <w:ind w:firstLine="480"/>
            </w:pPr>
            <w:r>
              <w:rPr>
                <w:rFonts w:ascii="仿宋_GB2312" w:hAnsi="仿宋_GB2312" w:cs="仿宋_GB2312" w:eastAsia="仿宋_GB2312"/>
                <w:sz w:val="18"/>
              </w:rPr>
              <w:t>投标人至少需提交的文档：应用系统需求分析报告、数据现状分析报告。</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3）系统设计开发阶段</w:t>
            </w:r>
          </w:p>
          <w:p>
            <w:pPr>
              <w:pStyle w:val="null3"/>
              <w:ind w:firstLine="480"/>
            </w:pPr>
            <w:r>
              <w:rPr>
                <w:rFonts w:ascii="仿宋_GB2312" w:hAnsi="仿宋_GB2312" w:cs="仿宋_GB2312" w:eastAsia="仿宋_GB2312"/>
                <w:sz w:val="18"/>
              </w:rPr>
              <w:t>要求：</w:t>
            </w:r>
          </w:p>
          <w:p>
            <w:pPr>
              <w:pStyle w:val="null3"/>
              <w:ind w:firstLine="480"/>
            </w:pPr>
            <w:r>
              <w:rPr>
                <w:rFonts w:ascii="仿宋_GB2312" w:hAnsi="仿宋_GB2312" w:cs="仿宋_GB2312" w:eastAsia="仿宋_GB2312"/>
                <w:sz w:val="18"/>
              </w:rPr>
              <w:t>1)投标人参与人员数量，针对本项目：总数不少于10人。</w:t>
            </w:r>
          </w:p>
          <w:p>
            <w:pPr>
              <w:pStyle w:val="null3"/>
              <w:ind w:firstLine="480"/>
            </w:pPr>
            <w:r>
              <w:rPr>
                <w:rFonts w:ascii="仿宋_GB2312" w:hAnsi="仿宋_GB2312" w:cs="仿宋_GB2312" w:eastAsia="仿宋_GB2312"/>
                <w:sz w:val="18"/>
              </w:rPr>
              <w:t>2)投标人至少需提交的文档：系统架构设计说明书、系统详细设计说明书、数据库设计说明书、数据转换及迁移方案，各软件功能模块、流程、数据、接口模块的详细说明及内部测试报告。</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4）系统测试阶段</w:t>
            </w:r>
          </w:p>
          <w:p>
            <w:pPr>
              <w:pStyle w:val="null3"/>
              <w:ind w:firstLine="480"/>
            </w:pPr>
            <w:r>
              <w:rPr>
                <w:rFonts w:ascii="仿宋_GB2312" w:hAnsi="仿宋_GB2312" w:cs="仿宋_GB2312" w:eastAsia="仿宋_GB2312"/>
                <w:sz w:val="18"/>
              </w:rPr>
              <w:t>要求：</w:t>
            </w:r>
          </w:p>
          <w:p>
            <w:pPr>
              <w:pStyle w:val="null3"/>
              <w:ind w:firstLine="480"/>
            </w:pPr>
            <w:r>
              <w:rPr>
                <w:rFonts w:ascii="仿宋_GB2312" w:hAnsi="仿宋_GB2312" w:cs="仿宋_GB2312" w:eastAsia="仿宋_GB2312"/>
                <w:sz w:val="18"/>
              </w:rPr>
              <w:t>1)投标人参与人员数量，针对本项目：总数不少于5人。</w:t>
            </w:r>
          </w:p>
          <w:p>
            <w:pPr>
              <w:pStyle w:val="null3"/>
              <w:ind w:firstLine="480"/>
            </w:pPr>
            <w:r>
              <w:rPr>
                <w:rFonts w:ascii="仿宋_GB2312" w:hAnsi="仿宋_GB2312" w:cs="仿宋_GB2312" w:eastAsia="仿宋_GB2312"/>
                <w:sz w:val="18"/>
              </w:rPr>
              <w:t>2)投标人至少需提交的文档：测试方案、测试过程文档、系统整体测试报告、数据转换及迁移测试报告。</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5）系统实施阶段</w:t>
            </w:r>
          </w:p>
          <w:p>
            <w:pPr>
              <w:pStyle w:val="null3"/>
              <w:ind w:firstLine="480"/>
            </w:pPr>
            <w:r>
              <w:rPr>
                <w:rFonts w:ascii="仿宋_GB2312" w:hAnsi="仿宋_GB2312" w:cs="仿宋_GB2312" w:eastAsia="仿宋_GB2312"/>
                <w:sz w:val="18"/>
              </w:rPr>
              <w:t>要求：</w:t>
            </w:r>
          </w:p>
          <w:p>
            <w:pPr>
              <w:pStyle w:val="null3"/>
              <w:ind w:firstLine="480"/>
            </w:pPr>
            <w:r>
              <w:rPr>
                <w:rFonts w:ascii="仿宋_GB2312" w:hAnsi="仿宋_GB2312" w:cs="仿宋_GB2312" w:eastAsia="仿宋_GB2312"/>
                <w:sz w:val="18"/>
              </w:rPr>
              <w:t>1)投标人驻场参与人员数量，针对本项目：总数不少于10人驻场工程师，驻场工程师工作量不额外计费。</w:t>
            </w:r>
          </w:p>
          <w:p>
            <w:pPr>
              <w:pStyle w:val="null3"/>
              <w:ind w:firstLine="480"/>
            </w:pPr>
            <w:r>
              <w:rPr>
                <w:rFonts w:ascii="仿宋_GB2312" w:hAnsi="仿宋_GB2312" w:cs="仿宋_GB2312" w:eastAsia="仿宋_GB2312"/>
                <w:sz w:val="18"/>
              </w:rPr>
              <w:t>2)投标人至少需提交的文档：系统实施计划、过程文档、试运行报告。</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6）驻场服务</w:t>
            </w:r>
          </w:p>
          <w:p>
            <w:pPr>
              <w:pStyle w:val="null3"/>
              <w:ind w:firstLine="480"/>
            </w:pPr>
            <w:r>
              <w:rPr>
                <w:rFonts w:ascii="仿宋_GB2312" w:hAnsi="仿宋_GB2312" w:cs="仿宋_GB2312" w:eastAsia="仿宋_GB2312"/>
                <w:sz w:val="18"/>
              </w:rPr>
              <w:t>本项目</w:t>
            </w:r>
            <w:r>
              <w:rPr>
                <w:rFonts w:ascii="仿宋_GB2312" w:hAnsi="仿宋_GB2312" w:cs="仿宋_GB2312" w:eastAsia="仿宋_GB2312"/>
                <w:sz w:val="18"/>
              </w:rPr>
              <w:t>维保</w:t>
            </w:r>
            <w:r>
              <w:rPr>
                <w:rFonts w:ascii="仿宋_GB2312" w:hAnsi="仿宋_GB2312" w:cs="仿宋_GB2312" w:eastAsia="仿宋_GB2312"/>
                <w:sz w:val="18"/>
              </w:rPr>
              <w:t>期内需提供至少</w:t>
            </w:r>
            <w:r>
              <w:rPr>
                <w:rFonts w:ascii="仿宋_GB2312" w:hAnsi="仿宋_GB2312" w:cs="仿宋_GB2312" w:eastAsia="仿宋_GB2312"/>
                <w:sz w:val="18"/>
              </w:rPr>
              <w:t>5人本项目专职长期驻场工程师，驻场工程师工作量不额外计费，驻场工程师具备本系统进行修改、运维、调整能力，并按客户要求调整本系统（包括驻场工程师工作量内的新需求）。</w:t>
            </w:r>
          </w:p>
          <w:p>
            <w:pPr>
              <w:pStyle w:val="null3"/>
              <w:ind w:firstLine="480"/>
            </w:pPr>
            <w:r>
              <w:rPr>
                <w:rFonts w:ascii="仿宋_GB2312" w:hAnsi="仿宋_GB2312" w:cs="仿宋_GB2312" w:eastAsia="仿宋_GB2312"/>
                <w:sz w:val="18"/>
              </w:rPr>
              <w:t>人员要求：驻场负责人具有</w:t>
            </w:r>
            <w:r>
              <w:rPr>
                <w:rFonts w:ascii="仿宋_GB2312" w:hAnsi="仿宋_GB2312" w:cs="仿宋_GB2312" w:eastAsia="仿宋_GB2312"/>
                <w:sz w:val="18"/>
              </w:rPr>
              <w:t>3年以上的医保或医疗相关领域信息化研发经验，具备省级及以上医保或医疗相关行业建设经验，对医保或医疗相关领域信息化有深入理解，有良好的沟通能力、耐性和综合素质。</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7）系统优化服务</w:t>
            </w:r>
          </w:p>
          <w:p>
            <w:pPr>
              <w:pStyle w:val="null3"/>
              <w:ind w:firstLine="480"/>
            </w:pPr>
            <w:r>
              <w:rPr>
                <w:rFonts w:ascii="仿宋_GB2312" w:hAnsi="仿宋_GB2312" w:cs="仿宋_GB2312" w:eastAsia="仿宋_GB2312"/>
                <w:sz w:val="18"/>
              </w:rPr>
              <w:t>本项目服务期内至少每半年进行一次系统性数据梳理和整体优化，确保数据管理效率。</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8）保密内容</w:t>
            </w:r>
          </w:p>
          <w:p>
            <w:pPr>
              <w:pStyle w:val="null3"/>
              <w:ind w:firstLine="480"/>
            </w:pPr>
            <w:r>
              <w:rPr>
                <w:rFonts w:ascii="仿宋_GB2312" w:hAnsi="仿宋_GB2312" w:cs="仿宋_GB2312" w:eastAsia="仿宋_GB2312"/>
                <w:sz w:val="18"/>
              </w:rPr>
              <w:t>投标人需在投标文件中明确，本项目中数据（包含原始数据和衍生数据）全部为招标人所有，全部列入保密范围，投标人不得在未经用户许可的情况下导出、分析以及移作他用，同时，投标人需签署保密协议。</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9）源代码和产权要求</w:t>
            </w:r>
          </w:p>
          <w:p>
            <w:pPr>
              <w:pStyle w:val="null3"/>
              <w:ind w:firstLine="480"/>
            </w:pPr>
            <w:r>
              <w:rPr>
                <w:rFonts w:ascii="仿宋_GB2312" w:hAnsi="仿宋_GB2312" w:cs="仿宋_GB2312" w:eastAsia="仿宋_GB2312"/>
                <w:sz w:val="18"/>
              </w:rPr>
              <w:t>投标人需在投标文件中明确，本项目中的全部源代码（不包含既有知识产权类和工具）和知识产权全部为招标人所有，投标人需在合作期间及合作终止后</w:t>
            </w:r>
            <w:r>
              <w:rPr>
                <w:rFonts w:ascii="仿宋_GB2312" w:hAnsi="仿宋_GB2312" w:cs="仿宋_GB2312" w:eastAsia="仿宋_GB2312"/>
                <w:sz w:val="18"/>
              </w:rPr>
              <w:t>5年内，在招标人提出要求的3天内无条件提供本项目源代码。</w:t>
            </w:r>
          </w:p>
          <w:p>
            <w:pPr>
              <w:pStyle w:val="null3"/>
              <w:numPr>
                <w:ilvl w:val="0"/>
                <w:numId w:val="2"/>
              </w:numPr>
            </w:pPr>
            <w:r>
              <w:rPr>
                <w:rFonts w:ascii="仿宋_GB2312" w:hAnsi="仿宋_GB2312" w:cs="仿宋_GB2312" w:eastAsia="仿宋_GB2312"/>
              </w:rPr>
              <w:t>1.3.14</w:t>
            </w:r>
            <w:r>
              <w:rPr>
                <w:rFonts w:ascii="仿宋_GB2312" w:hAnsi="仿宋_GB2312" w:cs="仿宋_GB2312" w:eastAsia="仿宋_GB2312"/>
                <w:sz w:val="18"/>
                <w:b/>
                <w:color w:val="000000"/>
              </w:rPr>
              <w:t>培训要求</w:t>
            </w:r>
          </w:p>
          <w:p>
            <w:pPr>
              <w:pStyle w:val="null3"/>
              <w:ind w:firstLine="480"/>
            </w:pPr>
            <w:r>
              <w:rPr>
                <w:rFonts w:ascii="仿宋_GB2312" w:hAnsi="仿宋_GB2312" w:cs="仿宋_GB2312" w:eastAsia="仿宋_GB2312"/>
                <w:sz w:val="18"/>
              </w:rPr>
              <w:t>投标方提供满足招标方要求的师资、资料等条件。培训时间和地点：由招标方指定。</w:t>
            </w:r>
          </w:p>
          <w:p>
            <w:pPr>
              <w:pStyle w:val="null3"/>
              <w:ind w:firstLine="480"/>
            </w:pPr>
            <w:r>
              <w:rPr>
                <w:rFonts w:ascii="仿宋_GB2312" w:hAnsi="仿宋_GB2312" w:cs="仿宋_GB2312" w:eastAsia="仿宋_GB2312"/>
                <w:sz w:val="18"/>
              </w:rPr>
              <w:t>1、对系统建设人员的培训</w:t>
            </w:r>
          </w:p>
          <w:p>
            <w:pPr>
              <w:pStyle w:val="null3"/>
              <w:ind w:firstLine="480"/>
            </w:pPr>
            <w:r>
              <w:rPr>
                <w:rFonts w:ascii="仿宋_GB2312" w:hAnsi="仿宋_GB2312" w:cs="仿宋_GB2312" w:eastAsia="仿宋_GB2312"/>
                <w:sz w:val="18"/>
              </w:rPr>
              <w:t>系统建设人员不仅要对相关的技术有深入的研究，还要对项目运行涉及的具体业务有充分的理解。因此，应加强对系统建设人员这两方面的培训，以保证系统建设符合实际业务需要。</w:t>
            </w:r>
          </w:p>
          <w:p>
            <w:pPr>
              <w:pStyle w:val="null3"/>
              <w:ind w:firstLine="480"/>
            </w:pPr>
            <w:r>
              <w:rPr>
                <w:rFonts w:ascii="仿宋_GB2312" w:hAnsi="仿宋_GB2312" w:cs="仿宋_GB2312" w:eastAsia="仿宋_GB2312"/>
                <w:sz w:val="18"/>
              </w:rPr>
              <w:t>2、对应用部门各级系统应用人员的培训</w:t>
            </w:r>
          </w:p>
          <w:p>
            <w:pPr>
              <w:pStyle w:val="null3"/>
              <w:ind w:firstLine="480"/>
            </w:pPr>
            <w:r>
              <w:rPr>
                <w:rFonts w:ascii="仿宋_GB2312" w:hAnsi="仿宋_GB2312" w:cs="仿宋_GB2312" w:eastAsia="仿宋_GB2312"/>
                <w:sz w:val="18"/>
              </w:rPr>
              <w:t>使应用部门各级系统应用人员能够了解信息系统的建设思想、主要功能和操作规程，能够熟练应用这一系统辅助开展工作，并能结合实际工作需要提出各种改进意见。根据人员对系统的使用特点不同，对应用人员的培训分为两个层次：</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1）对领导培训的主要目的是使有关主管领导对系统有一定的了解，便于领导进行决策和指挥工作；</w:t>
            </w:r>
          </w:p>
          <w:p>
            <w:pPr>
              <w:pStyle w:val="null3"/>
              <w:ind w:firstLine="480"/>
            </w:pPr>
            <w:r>
              <w:rPr>
                <w:rFonts w:ascii="仿宋_GB2312" w:hAnsi="仿宋_GB2312" w:cs="仿宋_GB2312" w:eastAsia="仿宋_GB2312"/>
                <w:sz w:val="18"/>
              </w:rPr>
              <w:t>（</w:t>
            </w:r>
            <w:r>
              <w:rPr>
                <w:rFonts w:ascii="仿宋_GB2312" w:hAnsi="仿宋_GB2312" w:cs="仿宋_GB2312" w:eastAsia="仿宋_GB2312"/>
                <w:sz w:val="18"/>
              </w:rPr>
              <w:t>2）对其他应用人员的培训，主要使他们在各业务环境下能够很好地利用系统完成相应的专业工作，提高工作效率，提高信息的准确性和全面性。</w:t>
            </w:r>
          </w:p>
          <w:p>
            <w:pPr>
              <w:pStyle w:val="null3"/>
              <w:ind w:firstLine="480"/>
            </w:pPr>
            <w:r>
              <w:rPr>
                <w:rFonts w:ascii="仿宋_GB2312" w:hAnsi="仿宋_GB2312" w:cs="仿宋_GB2312" w:eastAsia="仿宋_GB2312"/>
                <w:sz w:val="18"/>
              </w:rPr>
              <w:t>3、系统运行维护人员的培训</w:t>
            </w:r>
          </w:p>
          <w:p>
            <w:pPr>
              <w:pStyle w:val="null3"/>
              <w:ind w:firstLine="480"/>
            </w:pPr>
            <w:r>
              <w:rPr>
                <w:rFonts w:ascii="仿宋_GB2312" w:hAnsi="仿宋_GB2312" w:cs="仿宋_GB2312" w:eastAsia="仿宋_GB2312"/>
                <w:sz w:val="18"/>
              </w:rPr>
              <w:t>系统运行维护人员培训主要包括以下几个方面：系统整体知识培训、信息系统培训、信息系统等级保护培训、安全事件应急处置培训等。通过培训使项目运维队伍能够充分掌握业务运营技术和维护经验，从技术上和管理上保证信息系统能正常运行。为了保障系统的安全稳定运行，还应对系统运行维护人员进行设备特性、系统功能、故障诊断、安全技术、规范操作、系统备份、系统恢复以及管理制度等方面的培训。投标方须针对各系统分别制定培训方案。</w:t>
            </w:r>
          </w:p>
          <w:p>
            <w:pPr>
              <w:pStyle w:val="null3"/>
              <w:numPr>
                <w:ilvl w:val="0"/>
                <w:numId w:val="2"/>
              </w:numPr>
            </w:pPr>
            <w:r>
              <w:rPr>
                <w:rFonts w:ascii="仿宋_GB2312" w:hAnsi="仿宋_GB2312" w:cs="仿宋_GB2312" w:eastAsia="仿宋_GB2312"/>
              </w:rPr>
              <w:t>1.3.15</w:t>
            </w:r>
            <w:r>
              <w:rPr>
                <w:rFonts w:ascii="仿宋_GB2312" w:hAnsi="仿宋_GB2312" w:cs="仿宋_GB2312" w:eastAsia="仿宋_GB2312"/>
                <w:sz w:val="18"/>
                <w:b/>
                <w:color w:val="000000"/>
              </w:rPr>
              <w:t>项目验收要求</w:t>
            </w:r>
          </w:p>
          <w:p>
            <w:pPr>
              <w:pStyle w:val="null3"/>
              <w:ind w:firstLine="360"/>
              <w:jc w:val="both"/>
            </w:pPr>
            <w:r>
              <w:rPr>
                <w:rFonts w:ascii="仿宋_GB2312" w:hAnsi="仿宋_GB2312" w:cs="仿宋_GB2312" w:eastAsia="仿宋_GB2312"/>
                <w:sz w:val="18"/>
                <w:color w:val="000000"/>
              </w:rPr>
              <w:t>本项目建设周期为</w:t>
            </w:r>
            <w:r>
              <w:rPr>
                <w:rFonts w:ascii="仿宋_GB2312" w:hAnsi="仿宋_GB2312" w:cs="仿宋_GB2312" w:eastAsia="仿宋_GB2312"/>
                <w:sz w:val="18"/>
                <w:color w:val="000000"/>
              </w:rPr>
              <w:t>12</w:t>
            </w:r>
            <w:r>
              <w:rPr>
                <w:rFonts w:ascii="仿宋_GB2312" w:hAnsi="仿宋_GB2312" w:cs="仿宋_GB2312" w:eastAsia="仿宋_GB2312"/>
                <w:sz w:val="18"/>
                <w:color w:val="000000"/>
              </w:rPr>
              <w:t>个月，完成系统需求调研分析、系统详细设计、系统开发、数据治理、数据迁移、系统测试、试点上线、人员培训、故障演练、系统全网上线试运行后，组织初步验收工作；完成项目试运行后申请组织最终验收工作。</w:t>
            </w:r>
          </w:p>
          <w:p>
            <w:pPr>
              <w:pStyle w:val="null3"/>
              <w:ind w:firstLine="360"/>
              <w:jc w:val="both"/>
            </w:pPr>
            <w:r>
              <w:rPr>
                <w:rFonts w:ascii="仿宋_GB2312" w:hAnsi="仿宋_GB2312" w:cs="仿宋_GB2312" w:eastAsia="仿宋_GB2312"/>
                <w:sz w:val="18"/>
                <w:color w:val="000000"/>
              </w:rPr>
              <w:t>本项目上线完成后，启动项目验收工作。项目验收标准：按照国家医疗保障局和</w:t>
            </w:r>
            <w:r>
              <w:rPr>
                <w:rFonts w:ascii="仿宋_GB2312" w:hAnsi="仿宋_GB2312" w:cs="仿宋_GB2312" w:eastAsia="仿宋_GB2312"/>
                <w:sz w:val="18"/>
                <w:color w:val="000000"/>
              </w:rPr>
              <w:t>陕西省医疗保障</w:t>
            </w:r>
            <w:r>
              <w:rPr>
                <w:rFonts w:ascii="仿宋_GB2312" w:hAnsi="仿宋_GB2312" w:cs="仿宋_GB2312" w:eastAsia="仿宋_GB2312"/>
                <w:sz w:val="18"/>
                <w:color w:val="000000"/>
              </w:rPr>
              <w:t>技术服务中心</w:t>
            </w:r>
            <w:r>
              <w:rPr>
                <w:rFonts w:ascii="仿宋_GB2312" w:hAnsi="仿宋_GB2312" w:cs="仿宋_GB2312" w:eastAsia="仿宋_GB2312"/>
                <w:sz w:val="18"/>
                <w:color w:val="000000"/>
              </w:rPr>
              <w:t>要求，协同其他业务子系统，满足采购人提出的业务需求。如果项目未完成验收前，由于相关政策导致业务、架构发生变化进行升级或调整，中标人应按照最新政策和最新技术标准方案完成本项建设。</w:t>
            </w:r>
          </w:p>
          <w:p>
            <w:pPr>
              <w:pStyle w:val="null3"/>
              <w:ind w:firstLine="360"/>
              <w:jc w:val="both"/>
            </w:pPr>
            <w:r>
              <w:rPr>
                <w:rFonts w:ascii="仿宋_GB2312" w:hAnsi="仿宋_GB2312" w:cs="仿宋_GB2312" w:eastAsia="仿宋_GB2312"/>
                <w:sz w:val="18"/>
                <w:color w:val="000000"/>
              </w:rPr>
              <w:t>由</w:t>
            </w:r>
            <w:r>
              <w:rPr>
                <w:rFonts w:ascii="仿宋_GB2312" w:hAnsi="仿宋_GB2312" w:cs="仿宋_GB2312" w:eastAsia="仿宋_GB2312"/>
                <w:sz w:val="18"/>
                <w:color w:val="000000"/>
              </w:rPr>
              <w:t>陕西省医疗保障</w:t>
            </w:r>
            <w:r>
              <w:rPr>
                <w:rFonts w:ascii="仿宋_GB2312" w:hAnsi="仿宋_GB2312" w:cs="仿宋_GB2312" w:eastAsia="仿宋_GB2312"/>
                <w:sz w:val="18"/>
                <w:color w:val="000000"/>
              </w:rPr>
              <w:t>技术服务中心</w:t>
            </w:r>
            <w:r>
              <w:rPr>
                <w:rFonts w:ascii="仿宋_GB2312" w:hAnsi="仿宋_GB2312" w:cs="仿宋_GB2312" w:eastAsia="仿宋_GB2312"/>
                <w:sz w:val="18"/>
                <w:color w:val="000000"/>
              </w:rPr>
              <w:t>统一组织，招标人与相关人员组成验收小组完成验收。双方根据最终验收情况，编写最终验收报告。中标人应完成项目验收资料的准备。</w:t>
            </w:r>
          </w:p>
          <w:p>
            <w:pPr>
              <w:pStyle w:val="null3"/>
              <w:ind w:firstLine="360"/>
              <w:jc w:val="both"/>
            </w:pPr>
            <w:r>
              <w:rPr>
                <w:rFonts w:ascii="仿宋_GB2312" w:hAnsi="仿宋_GB2312" w:cs="仿宋_GB2312" w:eastAsia="仿宋_GB2312"/>
                <w:sz w:val="18"/>
                <w:color w:val="000000"/>
              </w:rPr>
              <w:t>在服务过程中出现性能指标或功能上不符合标书和合同要求时，由中标人负责解决，招标人有拒绝验收的权利并保留索赔权利。</w:t>
            </w:r>
          </w:p>
          <w:p>
            <w:pPr>
              <w:pStyle w:val="null3"/>
              <w:ind w:firstLine="360"/>
              <w:jc w:val="both"/>
            </w:pPr>
            <w:r>
              <w:rPr>
                <w:rFonts w:ascii="仿宋_GB2312" w:hAnsi="仿宋_GB2312" w:cs="仿宋_GB2312" w:eastAsia="仿宋_GB2312"/>
                <w:sz w:val="18"/>
                <w:color w:val="000000"/>
              </w:rPr>
              <w:t>本项目的实施过程中将产生大量的技术及管理文档，中标人应协助招标人，负责建立、维护、交接项目实施过程中产生的各类文档，确保项目文档的内容体现本项目的实施过程，并确保项目文档的完整性和准确性。</w:t>
            </w:r>
          </w:p>
          <w:p>
            <w:pPr>
              <w:pStyle w:val="null3"/>
              <w:ind w:firstLine="360"/>
              <w:jc w:val="both"/>
            </w:pPr>
            <w:r>
              <w:rPr>
                <w:rFonts w:ascii="仿宋_GB2312" w:hAnsi="仿宋_GB2312" w:cs="仿宋_GB2312" w:eastAsia="仿宋_GB2312"/>
                <w:sz w:val="18"/>
                <w:color w:val="000000"/>
              </w:rPr>
              <w:t>投标人按照要求提交全部文档，通过验收，视为本项工作完成。</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1）验收组织</w:t>
            </w:r>
          </w:p>
          <w:p>
            <w:pPr>
              <w:pStyle w:val="null3"/>
              <w:ind w:firstLine="360"/>
              <w:jc w:val="both"/>
            </w:pPr>
            <w:r>
              <w:rPr>
                <w:rFonts w:ascii="仿宋_GB2312" w:hAnsi="仿宋_GB2312" w:cs="仿宋_GB2312" w:eastAsia="仿宋_GB2312"/>
                <w:sz w:val="18"/>
                <w:color w:val="000000"/>
              </w:rPr>
              <w:t>项目验收分为初验和终验，都由招标方组织进行。</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2）初验流程</w:t>
            </w:r>
          </w:p>
          <w:p>
            <w:pPr>
              <w:pStyle w:val="null3"/>
              <w:ind w:firstLine="360"/>
              <w:jc w:val="both"/>
            </w:pPr>
            <w:r>
              <w:rPr>
                <w:rFonts w:ascii="仿宋_GB2312" w:hAnsi="仿宋_GB2312" w:cs="仿宋_GB2312" w:eastAsia="仿宋_GB2312"/>
                <w:sz w:val="18"/>
                <w:color w:val="000000"/>
              </w:rPr>
              <w:t>1）招标人依据相关批复文件、招标采购文件、合同，对项目的工程、技术、财务和档案等进行验收，形成验收报告。</w:t>
            </w:r>
          </w:p>
          <w:p>
            <w:pPr>
              <w:pStyle w:val="null3"/>
              <w:ind w:firstLine="360"/>
              <w:jc w:val="both"/>
            </w:pPr>
            <w:r>
              <w:rPr>
                <w:rFonts w:ascii="仿宋_GB2312" w:hAnsi="仿宋_GB2312" w:cs="仿宋_GB2312" w:eastAsia="仿宋_GB2312"/>
                <w:sz w:val="18"/>
                <w:color w:val="000000"/>
              </w:rPr>
              <w:t>2）项目初验合格后进入试运行，试运行期不少于90日。</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3）终验流程</w:t>
            </w:r>
          </w:p>
          <w:p>
            <w:pPr>
              <w:pStyle w:val="null3"/>
              <w:ind w:firstLine="360"/>
              <w:jc w:val="both"/>
            </w:pPr>
            <w:r>
              <w:rPr>
                <w:rFonts w:ascii="仿宋_GB2312" w:hAnsi="仿宋_GB2312" w:cs="仿宋_GB2312" w:eastAsia="仿宋_GB2312"/>
                <w:sz w:val="18"/>
                <w:color w:val="000000"/>
              </w:rPr>
              <w:t>招标方组织成立验收组，负责开展终验的先期基础性工作，重点检查项目建设、设计、监理、施工、招标采购、档案资料、预（概）算执行和财务决算等情况，提出验收评价意见和建议。</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4）验收内容</w:t>
            </w:r>
          </w:p>
          <w:p>
            <w:pPr>
              <w:pStyle w:val="null3"/>
              <w:ind w:firstLine="360"/>
              <w:jc w:val="both"/>
            </w:pPr>
            <w:r>
              <w:rPr>
                <w:rFonts w:ascii="仿宋_GB2312" w:hAnsi="仿宋_GB2312" w:cs="仿宋_GB2312" w:eastAsia="仿宋_GB2312"/>
                <w:sz w:val="18"/>
                <w:color w:val="000000"/>
              </w:rPr>
              <w:t>1）审查项目的建设目标、规模、内容、质量及资金使用等情况。</w:t>
            </w:r>
          </w:p>
          <w:p>
            <w:pPr>
              <w:pStyle w:val="null3"/>
              <w:ind w:firstLine="360"/>
              <w:jc w:val="both"/>
            </w:pPr>
            <w:r>
              <w:rPr>
                <w:rFonts w:ascii="仿宋_GB2312" w:hAnsi="仿宋_GB2312" w:cs="仿宋_GB2312" w:eastAsia="仿宋_GB2312"/>
                <w:sz w:val="18"/>
                <w:color w:val="000000"/>
              </w:rPr>
              <w:t>2）审核项目形成的资产情况。</w:t>
            </w:r>
          </w:p>
          <w:p>
            <w:pPr>
              <w:pStyle w:val="null3"/>
              <w:ind w:firstLine="360"/>
              <w:jc w:val="both"/>
            </w:pPr>
            <w:r>
              <w:rPr>
                <w:rFonts w:ascii="仿宋_GB2312" w:hAnsi="仿宋_GB2312" w:cs="仿宋_GB2312" w:eastAsia="仿宋_GB2312"/>
                <w:sz w:val="18"/>
                <w:color w:val="000000"/>
              </w:rPr>
              <w:t>3）评价项目交付使用情况。</w:t>
            </w:r>
          </w:p>
          <w:p>
            <w:pPr>
              <w:pStyle w:val="null3"/>
              <w:ind w:firstLine="360"/>
              <w:jc w:val="both"/>
            </w:pPr>
            <w:r>
              <w:rPr>
                <w:rFonts w:ascii="仿宋_GB2312" w:hAnsi="仿宋_GB2312" w:cs="仿宋_GB2312" w:eastAsia="仿宋_GB2312"/>
                <w:sz w:val="18"/>
                <w:color w:val="000000"/>
              </w:rPr>
              <w:t>4）检查项目建设单位执行国家法律、法规情况。</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5）验收相关材料</w:t>
            </w:r>
          </w:p>
          <w:p>
            <w:pPr>
              <w:pStyle w:val="null3"/>
              <w:ind w:firstLine="360"/>
              <w:jc w:val="both"/>
            </w:pPr>
            <w:r>
              <w:rPr>
                <w:rFonts w:ascii="仿宋_GB2312" w:hAnsi="仿宋_GB2312" w:cs="仿宋_GB2312" w:eastAsia="仿宋_GB2312"/>
                <w:sz w:val="18"/>
                <w:color w:val="000000"/>
              </w:rPr>
              <w:t>中标人须负责整理并提供以下验收材料，包括但不限于：项目实施方案、项目合同、项目建设总结、项目招标相关文档、项目建设相关文档、初步验收报告、软件测试报告、安全测评报告等。</w:t>
            </w:r>
          </w:p>
          <w:p>
            <w:pPr>
              <w:pStyle w:val="null3"/>
              <w:numPr>
                <w:ilvl w:val="0"/>
                <w:numId w:val="2"/>
              </w:numPr>
            </w:pPr>
            <w:r>
              <w:rPr>
                <w:rFonts w:ascii="仿宋_GB2312" w:hAnsi="仿宋_GB2312" w:cs="仿宋_GB2312" w:eastAsia="仿宋_GB2312"/>
              </w:rPr>
              <w:t>1.3.16</w:t>
            </w:r>
            <w:r>
              <w:rPr>
                <w:rFonts w:ascii="仿宋_GB2312" w:hAnsi="仿宋_GB2312" w:cs="仿宋_GB2312" w:eastAsia="仿宋_GB2312"/>
                <w:sz w:val="18"/>
                <w:b/>
                <w:color w:val="000000"/>
              </w:rPr>
              <w:t>维护及技术支持要求</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1）针对所有软件，中标人应提供项目终验合格后</w:t>
            </w:r>
            <w:r>
              <w:rPr>
                <w:rFonts w:ascii="仿宋_GB2312" w:hAnsi="仿宋_GB2312" w:cs="仿宋_GB2312" w:eastAsia="仿宋_GB2312"/>
                <w:sz w:val="18"/>
                <w:color w:val="000000"/>
              </w:rPr>
              <w:t>1</w:t>
            </w:r>
            <w:r>
              <w:rPr>
                <w:rFonts w:ascii="仿宋_GB2312" w:hAnsi="仿宋_GB2312" w:cs="仿宋_GB2312" w:eastAsia="仿宋_GB2312"/>
                <w:sz w:val="18"/>
                <w:color w:val="000000"/>
              </w:rPr>
              <w:t>8</w:t>
            </w:r>
            <w:r>
              <w:rPr>
                <w:rFonts w:ascii="仿宋_GB2312" w:hAnsi="仿宋_GB2312" w:cs="仿宋_GB2312" w:eastAsia="仿宋_GB2312"/>
                <w:sz w:val="18"/>
                <w:color w:val="000000"/>
              </w:rPr>
              <w:t>个月的维保服务。</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在软件维保期内，中标人应提供灵活、多样的通信手段（包括但不限于场地、设备及人员、专用服务电话），提供7*24时的响应服务，保证在任何时候招标方人员都能及时找到中标人的服务人员。如遇驻场人员无法解决的问题或招标方认为需要，中标人的技术人员应在</w:t>
            </w:r>
            <w:r>
              <w:rPr>
                <w:rFonts w:ascii="仿宋_GB2312" w:hAnsi="仿宋_GB2312" w:cs="仿宋_GB2312" w:eastAsia="仿宋_GB2312"/>
                <w:sz w:val="18"/>
                <w:color w:val="000000"/>
              </w:rPr>
              <w:t>2</w:t>
            </w:r>
            <w:r>
              <w:rPr>
                <w:rFonts w:ascii="仿宋_GB2312" w:hAnsi="仿宋_GB2312" w:cs="仿宋_GB2312" w:eastAsia="仿宋_GB2312"/>
                <w:sz w:val="18"/>
                <w:color w:val="000000"/>
              </w:rPr>
              <w:t>小时内赶到现场支持。</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3）所供软件出现问题时，其响应时间不超过15分钟，一般故障处理时间不大于2小时；特殊情况下，故障修复时间不大于24小时。</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4）中标人应提供排除故障响应的具体流程。</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5）中标人应在项目方案中说明技术指导和技术支持的范围和程度，中标人应提供技术服务流程，技术服务内容和价格清单，若维保期内与期外不同，则应分别列出。</w:t>
            </w:r>
          </w:p>
          <w:p>
            <w:pPr>
              <w:pStyle w:val="null3"/>
              <w:numPr>
                <w:ilvl w:val="0"/>
                <w:numId w:val="2"/>
              </w:numPr>
            </w:pPr>
            <w:r>
              <w:rPr>
                <w:rFonts w:ascii="仿宋_GB2312" w:hAnsi="仿宋_GB2312" w:cs="仿宋_GB2312" w:eastAsia="仿宋_GB2312"/>
              </w:rPr>
              <w:t>1.3.17</w:t>
            </w:r>
            <w:r>
              <w:rPr>
                <w:rFonts w:ascii="仿宋_GB2312" w:hAnsi="仿宋_GB2312" w:cs="仿宋_GB2312" w:eastAsia="仿宋_GB2312"/>
                <w:sz w:val="18"/>
                <w:b/>
                <w:color w:val="000000"/>
              </w:rPr>
              <w:t>其他要求</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1）投标人须按照招标人指定地点和要求，搭建应用系统测试环境。</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2）当招标人有新需求，而本文又未包括或与本文不符时，则应符合招标方新需求；对于招标人尚未有标准的，而本文又未提及的部分，投标人提出其标准，留待双方认可后执行。</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3）投标人应确保其技术建议的可行性以及所提供服务和产品的完整性，若出现由于投标人所提供的服务和产品不全面而导致系统功能无法实现或不能完全实现，由投标人及时无偿补足，并负全部责任。</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4）投标人承诺承担驻场工程师就餐和相关差旅费用，并提供驻场工程师办公电脑、打印机等设备。</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5）本项目建设内容、需求若有变化，与本文不符的，则按照招标人与投标人友好协商修订为准。</w:t>
            </w:r>
          </w:p>
          <w:p>
            <w:pPr>
              <w:pStyle w:val="null3"/>
              <w:ind w:firstLine="436"/>
              <w:jc w:val="left"/>
            </w:pPr>
            <w:r>
              <w:rPr>
                <w:rFonts w:ascii="仿宋_GB2312" w:hAnsi="仿宋_GB2312" w:cs="仿宋_GB2312" w:eastAsia="仿宋_GB2312"/>
                <w:sz w:val="19"/>
                <w:b/>
                <w:color w:val="000000"/>
              </w:rPr>
              <w:t>3.2.3</w:t>
            </w:r>
            <w:r>
              <w:rPr>
                <w:rFonts w:ascii="仿宋_GB2312" w:hAnsi="仿宋_GB2312" w:cs="仿宋_GB2312" w:eastAsia="仿宋_GB2312"/>
                <w:sz w:val="19"/>
                <w:color w:val="000000"/>
              </w:rPr>
              <w:t>人员配置要求</w:t>
            </w:r>
          </w:p>
          <w:p>
            <w:pPr>
              <w:pStyle w:val="null3"/>
              <w:ind w:firstLine="388"/>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r>
              <w:rPr>
                <w:rFonts w:ascii="仿宋_GB2312" w:hAnsi="仿宋_GB2312" w:cs="仿宋_GB2312" w:eastAsia="仿宋_GB2312"/>
                <w:sz w:val="19"/>
                <w:color w:val="000000"/>
              </w:rPr>
              <w:t>根据采购文件要求及合同约定执行</w:t>
            </w:r>
          </w:p>
          <w:p>
            <w:pPr>
              <w:pStyle w:val="null3"/>
              <w:ind w:firstLine="436"/>
              <w:jc w:val="left"/>
            </w:pPr>
            <w:r>
              <w:rPr>
                <w:rFonts w:ascii="仿宋_GB2312" w:hAnsi="仿宋_GB2312" w:cs="仿宋_GB2312" w:eastAsia="仿宋_GB2312"/>
                <w:sz w:val="19"/>
                <w:b/>
                <w:color w:val="000000"/>
              </w:rPr>
              <w:t>3.2.4</w:t>
            </w:r>
            <w:r>
              <w:rPr>
                <w:rFonts w:ascii="仿宋_GB2312" w:hAnsi="仿宋_GB2312" w:cs="仿宋_GB2312" w:eastAsia="仿宋_GB2312"/>
                <w:sz w:val="19"/>
                <w:color w:val="000000"/>
              </w:rPr>
              <w:t>设施设备配置要求</w:t>
            </w:r>
          </w:p>
          <w:p>
            <w:pPr>
              <w:pStyle w:val="null3"/>
              <w:ind w:firstLine="388"/>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p>
          <w:p>
            <w:pPr>
              <w:pStyle w:val="null3"/>
              <w:ind w:firstLine="436"/>
              <w:jc w:val="left"/>
            </w:pPr>
            <w:r>
              <w:rPr>
                <w:rFonts w:ascii="仿宋_GB2312" w:hAnsi="仿宋_GB2312" w:cs="仿宋_GB2312" w:eastAsia="仿宋_GB2312"/>
                <w:sz w:val="19"/>
                <w:b/>
                <w:color w:val="000000"/>
              </w:rPr>
              <w:t>3.2.5</w:t>
            </w:r>
            <w:r>
              <w:rPr>
                <w:rFonts w:ascii="仿宋_GB2312" w:hAnsi="仿宋_GB2312" w:cs="仿宋_GB2312" w:eastAsia="仿宋_GB2312"/>
                <w:sz w:val="19"/>
                <w:color w:val="000000"/>
              </w:rPr>
              <w:t>其他要求</w:t>
            </w:r>
          </w:p>
          <w:p>
            <w:pPr>
              <w:pStyle w:val="null3"/>
              <w:ind w:firstLine="388"/>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p>
          <w:p>
            <w:pPr>
              <w:pStyle w:val="null3"/>
              <w:ind w:firstLine="476"/>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.3</w:t>
            </w:r>
            <w:r>
              <w:rPr>
                <w:rFonts w:ascii="仿宋_GB2312" w:hAnsi="仿宋_GB2312" w:cs="仿宋_GB2312" w:eastAsia="仿宋_GB2312"/>
                <w:sz w:val="21"/>
                <w:color w:val="000000"/>
              </w:rPr>
              <w:t>商务要求</w:t>
            </w:r>
          </w:p>
          <w:p>
            <w:pPr>
              <w:pStyle w:val="null3"/>
              <w:ind w:firstLine="436"/>
              <w:jc w:val="left"/>
            </w:pPr>
            <w:r>
              <w:rPr>
                <w:rFonts w:ascii="仿宋_GB2312" w:hAnsi="仿宋_GB2312" w:cs="仿宋_GB2312" w:eastAsia="仿宋_GB2312"/>
                <w:sz w:val="19"/>
                <w:b/>
                <w:color w:val="000000"/>
              </w:rPr>
              <w:t>3.3.1</w:t>
            </w:r>
            <w:r>
              <w:rPr>
                <w:rFonts w:ascii="仿宋_GB2312" w:hAnsi="仿宋_GB2312" w:cs="仿宋_GB2312" w:eastAsia="仿宋_GB2312"/>
                <w:sz w:val="19"/>
                <w:color w:val="000000"/>
              </w:rPr>
              <w:t>服务期限</w:t>
            </w:r>
            <w:r>
              <w:rPr>
                <w:rFonts w:ascii="仿宋_GB2312" w:hAnsi="仿宋_GB2312" w:cs="仿宋_GB2312" w:eastAsia="仿宋_GB2312"/>
                <w:sz w:val="21"/>
                <w:color w:val="000000"/>
              </w:rPr>
              <w:t xml:space="preserve"> </w:t>
            </w:r>
          </w:p>
          <w:p>
            <w:pPr>
              <w:pStyle w:val="null3"/>
              <w:ind w:firstLine="38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自签订合同之日起，</w:t>
            </w:r>
            <w:r>
              <w:rPr>
                <w:rFonts w:ascii="仿宋_GB2312" w:hAnsi="仿宋_GB2312" w:cs="仿宋_GB2312" w:eastAsia="仿宋_GB2312"/>
                <w:sz w:val="19"/>
                <w:color w:val="000000"/>
              </w:rPr>
              <w:t>1个月内完成线上年终结算清算、即时结算功能开发及系统上线，开始试运行；3个月内完成“一人一档”、省内异地就医纳入本地结算、定点医药机构相关人员医保支付资格管理功能开发及系统上线，开始试运行；上线后3个月内完成系统初验；初验完成后，必须保障3个月的试运行期，试运行期满后组织系统终验；终验通过后提供</w:t>
            </w:r>
            <w:r>
              <w:rPr>
                <w:rFonts w:ascii="仿宋_GB2312" w:hAnsi="仿宋_GB2312" w:cs="仿宋_GB2312" w:eastAsia="仿宋_GB2312"/>
                <w:sz w:val="19"/>
                <w:color w:val="000000"/>
              </w:rPr>
              <w:t>18</w:t>
            </w:r>
            <w:r>
              <w:rPr>
                <w:rFonts w:ascii="仿宋_GB2312" w:hAnsi="仿宋_GB2312" w:cs="仿宋_GB2312" w:eastAsia="仿宋_GB2312"/>
                <w:sz w:val="19"/>
                <w:color w:val="000000"/>
              </w:rPr>
              <w:t>个月的项目维保期。</w:t>
            </w:r>
          </w:p>
          <w:p>
            <w:pPr>
              <w:pStyle w:val="null3"/>
              <w:ind w:firstLine="380"/>
              <w:jc w:val="left"/>
            </w:pPr>
            <w:r>
              <w:rPr>
                <w:rFonts w:ascii="仿宋_GB2312" w:hAnsi="仿宋_GB2312" w:cs="仿宋_GB2312" w:eastAsia="仿宋_GB2312"/>
                <w:sz w:val="19"/>
                <w:color w:val="000000"/>
              </w:rPr>
              <w:t>3.3.2服务地点</w:t>
            </w:r>
          </w:p>
          <w:p>
            <w:pPr>
              <w:pStyle w:val="null3"/>
              <w:ind w:firstLine="38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1：采购人指定地点</w:t>
            </w:r>
          </w:p>
          <w:p>
            <w:pPr>
              <w:pStyle w:val="null3"/>
              <w:ind w:firstLine="436"/>
              <w:jc w:val="left"/>
            </w:pPr>
            <w:r>
              <w:rPr>
                <w:rFonts w:ascii="仿宋_GB2312" w:hAnsi="仿宋_GB2312" w:cs="仿宋_GB2312" w:eastAsia="仿宋_GB2312"/>
                <w:sz w:val="19"/>
                <w:b/>
                <w:color w:val="000000"/>
              </w:rPr>
              <w:t>3.3.3</w:t>
            </w:r>
            <w:r>
              <w:rPr>
                <w:rFonts w:ascii="仿宋_GB2312" w:hAnsi="仿宋_GB2312" w:cs="仿宋_GB2312" w:eastAsia="仿宋_GB2312"/>
                <w:sz w:val="19"/>
                <w:color w:val="000000"/>
              </w:rPr>
              <w:t>考核（验收）标准和方法</w:t>
            </w:r>
          </w:p>
          <w:p>
            <w:pPr>
              <w:pStyle w:val="null3"/>
              <w:ind w:firstLine="38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投标人完成各阶段的建设内容交付并达到验收标准后，准备好相关验收资料，向采购人提交验收申请。验收工作由采购人统一组织，采购人与相关人员组成验收小组完成验收工作。双方根据最终验收情况，编写最终验收报告。</w:t>
            </w:r>
          </w:p>
          <w:p>
            <w:pPr>
              <w:pStyle w:val="null3"/>
              <w:ind w:firstLine="436"/>
              <w:jc w:val="left"/>
            </w:pPr>
            <w:r>
              <w:rPr>
                <w:rFonts w:ascii="仿宋_GB2312" w:hAnsi="仿宋_GB2312" w:cs="仿宋_GB2312" w:eastAsia="仿宋_GB2312"/>
                <w:sz w:val="19"/>
                <w:b/>
                <w:color w:val="000000"/>
              </w:rPr>
              <w:t>3.3.4</w:t>
            </w:r>
            <w:r>
              <w:rPr>
                <w:rFonts w:ascii="仿宋_GB2312" w:hAnsi="仿宋_GB2312" w:cs="仿宋_GB2312" w:eastAsia="仿宋_GB2312"/>
                <w:sz w:val="19"/>
                <w:color w:val="000000"/>
              </w:rPr>
              <w:t>支付方式</w:t>
            </w:r>
          </w:p>
          <w:p>
            <w:pPr>
              <w:pStyle w:val="null3"/>
              <w:ind w:firstLine="38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分期付款</w:t>
            </w:r>
          </w:p>
          <w:p>
            <w:pPr>
              <w:pStyle w:val="null3"/>
              <w:ind w:firstLine="440"/>
              <w:jc w:val="left"/>
            </w:pPr>
            <w:r>
              <w:rPr>
                <w:rFonts w:ascii="仿宋_GB2312" w:hAnsi="仿宋_GB2312" w:cs="仿宋_GB2312" w:eastAsia="仿宋_GB2312"/>
                <w:sz w:val="19"/>
                <w:b/>
                <w:color w:val="000000"/>
              </w:rPr>
              <w:t>3.3.5.</w:t>
            </w:r>
            <w:r>
              <w:rPr>
                <w:rFonts w:ascii="仿宋_GB2312" w:hAnsi="仿宋_GB2312" w:cs="仿宋_GB2312" w:eastAsia="仿宋_GB2312"/>
                <w:sz w:val="19"/>
                <w:color w:val="000000"/>
              </w:rPr>
              <w:t>支付约定</w:t>
            </w:r>
          </w:p>
          <w:p>
            <w:pPr>
              <w:pStyle w:val="null3"/>
              <w:ind w:firstLine="38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p>
          <w:p>
            <w:pPr>
              <w:pStyle w:val="null3"/>
              <w:ind w:firstLine="380"/>
              <w:jc w:val="left"/>
            </w:pPr>
            <w:r>
              <w:rPr>
                <w:rFonts w:ascii="仿宋_GB2312" w:hAnsi="仿宋_GB2312" w:cs="仿宋_GB2312" w:eastAsia="仿宋_GB2312"/>
                <w:sz w:val="19"/>
                <w:color w:val="000000"/>
              </w:rPr>
              <w:t>付款条件说明：签订合同后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30 日内，支付合同总金额的 30.00%。</w:t>
            </w:r>
          </w:p>
          <w:p>
            <w:pPr>
              <w:pStyle w:val="null3"/>
              <w:ind w:firstLine="380"/>
              <w:jc w:val="left"/>
            </w:pPr>
            <w:r>
              <w:rPr>
                <w:rFonts w:ascii="仿宋_GB2312" w:hAnsi="仿宋_GB2312" w:cs="仿宋_GB2312" w:eastAsia="仿宋_GB2312"/>
                <w:sz w:val="19"/>
                <w:color w:val="000000"/>
              </w:rPr>
              <w:t>付款条件说明：</w:t>
            </w:r>
            <w:r>
              <w:rPr>
                <w:rFonts w:ascii="仿宋_GB2312" w:hAnsi="仿宋_GB2312" w:cs="仿宋_GB2312" w:eastAsia="仿宋_GB2312"/>
                <w:sz w:val="19"/>
                <w:color w:val="000000"/>
              </w:rPr>
              <w:t>初验合格后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30 日内，支付合同总金额的 30.00%。</w:t>
            </w:r>
          </w:p>
          <w:p>
            <w:pPr>
              <w:pStyle w:val="null3"/>
              <w:ind w:firstLine="380"/>
              <w:jc w:val="left"/>
            </w:pPr>
            <w:r>
              <w:rPr>
                <w:rFonts w:ascii="仿宋_GB2312" w:hAnsi="仿宋_GB2312" w:cs="仿宋_GB2312" w:eastAsia="仿宋_GB2312"/>
                <w:sz w:val="19"/>
                <w:color w:val="000000"/>
              </w:rPr>
              <w:t>付款条件说明：</w:t>
            </w:r>
            <w:r>
              <w:rPr>
                <w:rFonts w:ascii="仿宋_GB2312" w:hAnsi="仿宋_GB2312" w:cs="仿宋_GB2312" w:eastAsia="仿宋_GB2312"/>
                <w:sz w:val="19"/>
                <w:color w:val="000000"/>
              </w:rPr>
              <w:t>终验合格后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30 日内，支付合同总金额的 30.00%。</w:t>
            </w:r>
          </w:p>
          <w:p>
            <w:pPr>
              <w:pStyle w:val="null3"/>
              <w:ind w:firstLine="380"/>
              <w:jc w:val="left"/>
            </w:pPr>
            <w:r>
              <w:rPr>
                <w:rFonts w:ascii="仿宋_GB2312" w:hAnsi="仿宋_GB2312" w:cs="仿宋_GB2312" w:eastAsia="仿宋_GB2312"/>
                <w:sz w:val="19"/>
                <w:color w:val="000000"/>
              </w:rPr>
              <w:t>付款条件说明：</w:t>
            </w:r>
            <w:r>
              <w:rPr>
                <w:rFonts w:ascii="仿宋_GB2312" w:hAnsi="仿宋_GB2312" w:cs="仿宋_GB2312" w:eastAsia="仿宋_GB2312"/>
                <w:sz w:val="19"/>
                <w:color w:val="000000"/>
              </w:rPr>
              <w:t>项目维保期结束后</w:t>
            </w:r>
            <w:r>
              <w:rPr>
                <w:rFonts w:ascii="仿宋_GB2312" w:hAnsi="仿宋_GB2312" w:cs="仿宋_GB2312" w:eastAsia="仿宋_GB2312"/>
                <w:sz w:val="19"/>
                <w:color w:val="000000"/>
              </w:rPr>
              <w:t>，达到付款条件起</w:t>
            </w:r>
            <w:r>
              <w:rPr>
                <w:rFonts w:ascii="仿宋_GB2312" w:hAnsi="仿宋_GB2312" w:cs="仿宋_GB2312" w:eastAsia="仿宋_GB2312"/>
                <w:sz w:val="19"/>
                <w:color w:val="000000"/>
              </w:rPr>
              <w:t>30 日内，支付合同总金额的 10.00%。</w:t>
            </w:r>
          </w:p>
          <w:p>
            <w:pPr>
              <w:pStyle w:val="null3"/>
              <w:ind w:firstLine="436"/>
              <w:jc w:val="left"/>
            </w:pPr>
            <w:r>
              <w:rPr>
                <w:rFonts w:ascii="仿宋_GB2312" w:hAnsi="仿宋_GB2312" w:cs="仿宋_GB2312" w:eastAsia="仿宋_GB2312"/>
                <w:sz w:val="19"/>
                <w:b/>
                <w:color w:val="000000"/>
              </w:rPr>
              <w:t>3.3.6</w:t>
            </w:r>
            <w:r>
              <w:rPr>
                <w:rFonts w:ascii="仿宋_GB2312" w:hAnsi="仿宋_GB2312" w:cs="仿宋_GB2312" w:eastAsia="仿宋_GB2312"/>
                <w:sz w:val="19"/>
                <w:color w:val="000000"/>
              </w:rPr>
              <w:t>违约责任与解决争议的方法</w:t>
            </w:r>
          </w:p>
          <w:p>
            <w:pPr>
              <w:pStyle w:val="null3"/>
              <w:ind w:firstLine="38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p>
          <w:p>
            <w:pPr>
              <w:pStyle w:val="null3"/>
              <w:ind w:firstLine="380"/>
              <w:jc w:val="left"/>
            </w:pPr>
            <w:r>
              <w:rPr>
                <w:rFonts w:ascii="仿宋_GB2312" w:hAnsi="仿宋_GB2312" w:cs="仿宋_GB2312" w:eastAsia="仿宋_GB2312"/>
                <w:sz w:val="19"/>
                <w:color w:val="000000"/>
              </w:rPr>
              <w:t>1.违约责任</w:t>
            </w:r>
          </w:p>
          <w:p>
            <w:pPr>
              <w:pStyle w:val="null3"/>
              <w:ind w:firstLine="380"/>
              <w:jc w:val="left"/>
            </w:pPr>
            <w:r>
              <w:rPr>
                <w:rFonts w:ascii="仿宋_GB2312" w:hAnsi="仿宋_GB2312" w:cs="仿宋_GB2312" w:eastAsia="仿宋_GB2312"/>
                <w:sz w:val="19"/>
                <w:color w:val="000000"/>
              </w:rPr>
              <w:t>1.1　服务缺陷的补救措施和索赔</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1）如果乙方提供的服务不符合本合同约定以及招标文件、投标文件关于服务的要求和承诺，乙方应按照甲方同意的下列一种或几种方式结合起来解决索赔事宜：</w:t>
            </w:r>
          </w:p>
          <w:p>
            <w:pPr>
              <w:pStyle w:val="null3"/>
              <w:ind w:firstLine="380"/>
              <w:jc w:val="left"/>
            </w:pPr>
            <w:r>
              <w:rPr>
                <w:rFonts w:ascii="仿宋_GB2312" w:hAnsi="仿宋_GB2312" w:cs="仿宋_GB2312" w:eastAsia="仿宋_GB2312"/>
                <w:sz w:val="19"/>
                <w:color w:val="000000"/>
              </w:rPr>
              <w:t>①乙方同意将已经履行的服务款退还给甲方，由此发生的一切费用和损失由乙方承担。如甲方以适当的条件和方法购买与未履约标的相类似的服务，乙方应负担新购买类似服务所超出的费用。</w:t>
            </w:r>
          </w:p>
          <w:p>
            <w:pPr>
              <w:pStyle w:val="null3"/>
              <w:ind w:firstLine="380"/>
              <w:jc w:val="left"/>
            </w:pPr>
            <w:r>
              <w:rPr>
                <w:rFonts w:ascii="仿宋_GB2312" w:hAnsi="仿宋_GB2312" w:cs="仿宋_GB2312" w:eastAsia="仿宋_GB2312"/>
                <w:sz w:val="19"/>
                <w:color w:val="000000"/>
              </w:rPr>
              <w:t>②根据服务的质量状况以及甲方所遭受的损失，经过甲乙双方商定降低服务的价格。</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pPr>
              <w:pStyle w:val="null3"/>
              <w:ind w:firstLine="380"/>
              <w:jc w:val="left"/>
            </w:pPr>
            <w:r>
              <w:rPr>
                <w:rFonts w:ascii="仿宋_GB2312" w:hAnsi="仿宋_GB2312" w:cs="仿宋_GB2312" w:eastAsia="仿宋_GB2312"/>
                <w:sz w:val="19"/>
                <w:color w:val="000000"/>
              </w:rPr>
              <w:t>1.2　迟延履约的违约责任</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1）乙方应按照本合同规定的时间、地点提供服务。</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4）如果乙方延迟履约超过30日，甲方有权终止全部或部分合同，并依其认为适当的条件和方法购买与未履约类似的服务，乙方应负担购买类似服务所超出的费用。同时，乙方应继续执行合同中未终止的部分。</w:t>
            </w:r>
          </w:p>
          <w:p>
            <w:pPr>
              <w:pStyle w:val="null3"/>
              <w:ind w:firstLine="380"/>
              <w:jc w:val="left"/>
            </w:pPr>
            <w:r>
              <w:rPr>
                <w:rFonts w:ascii="仿宋_GB2312" w:hAnsi="仿宋_GB2312" w:cs="仿宋_GB2312" w:eastAsia="仿宋_GB2312"/>
                <w:sz w:val="19"/>
                <w:color w:val="000000"/>
              </w:rPr>
              <w:t>1.3　未履行合同义务的违约责任</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1）乙方不履行合同义务或履行合同义务不符合要求的，甲方有权终止全部或部分合同。</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2）乙方应支付违约金，违约金标准见合同条款前附表。</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3）违约金不足以弥补甲方实际损失、可预见或者应当预见的损失，由乙方全额予以赔偿。</w:t>
            </w:r>
          </w:p>
          <w:p>
            <w:pPr>
              <w:pStyle w:val="null3"/>
              <w:ind w:firstLine="380"/>
              <w:jc w:val="left"/>
            </w:pPr>
            <w:r>
              <w:rPr>
                <w:rFonts w:ascii="仿宋_GB2312" w:hAnsi="仿宋_GB2312" w:cs="仿宋_GB2312" w:eastAsia="仿宋_GB2312"/>
                <w:sz w:val="19"/>
                <w:color w:val="000000"/>
              </w:rPr>
              <w:t>2.纠纷的解决方式</w:t>
            </w:r>
          </w:p>
          <w:p>
            <w:pPr>
              <w:pStyle w:val="null3"/>
              <w:ind w:firstLine="380"/>
              <w:jc w:val="left"/>
            </w:pPr>
            <w:r>
              <w:rPr>
                <w:rFonts w:ascii="仿宋_GB2312" w:hAnsi="仿宋_GB2312" w:cs="仿宋_GB2312" w:eastAsia="仿宋_GB2312"/>
                <w:sz w:val="19"/>
                <w:color w:val="000000"/>
              </w:rPr>
              <w:t>2.1合同各方应通过友好协商，解决在执行合同过程中所发生的或与合同有关的一切争端。如协商30日内不能解决，可以按合同规定的方式提起仲裁或诉讼。</w:t>
            </w:r>
          </w:p>
          <w:p>
            <w:pPr>
              <w:pStyle w:val="null3"/>
              <w:ind w:firstLine="380"/>
              <w:jc w:val="left"/>
            </w:pPr>
            <w:r>
              <w:rPr>
                <w:rFonts w:ascii="仿宋_GB2312" w:hAnsi="仿宋_GB2312" w:cs="仿宋_GB2312" w:eastAsia="仿宋_GB2312"/>
                <w:sz w:val="19"/>
                <w:color w:val="000000"/>
              </w:rPr>
              <w:t>2.2仲裁裁决应为最终裁决，对双方均具有约束力。</w:t>
            </w:r>
          </w:p>
          <w:p>
            <w:pPr>
              <w:pStyle w:val="null3"/>
              <w:ind w:firstLine="380"/>
              <w:jc w:val="left"/>
            </w:pPr>
            <w:r>
              <w:rPr>
                <w:rFonts w:ascii="仿宋_GB2312" w:hAnsi="仿宋_GB2312" w:cs="仿宋_GB2312" w:eastAsia="仿宋_GB2312"/>
                <w:sz w:val="19"/>
                <w:color w:val="000000"/>
              </w:rPr>
              <w:t>2.3仲裁费除仲裁机关另有裁决外应由败诉方负担。</w:t>
            </w:r>
          </w:p>
          <w:p>
            <w:pPr>
              <w:pStyle w:val="null3"/>
              <w:ind w:firstLine="380"/>
              <w:jc w:val="left"/>
            </w:pPr>
            <w:r>
              <w:rPr>
                <w:rFonts w:ascii="仿宋_GB2312" w:hAnsi="仿宋_GB2312" w:cs="仿宋_GB2312" w:eastAsia="仿宋_GB2312"/>
                <w:sz w:val="19"/>
                <w:color w:val="000000"/>
              </w:rPr>
              <w:t>2.4诉讼应由甲方住所地人民法院管辖。财产保全担保保险费、财产保全申请费、律师代理费、差旅费、评估费、鉴定费及诉讼费等与仲裁或诉讼活动相关费用应由败诉方负担。</w:t>
            </w:r>
          </w:p>
          <w:p>
            <w:pPr>
              <w:pStyle w:val="null3"/>
              <w:ind w:firstLine="380"/>
              <w:jc w:val="left"/>
            </w:pPr>
            <w:r>
              <w:rPr>
                <w:rFonts w:ascii="仿宋_GB2312" w:hAnsi="仿宋_GB2312" w:cs="仿宋_GB2312" w:eastAsia="仿宋_GB2312"/>
                <w:sz w:val="19"/>
                <w:color w:val="000000"/>
              </w:rPr>
              <w:t>2.5如仲裁或诉讼事项不影响合同其他部分的履行，则在仲裁或诉讼期间，除正在进行仲裁或诉讼的部分外，合同的其他部分应继续执行。</w:t>
            </w:r>
          </w:p>
          <w:p>
            <w:pPr>
              <w:pStyle w:val="null3"/>
              <w:ind w:firstLine="476"/>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.5</w:t>
            </w:r>
            <w:r>
              <w:rPr>
                <w:rFonts w:ascii="仿宋_GB2312" w:hAnsi="仿宋_GB2312" w:cs="仿宋_GB2312" w:eastAsia="仿宋_GB2312"/>
                <w:sz w:val="21"/>
                <w:color w:val="000000"/>
              </w:rPr>
              <w:t>其他要求</w:t>
            </w:r>
          </w:p>
          <w:p>
            <w:pPr>
              <w:pStyle w:val="null3"/>
              <w:ind w:firstLine="950"/>
              <w:jc w:val="left"/>
            </w:pPr>
            <w:r>
              <w:rPr>
                <w:rFonts w:ascii="仿宋_GB2312" w:hAnsi="仿宋_GB2312" w:cs="仿宋_GB2312" w:eastAsia="仿宋_GB2312"/>
                <w:sz w:val="19"/>
                <w:color w:val="000000"/>
              </w:rPr>
              <w:t>现场系统演示人员需携带授权委托书或介绍信（格式自拟。）</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项目维保期结束后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现场系统演示人员需携带授权委托书或介绍信（格式自拟。）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2024年12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法定代表人授权书及被授权人身份证明。（法定代表人直接投标只须提交其身份证明）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 且报价不超过采购预算金额或最高限价。</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根据对本次项目理解，对项目建设背景、建设目标、建设内容等进行阐述，形成项目理解概述。 （1）项目理解描述完整、可行，满足项目整体要求的，得3分； （2）项目理解描述较完整、可行，基本满足项目要求的，得1分； （3）未提供的不得分。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详细阐述陕西省医保信息平台目前现状，并根据本次项目建设相关要求，结合当前医保信息系统平台，对本次项目的需求进行分析描述。 （1）现状及需求分析描述详细、准确，符合本次项目要求的，得4分； （2）现状及需求分析描述一般、偏差不大，基本符合本次项目要求的，得2分； （3）未提供的不得分。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根据对本次项目的理解，对项目总体架构、数据架构、部署架构及系统关联关系等进行描述，形成项目总体设计方案。 （1）总体设计描述清晰、准确、满足项目整体要求的，得7分； （2）总体设计描述一般、偏差不大、基本满足项目整体要求的，得4分； （3）总体设计描述较差、不能完全满足项目整体要求的，得2分；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应用设计</w:t>
            </w:r>
          </w:p>
        </w:tc>
        <w:tc>
          <w:tcPr>
            <w:tcW w:type="dxa" w:w="2492"/>
          </w:tcPr>
          <w:p>
            <w:pPr>
              <w:pStyle w:val="null3"/>
            </w:pPr>
            <w:r>
              <w:rPr>
                <w:rFonts w:ascii="仿宋_GB2312" w:hAnsi="仿宋_GB2312" w:cs="仿宋_GB2312" w:eastAsia="仿宋_GB2312"/>
              </w:rPr>
              <w:t>据对本次项目的理解，对项目需升级改造和新建设的应用系统进行设计描述，需包含业务系统升级改造具体内容，数据处理、应用场景等内容的详细设计方案。 （1）应用设计描述详细、准确、满足项目建设要求的，得8分； （2）应用设计描述一般、偏差不大、基本满足项目建设要求的，得5分； （3）应用设计描述较差、未能完全满足项目建设要求的，得2分；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数据资源设计</w:t>
            </w:r>
          </w:p>
        </w:tc>
        <w:tc>
          <w:tcPr>
            <w:tcW w:type="dxa" w:w="2492"/>
          </w:tcPr>
          <w:p>
            <w:pPr>
              <w:pStyle w:val="null3"/>
            </w:pPr>
            <w:r>
              <w:rPr>
                <w:rFonts w:ascii="仿宋_GB2312" w:hAnsi="仿宋_GB2312" w:cs="仿宋_GB2312" w:eastAsia="仿宋_GB2312"/>
              </w:rPr>
              <w:t>根据对本次项目的理解，结合应用设计方案，对本次项目建设内容所涉及的数据资源进行规划设计，具体包含数据资源规划、数据资源共享需求、数据治理设计等。 （1）数据资源设计描述详细、完整、满足项目建设要求的，得6分； （2）数据资源设计描述一般、基本满足项目建设要求的，得3分； （3）未提供的不得分。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项目管理实施</w:t>
            </w:r>
          </w:p>
        </w:tc>
        <w:tc>
          <w:tcPr>
            <w:tcW w:type="dxa" w:w="2492"/>
          </w:tcPr>
          <w:p>
            <w:pPr>
              <w:pStyle w:val="null3"/>
            </w:pPr>
            <w:r>
              <w:rPr>
                <w:rFonts w:ascii="仿宋_GB2312" w:hAnsi="仿宋_GB2312" w:cs="仿宋_GB2312" w:eastAsia="仿宋_GB2312"/>
              </w:rPr>
              <w:t>投标人针对本项目制定明确、切实可行的实施组织计划，内容包括但不限于项目管理措施、进度计划安排、工作协调等。提供完整、详细、可行的项目管理实施方案及验收方案。 （1）项目管理实施方案描述详细合理，进度安排符合项目实际情况、切实可行的，得4分； （2）项目管理实施方案描述一般，进度安排基本符合项目实际情况的，得2分； （3）未提供的不得分。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根据本项目特点定制切实可行的各类应急预案，预案需结合采购人的实际情况提出，方案科学合理且有针对性、建设性，得6分；方案粗略不能很好的满足项目需求，得3分;未提供不得分。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投标人须提供详尽、可行的保密承诺，并对在项目实施过程中涉及保密内容的工作做出切实可行的措施： （1）有保密承诺，且保密措施完善，得3分； （2）有保密承诺，但保密措施一般，得1分； （3）未提供不得分。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供应商自2022年1月1日起至投标文件递交截止时间止，具有的类似项目业绩，每提供一项得2分，满分10分。以供应商投标文件中所附的合同证明文件为准，未提供不得分。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投标人针对本次项目建设，提供安全管理方案： （1）安全管理方案分析到位、理解全面透彻且管理措施得当的，得3分。 （2）安全管理方案分析一般、管理措施基本符合要求的，得1分。 （3）未提供不得分。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投标人能力</w:t>
            </w:r>
          </w:p>
        </w:tc>
        <w:tc>
          <w:tcPr>
            <w:tcW w:type="dxa" w:w="2492"/>
          </w:tcPr>
          <w:p>
            <w:pPr>
              <w:pStyle w:val="null3"/>
            </w:pPr>
            <w:r>
              <w:rPr>
                <w:rFonts w:ascii="仿宋_GB2312" w:hAnsi="仿宋_GB2312" w:cs="仿宋_GB2312" w:eastAsia="仿宋_GB2312"/>
              </w:rPr>
              <w:t>（1）投标人具有ISO9001质量管理体系认证、ISO27001信息安全管理体系认证、ISO20000信息技术服务管理体系认证证书，每提供一个得1分，最高得3分。提供复印件加盖公章，未提供不得分。（2）软件著作权：具有国家版权局颁发的多险合一社会保险信息管理、医疗保险信息管理、数据运维、数据共享等相关的软件著作权登记证的，每个著作权得1分，最高4分。提供复印件加盖公章，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拟投入本项目的人员必须为投标人本公司或直属分公司职员，需提供拟投入人员投标截止时间前1年内任意3个月投标人为其缴纳个人社保证明复印件（加投标人公章），否则不得分。成立不足3个月的公司，提供成立之日起次月至截标时间前一个月的投标人为其缴纳个人社保证明复印件（并加投标人公章）。 （1）项目经理（满分3分） 项目经理同时具有项目管理PMP资格、项目管理ACP资格、数据库系统工程师资格证书的得3分；每缺一项证书扣1分，未提供以上证书的不得分。 （2）团队成员（满分4分）团队成员（不含项目经理）具有信息系统项目管理师或PMP资格证书、每提供一个得1分，最高得4分。 注：投标文件中需附以上人员相关资格证书复印件并加投标人公章。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供应商提供培训方案详细，逻辑清楚，且包括培训目标、培训内容、培训规划、培训服务流程、培训服务保障措施 等方面。培训方案详细合理，得3分；培训方案有明 显缺陷，得2分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（1）投标人售后服务机构健全，能够保证售后服务及时响应能力；提供售后服务相关证明材料及承诺的得1分，不提供不得分； （2）提出完整的项目售后服务方案，包括售后服务承诺、售后服务流程、应急预案、质量保障措施等，并且提供售后驻场服务工程师，具备完整的运维服务管理支撑体系的，根据售后服务方案内容响应程度赋分，好的得3分，较好的得2分，一般的得1分，差的或不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现场系统演示</w:t>
            </w:r>
          </w:p>
        </w:tc>
        <w:tc>
          <w:tcPr>
            <w:tcW w:type="dxa" w:w="2492"/>
          </w:tcPr>
          <w:p>
            <w:pPr>
              <w:pStyle w:val="null3"/>
            </w:pPr>
            <w:r>
              <w:rPr>
                <w:rFonts w:ascii="仿宋_GB2312" w:hAnsi="仿宋_GB2312" w:cs="仿宋_GB2312" w:eastAsia="仿宋_GB2312"/>
              </w:rPr>
              <w:t>供应商针对本项目进行现场系统演示：系统演示完整、顺畅得满分；Demo、PPT、系统截图等其他方式演示，得5分；不演示不予计分（满分15分）。演示时间控制在20分钟内 具体演示内容如下： （1）支持在医保现有参保人员基础上，以网格的方式对统筹区人员进行筛查，发现未参保人员，并对未参保人员进行进行登记，包括基本信息、未参保原因等，需支持电脑端和移动端双端应用（2分）； （2）支持将未参保人员信息根据户籍信息、户籍区划，下发至对应区县、街道，对未参保事宜由具体网格管理人员进行核查及信息采集，完成后，将核查结果上传至国家医保信息平台（2分）； （3）支持对年终清算定点医药机构进行DRG/DIP考评维护、结果审核，并支持维护年终清算中计算所需扣减金额、补偿金额等，并计算年终清算加成后的点值、DIP统筹基金支出金额（2分）； （4）支持统筹区在线发起年终清算申请，结合定点医药机构考评年度考评结果计算拨付金额，并对计算结果进行核定及审批，通过后拨付金额至相关定点医药机构（2分）； （5）支持医保经办统一发起一键月结操作，包括省内参保就医地和省内异地就医所有数据，完成后，生成省内月度结算清单，并支持月度清算对账、查询、报表打印等（3分）； （6)支持医保月结拨付、审核，异地就医省级费用下拨及支持结果查询等（2分）。 （7）支持在线查询各个医师资格情况，包括医师总分、扣减分值、剩余分值等（2分）。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 注：（1）根据《关于进一步加大政府采购支持中小企业力度的通知》财库〔2022〕19号的相关规定，对小型和微型企业的价格给予10%的扣除，用扣除后的价格参与评审。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（3）小型、微型企业和监狱企业级符合财政部、民政部、中国残疾人联合会关于促进残疾人就业政府采购政策的通知，以上政策同时具备的仅对其进行一次10%的价格扣除，不重复扣除。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非专门面向中小企业采购。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