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658FA">
      <w:pPr>
        <w:spacing w:line="360" w:lineRule="auto"/>
        <w:jc w:val="center"/>
        <w:outlineLvl w:val="9"/>
        <w:rPr>
          <w:rFonts w:hint="eastAsia" w:ascii="宋体" w:hAnsi="宋体" w:eastAsia="宋体" w:cs="宋体"/>
          <w:b/>
          <w:bCs/>
          <w:color w:val="auto"/>
          <w:sz w:val="24"/>
          <w:szCs w:val="24"/>
          <w:highlight w:val="none"/>
        </w:rPr>
      </w:pPr>
      <w:bookmarkStart w:id="0" w:name="_Toc19396"/>
      <w:bookmarkStart w:id="1" w:name="_Toc484353362"/>
      <w:bookmarkStart w:id="2" w:name="_Toc24759"/>
      <w:bookmarkStart w:id="3" w:name="_Toc23240"/>
      <w:bookmarkStart w:id="4" w:name="_Toc24645"/>
      <w:bookmarkStart w:id="5" w:name="_Toc17018"/>
      <w:bookmarkStart w:id="6" w:name="_Toc483349426"/>
      <w:bookmarkStart w:id="7" w:name="_Toc25256"/>
      <w:r>
        <w:rPr>
          <w:rFonts w:hint="eastAsia" w:ascii="宋体" w:hAnsi="宋体" w:eastAsia="宋体" w:cs="宋体"/>
          <w:b/>
          <w:bCs/>
          <w:color w:val="auto"/>
          <w:sz w:val="24"/>
          <w:szCs w:val="24"/>
          <w:highlight w:val="none"/>
        </w:rPr>
        <w:t>注：本合同仅为合同的参考文本，合同签订双方可根据项目的具体要求进行修订。</w:t>
      </w:r>
    </w:p>
    <w:p w14:paraId="1413FCC2">
      <w:pPr>
        <w:spacing w:line="360" w:lineRule="auto"/>
        <w:jc w:val="center"/>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一、</w:t>
      </w:r>
      <w:bookmarkEnd w:id="0"/>
      <w:r>
        <w:rPr>
          <w:rFonts w:hint="eastAsia" w:ascii="宋体" w:hAnsi="宋体" w:eastAsia="宋体" w:cs="宋体"/>
          <w:b/>
          <w:bCs/>
          <w:color w:val="auto"/>
          <w:sz w:val="21"/>
          <w:szCs w:val="21"/>
          <w:highlight w:val="none"/>
        </w:rPr>
        <w:t>政府采购合同</w:t>
      </w:r>
      <w:bookmarkEnd w:id="1"/>
      <w:bookmarkEnd w:id="2"/>
      <w:bookmarkEnd w:id="3"/>
      <w:bookmarkEnd w:id="4"/>
      <w:bookmarkEnd w:id="5"/>
      <w:bookmarkEnd w:id="6"/>
      <w:bookmarkEnd w:id="7"/>
    </w:p>
    <w:p w14:paraId="6AC03162">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年</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月</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日</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eastAsia="zh-CN"/>
        </w:rPr>
        <w:t>（采购人）</w:t>
      </w:r>
      <w:r>
        <w:rPr>
          <w:rFonts w:hint="eastAsia" w:ascii="宋体" w:hAnsi="宋体" w:eastAsia="宋体" w:cs="宋体"/>
          <w:color w:val="auto"/>
          <w:sz w:val="20"/>
          <w:szCs w:val="20"/>
          <w:highlight w:val="none"/>
        </w:rPr>
        <w:t>（以下简称“甲方”）以</w:t>
      </w:r>
      <w:r>
        <w:rPr>
          <w:rFonts w:hint="eastAsia" w:ascii="宋体" w:hAnsi="宋体" w:eastAsia="宋体" w:cs="宋体"/>
          <w:color w:val="auto"/>
          <w:sz w:val="20"/>
          <w:szCs w:val="20"/>
          <w:highlight w:val="none"/>
          <w:u w:val="single"/>
          <w:lang w:val="en-US" w:eastAsia="zh-CN"/>
        </w:rPr>
        <w:t>竞争性磋商</w:t>
      </w:r>
      <w:r>
        <w:rPr>
          <w:rFonts w:hint="eastAsia" w:ascii="宋体" w:hAnsi="宋体" w:eastAsia="宋体" w:cs="宋体"/>
          <w:color w:val="auto"/>
          <w:sz w:val="20"/>
          <w:szCs w:val="20"/>
          <w:highlight w:val="none"/>
        </w:rPr>
        <w:t>的方式对</w:t>
      </w:r>
      <w:r>
        <w:rPr>
          <w:rFonts w:hint="eastAsia" w:ascii="宋体" w:hAnsi="宋体" w:eastAsia="宋体" w:cs="宋体"/>
          <w:color w:val="auto"/>
          <w:sz w:val="20"/>
          <w:szCs w:val="20"/>
          <w:highlight w:val="none"/>
          <w:u w:val="single"/>
        </w:rPr>
        <w:t>“</w:t>
      </w:r>
      <w:r>
        <w:rPr>
          <w:rFonts w:hint="eastAsia" w:ascii="宋体" w:hAnsi="宋体" w:eastAsia="宋体" w:cs="宋体"/>
          <w:color w:val="auto"/>
          <w:sz w:val="20"/>
          <w:szCs w:val="20"/>
          <w:highlight w:val="none"/>
          <w:u w:val="single"/>
          <w:lang w:eastAsia="zh-CN"/>
        </w:rPr>
        <w:t>（</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u w:val="single"/>
          <w:lang w:eastAsia="zh-CN"/>
        </w:rPr>
        <w:t>）</w:t>
      </w:r>
      <w:r>
        <w:rPr>
          <w:rFonts w:hint="eastAsia" w:ascii="宋体" w:hAnsi="宋体" w:eastAsia="宋体" w:cs="宋体"/>
          <w:color w:val="auto"/>
          <w:sz w:val="20"/>
          <w:szCs w:val="20"/>
          <w:highlight w:val="none"/>
          <w:u w:val="single"/>
        </w:rPr>
        <w:t>”</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lang w:val="en-US" w:eastAsia="zh-CN"/>
        </w:rPr>
        <w:t>（项目编号）</w:t>
      </w:r>
      <w:r>
        <w:rPr>
          <w:rFonts w:hint="eastAsia" w:ascii="宋体" w:hAnsi="宋体" w:eastAsia="宋体" w:cs="宋体"/>
          <w:color w:val="auto"/>
          <w:sz w:val="20"/>
          <w:szCs w:val="20"/>
          <w:highlight w:val="none"/>
        </w:rPr>
        <w:t>）进行了采购。经</w:t>
      </w:r>
      <w:r>
        <w:rPr>
          <w:rFonts w:hint="eastAsia" w:ascii="宋体" w:hAnsi="宋体" w:eastAsia="宋体" w:cs="宋体"/>
          <w:color w:val="auto"/>
          <w:sz w:val="20"/>
          <w:szCs w:val="20"/>
          <w:highlight w:val="none"/>
          <w:u w:val="single"/>
          <w:lang w:eastAsia="zh-CN"/>
        </w:rPr>
        <w:t>磋商小组</w:t>
      </w:r>
      <w:r>
        <w:rPr>
          <w:rFonts w:hint="eastAsia" w:ascii="宋体" w:hAnsi="宋体" w:eastAsia="宋体" w:cs="宋体"/>
          <w:color w:val="auto"/>
          <w:sz w:val="20"/>
          <w:szCs w:val="20"/>
          <w:highlight w:val="none"/>
        </w:rPr>
        <w:t>评定，</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eastAsia="zh-CN"/>
        </w:rPr>
        <w:t>成交</w:t>
      </w:r>
      <w:r>
        <w:rPr>
          <w:rFonts w:hint="eastAsia" w:ascii="宋体" w:hAnsi="宋体" w:eastAsia="宋体" w:cs="宋体"/>
          <w:color w:val="auto"/>
          <w:sz w:val="20"/>
          <w:szCs w:val="20"/>
          <w:highlight w:val="none"/>
          <w:u w:val="single"/>
        </w:rPr>
        <w:t xml:space="preserve">供应商名称） </w:t>
      </w:r>
      <w:r>
        <w:rPr>
          <w:rFonts w:hint="eastAsia" w:ascii="宋体" w:hAnsi="宋体" w:eastAsia="宋体" w:cs="宋体"/>
          <w:color w:val="auto"/>
          <w:sz w:val="20"/>
          <w:szCs w:val="20"/>
          <w:highlight w:val="none"/>
        </w:rPr>
        <w:t>（以下简称“乙方”）为该项目</w:t>
      </w:r>
      <w:r>
        <w:rPr>
          <w:rFonts w:hint="eastAsia" w:ascii="宋体" w:hAnsi="宋体" w:eastAsia="宋体" w:cs="宋体"/>
          <w:color w:val="auto"/>
          <w:sz w:val="20"/>
          <w:szCs w:val="20"/>
          <w:highlight w:val="none"/>
          <w:lang w:eastAsia="zh-CN"/>
        </w:rPr>
        <w:t>成交</w:t>
      </w:r>
      <w:r>
        <w:rPr>
          <w:rFonts w:hint="eastAsia" w:ascii="宋体" w:hAnsi="宋体" w:eastAsia="宋体" w:cs="宋体"/>
          <w:color w:val="auto"/>
          <w:sz w:val="20"/>
          <w:szCs w:val="20"/>
          <w:highlight w:val="none"/>
        </w:rPr>
        <w:t>供应商。现于</w:t>
      </w:r>
      <w:r>
        <w:rPr>
          <w:rFonts w:hint="eastAsia" w:ascii="宋体" w:hAnsi="宋体" w:eastAsia="宋体" w:cs="宋体"/>
          <w:color w:val="auto"/>
          <w:sz w:val="20"/>
          <w:szCs w:val="20"/>
          <w:highlight w:val="none"/>
          <w:lang w:eastAsia="zh-CN"/>
        </w:rPr>
        <w:t>成交</w:t>
      </w:r>
      <w:r>
        <w:rPr>
          <w:rFonts w:hint="eastAsia" w:ascii="宋体" w:hAnsi="宋体" w:eastAsia="宋体" w:cs="宋体"/>
          <w:color w:val="auto"/>
          <w:sz w:val="20"/>
          <w:szCs w:val="20"/>
          <w:highlight w:val="none"/>
        </w:rPr>
        <w:t>通知书发出之日起三十日内，按照采购文件确定的事项签订本合同。</w:t>
      </w:r>
    </w:p>
    <w:p w14:paraId="445E1859">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根据《中华人民共和国</w:t>
      </w:r>
      <w:r>
        <w:rPr>
          <w:rFonts w:hint="eastAsia" w:ascii="宋体" w:hAnsi="宋体" w:eastAsia="宋体" w:cs="宋体"/>
          <w:color w:val="auto"/>
          <w:sz w:val="20"/>
          <w:szCs w:val="20"/>
          <w:highlight w:val="none"/>
          <w:lang w:val="en-US" w:eastAsia="zh-CN"/>
        </w:rPr>
        <w:t>民法典</w:t>
      </w:r>
      <w:r>
        <w:rPr>
          <w:rFonts w:hint="eastAsia" w:ascii="宋体" w:hAnsi="宋体" w:eastAsia="宋体" w:cs="宋体"/>
          <w:color w:val="auto"/>
          <w:sz w:val="20"/>
          <w:szCs w:val="20"/>
          <w:highlight w:val="none"/>
          <w:lang w:val="zh-CN"/>
        </w:rPr>
        <w:t>》、《中华人民共和国政府采购法》等相关法律法规之规定，按照平等、自愿、公平和诚实信用的原则，经甲方和乙方协商一致，约定以下合同</w:t>
      </w:r>
      <w:r>
        <w:rPr>
          <w:rFonts w:hint="eastAsia" w:ascii="宋体" w:hAnsi="宋体" w:eastAsia="宋体" w:cs="宋体"/>
          <w:color w:val="auto"/>
          <w:sz w:val="20"/>
          <w:szCs w:val="20"/>
          <w:highlight w:val="none"/>
        </w:rPr>
        <w:t>条款，以兹共同遵守、全面履行。</w:t>
      </w:r>
    </w:p>
    <w:p w14:paraId="62BB8484">
      <w:pPr>
        <w:spacing w:line="360" w:lineRule="auto"/>
        <w:ind w:firstLine="402" w:firstLineChars="200"/>
        <w:outlineLvl w:val="9"/>
        <w:rPr>
          <w:rFonts w:hint="eastAsia" w:ascii="宋体" w:hAnsi="宋体" w:eastAsia="宋体" w:cs="宋体"/>
          <w:color w:val="auto"/>
          <w:sz w:val="20"/>
          <w:szCs w:val="20"/>
          <w:highlight w:val="none"/>
        </w:rPr>
      </w:pPr>
      <w:bookmarkStart w:id="8" w:name="_Toc26482"/>
      <w:bookmarkStart w:id="9" w:name="_Toc9470"/>
      <w:bookmarkStart w:id="10" w:name="_Toc22967"/>
      <w:bookmarkStart w:id="11" w:name="_Toc28855"/>
      <w:bookmarkStart w:id="12" w:name="_Toc20421"/>
      <w:bookmarkStart w:id="13" w:name="_Toc19273"/>
      <w:bookmarkStart w:id="14" w:name="_Toc15367"/>
      <w:bookmarkStart w:id="15" w:name="_Toc6601"/>
      <w:r>
        <w:rPr>
          <w:rFonts w:hint="eastAsia" w:ascii="宋体" w:hAnsi="宋体" w:eastAsia="宋体" w:cs="宋体"/>
          <w:b/>
          <w:color w:val="auto"/>
          <w:sz w:val="20"/>
          <w:szCs w:val="20"/>
          <w:highlight w:val="none"/>
        </w:rPr>
        <w:t>1.1合同组成部分</w:t>
      </w:r>
      <w:bookmarkEnd w:id="8"/>
      <w:bookmarkEnd w:id="9"/>
      <w:bookmarkEnd w:id="10"/>
      <w:bookmarkEnd w:id="11"/>
      <w:bookmarkEnd w:id="12"/>
      <w:bookmarkEnd w:id="13"/>
      <w:bookmarkEnd w:id="14"/>
      <w:bookmarkEnd w:id="15"/>
    </w:p>
    <w:p w14:paraId="4ED46C01">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093BF71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1.1.1本合同及其补充合同、变更协议；</w:t>
      </w:r>
    </w:p>
    <w:p w14:paraId="3B72E8A1">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w:t>
      </w:r>
      <w:r>
        <w:rPr>
          <w:rFonts w:hint="eastAsia" w:ascii="宋体" w:hAnsi="宋体" w:eastAsia="宋体" w:cs="宋体"/>
          <w:color w:val="auto"/>
          <w:sz w:val="20"/>
          <w:szCs w:val="20"/>
          <w:highlight w:val="none"/>
          <w:lang w:eastAsia="zh-CN"/>
        </w:rPr>
        <w:t>成交</w:t>
      </w:r>
      <w:r>
        <w:rPr>
          <w:rFonts w:hint="eastAsia" w:ascii="宋体" w:hAnsi="宋体" w:eastAsia="宋体" w:cs="宋体"/>
          <w:color w:val="auto"/>
          <w:sz w:val="20"/>
          <w:szCs w:val="20"/>
          <w:highlight w:val="none"/>
        </w:rPr>
        <w:t>通知书；</w:t>
      </w:r>
    </w:p>
    <w:p w14:paraId="6D3D395B">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1.1.3</w:t>
      </w:r>
      <w:r>
        <w:rPr>
          <w:rFonts w:hint="eastAsia" w:ascii="宋体" w:hAnsi="宋体" w:eastAsia="宋体" w:cs="宋体"/>
          <w:color w:val="auto"/>
          <w:sz w:val="20"/>
          <w:szCs w:val="20"/>
          <w:highlight w:val="none"/>
          <w:lang w:eastAsia="zh-CN"/>
        </w:rPr>
        <w:t>响应</w:t>
      </w:r>
      <w:r>
        <w:rPr>
          <w:rFonts w:hint="eastAsia" w:ascii="宋体" w:hAnsi="宋体" w:eastAsia="宋体" w:cs="宋体"/>
          <w:color w:val="auto"/>
          <w:sz w:val="20"/>
          <w:szCs w:val="20"/>
          <w:highlight w:val="none"/>
        </w:rPr>
        <w:t>文件（含澄清或者说明文件）；</w:t>
      </w:r>
    </w:p>
    <w:p w14:paraId="0014B7CB">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1.1.4</w:t>
      </w:r>
      <w:r>
        <w:rPr>
          <w:rFonts w:hint="eastAsia" w:ascii="宋体" w:hAnsi="宋体" w:eastAsia="宋体" w:cs="宋体"/>
          <w:color w:val="auto"/>
          <w:sz w:val="20"/>
          <w:szCs w:val="20"/>
          <w:highlight w:val="none"/>
          <w:lang w:eastAsia="zh-CN"/>
        </w:rPr>
        <w:t>竞争性磋商</w:t>
      </w:r>
      <w:r>
        <w:rPr>
          <w:rFonts w:hint="eastAsia" w:ascii="宋体" w:hAnsi="宋体" w:eastAsia="宋体" w:cs="宋体"/>
          <w:color w:val="auto"/>
          <w:sz w:val="20"/>
          <w:szCs w:val="20"/>
          <w:highlight w:val="none"/>
        </w:rPr>
        <w:t>文件（含澄清或者修改文件）；</w:t>
      </w:r>
    </w:p>
    <w:p w14:paraId="5EB0508F">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1.1.5其他相关采购文件。</w:t>
      </w:r>
    </w:p>
    <w:p w14:paraId="58BFF636">
      <w:pPr>
        <w:spacing w:line="360" w:lineRule="auto"/>
        <w:ind w:firstLine="402" w:firstLineChars="200"/>
        <w:outlineLvl w:val="9"/>
        <w:rPr>
          <w:rFonts w:hint="eastAsia" w:ascii="宋体" w:hAnsi="宋体" w:eastAsia="宋体" w:cs="宋体"/>
          <w:b/>
          <w:color w:val="auto"/>
          <w:sz w:val="20"/>
          <w:szCs w:val="20"/>
          <w:highlight w:val="none"/>
        </w:rPr>
      </w:pPr>
      <w:bookmarkStart w:id="16" w:name="_Toc2918"/>
      <w:bookmarkStart w:id="17" w:name="_Toc18585"/>
      <w:bookmarkStart w:id="18" w:name="_Toc6311"/>
      <w:bookmarkStart w:id="19" w:name="_Toc18557"/>
      <w:bookmarkStart w:id="20" w:name="_Toc6773"/>
      <w:bookmarkStart w:id="21" w:name="_Toc22185"/>
      <w:bookmarkStart w:id="22" w:name="_Toc16407"/>
      <w:bookmarkStart w:id="23" w:name="_Toc30141"/>
      <w:r>
        <w:rPr>
          <w:rFonts w:hint="eastAsia" w:ascii="宋体" w:hAnsi="宋体" w:eastAsia="宋体" w:cs="宋体"/>
          <w:b/>
          <w:color w:val="auto"/>
          <w:sz w:val="20"/>
          <w:szCs w:val="20"/>
          <w:highlight w:val="none"/>
        </w:rPr>
        <w:t>1.2标的</w:t>
      </w:r>
      <w:bookmarkEnd w:id="16"/>
      <w:bookmarkEnd w:id="17"/>
      <w:bookmarkEnd w:id="18"/>
      <w:bookmarkEnd w:id="19"/>
      <w:bookmarkEnd w:id="20"/>
      <w:bookmarkEnd w:id="21"/>
      <w:bookmarkEnd w:id="22"/>
      <w:bookmarkEnd w:id="23"/>
    </w:p>
    <w:p w14:paraId="0B7E06FF">
      <w:pPr>
        <w:spacing w:line="360" w:lineRule="auto"/>
        <w:ind w:firstLine="400" w:firstLineChars="200"/>
        <w:outlineLvl w:val="9"/>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1.2.1标的名称：</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78CB7D99">
      <w:pPr>
        <w:spacing w:line="360" w:lineRule="auto"/>
        <w:ind w:firstLine="400" w:firstLineChars="200"/>
        <w:outlineLvl w:val="9"/>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1.2.2标的数量：</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33BCFE1B">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1.2.3标的质量：</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7CF045A3">
      <w:pPr>
        <w:spacing w:line="360" w:lineRule="auto"/>
        <w:ind w:firstLine="402" w:firstLineChars="200"/>
        <w:outlineLvl w:val="9"/>
        <w:rPr>
          <w:rFonts w:hint="eastAsia" w:ascii="宋体" w:hAnsi="宋体" w:eastAsia="宋体" w:cs="宋体"/>
          <w:b/>
          <w:color w:val="auto"/>
          <w:sz w:val="20"/>
          <w:szCs w:val="20"/>
          <w:highlight w:val="none"/>
        </w:rPr>
      </w:pPr>
      <w:bookmarkStart w:id="24" w:name="_Toc20141"/>
      <w:bookmarkStart w:id="25" w:name="_Toc13918"/>
      <w:bookmarkStart w:id="26" w:name="_Toc4929"/>
      <w:bookmarkStart w:id="27" w:name="_Toc1386"/>
      <w:bookmarkStart w:id="28" w:name="_Toc21124"/>
      <w:bookmarkStart w:id="29" w:name="_Toc21782"/>
      <w:bookmarkStart w:id="30" w:name="_Toc6409"/>
      <w:bookmarkStart w:id="31" w:name="_Toc5635"/>
      <w:r>
        <w:rPr>
          <w:rFonts w:hint="eastAsia" w:ascii="宋体" w:hAnsi="宋体" w:eastAsia="宋体" w:cs="宋体"/>
          <w:b/>
          <w:color w:val="auto"/>
          <w:sz w:val="20"/>
          <w:szCs w:val="20"/>
          <w:highlight w:val="none"/>
        </w:rPr>
        <w:t>1.3价款</w:t>
      </w:r>
      <w:bookmarkEnd w:id="24"/>
      <w:bookmarkEnd w:id="25"/>
      <w:bookmarkEnd w:id="26"/>
      <w:bookmarkEnd w:id="27"/>
      <w:bookmarkEnd w:id="28"/>
      <w:bookmarkEnd w:id="29"/>
      <w:bookmarkEnd w:id="30"/>
      <w:bookmarkEnd w:id="31"/>
    </w:p>
    <w:p w14:paraId="358C9E7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本合同总价为：¥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元（大写：</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元人民币）。</w:t>
      </w:r>
    </w:p>
    <w:p w14:paraId="792D6A71">
      <w:pPr>
        <w:spacing w:line="360" w:lineRule="auto"/>
        <w:ind w:firstLine="400" w:firstLineChars="200"/>
        <w:outlineLvl w:val="9"/>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分项价格：</w:t>
      </w:r>
    </w:p>
    <w:tbl>
      <w:tblPr>
        <w:tblStyle w:val="2"/>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4CA40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E5C8EBD">
            <w:pPr>
              <w:pStyle w:val="4"/>
              <w:keepNext w:val="0"/>
              <w:keepLines w:val="0"/>
              <w:suppressLineNumbers w:val="0"/>
              <w:spacing w:before="0" w:beforeAutospacing="0" w:after="0" w:afterAutospacing="0" w:line="360" w:lineRule="auto"/>
              <w:ind w:left="0" w:right="0"/>
              <w:jc w:val="center"/>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序号</w:t>
            </w:r>
          </w:p>
        </w:tc>
        <w:tc>
          <w:tcPr>
            <w:tcW w:w="3402" w:type="dxa"/>
            <w:vAlign w:val="center"/>
          </w:tcPr>
          <w:p w14:paraId="5E786F5E">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分项名称</w:t>
            </w:r>
          </w:p>
        </w:tc>
        <w:tc>
          <w:tcPr>
            <w:tcW w:w="2552" w:type="dxa"/>
            <w:vAlign w:val="center"/>
          </w:tcPr>
          <w:p w14:paraId="37A0CCEA">
            <w:pPr>
              <w:pStyle w:val="4"/>
              <w:keepNext w:val="0"/>
              <w:keepLines w:val="0"/>
              <w:suppressLineNumbers w:val="0"/>
              <w:spacing w:before="0" w:beforeAutospacing="0" w:after="0" w:afterAutospacing="0" w:line="360" w:lineRule="auto"/>
              <w:ind w:left="0" w:right="0"/>
              <w:jc w:val="center"/>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分项价格</w:t>
            </w:r>
          </w:p>
        </w:tc>
      </w:tr>
      <w:tr w14:paraId="4ADB0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91D57F9">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3402" w:type="dxa"/>
            <w:vAlign w:val="center"/>
          </w:tcPr>
          <w:p w14:paraId="083360BD">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2552" w:type="dxa"/>
            <w:vAlign w:val="center"/>
          </w:tcPr>
          <w:p w14:paraId="3AF31953">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r>
      <w:tr w14:paraId="0891A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A5EBDFE">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3402" w:type="dxa"/>
            <w:vAlign w:val="center"/>
          </w:tcPr>
          <w:p w14:paraId="79C6E568">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2552" w:type="dxa"/>
            <w:vAlign w:val="center"/>
          </w:tcPr>
          <w:p w14:paraId="3F825FCA">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r>
      <w:tr w14:paraId="3CCC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2914B74">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3402" w:type="dxa"/>
            <w:vAlign w:val="center"/>
          </w:tcPr>
          <w:p w14:paraId="4CB769D1">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2552" w:type="dxa"/>
            <w:vAlign w:val="center"/>
          </w:tcPr>
          <w:p w14:paraId="5980CAAD">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r>
      <w:tr w14:paraId="5615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EFCF5E8">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3402" w:type="dxa"/>
            <w:vAlign w:val="center"/>
          </w:tcPr>
          <w:p w14:paraId="47DC7EC6">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c>
          <w:tcPr>
            <w:tcW w:w="2552" w:type="dxa"/>
            <w:vAlign w:val="center"/>
          </w:tcPr>
          <w:p w14:paraId="09205B02">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r>
      <w:tr w14:paraId="3C1F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0A599118">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总价</w:t>
            </w:r>
          </w:p>
        </w:tc>
        <w:tc>
          <w:tcPr>
            <w:tcW w:w="2552" w:type="dxa"/>
            <w:vAlign w:val="center"/>
          </w:tcPr>
          <w:p w14:paraId="29EE8DBF">
            <w:pPr>
              <w:pStyle w:val="4"/>
              <w:keepNext w:val="0"/>
              <w:keepLines w:val="0"/>
              <w:suppressLineNumbers w:val="0"/>
              <w:spacing w:before="0" w:beforeAutospacing="0" w:after="0" w:afterAutospacing="0" w:line="360" w:lineRule="auto"/>
              <w:ind w:left="0" w:right="0" w:firstLine="200"/>
              <w:jc w:val="center"/>
              <w:outlineLvl w:val="9"/>
              <w:rPr>
                <w:rFonts w:hint="eastAsia" w:ascii="宋体" w:hAnsi="宋体" w:eastAsia="宋体" w:cs="宋体"/>
                <w:color w:val="auto"/>
                <w:sz w:val="20"/>
                <w:szCs w:val="20"/>
                <w:highlight w:val="none"/>
              </w:rPr>
            </w:pPr>
          </w:p>
        </w:tc>
      </w:tr>
    </w:tbl>
    <w:p w14:paraId="59AA1254">
      <w:pPr>
        <w:spacing w:line="360" w:lineRule="auto"/>
        <w:ind w:firstLine="402" w:firstLineChars="200"/>
        <w:outlineLvl w:val="9"/>
        <w:rPr>
          <w:rFonts w:hint="eastAsia" w:ascii="宋体" w:hAnsi="宋体" w:eastAsia="宋体" w:cs="宋体"/>
          <w:b/>
          <w:color w:val="auto"/>
          <w:sz w:val="20"/>
          <w:szCs w:val="20"/>
          <w:highlight w:val="none"/>
        </w:rPr>
      </w:pPr>
      <w:bookmarkStart w:id="32" w:name="_Toc13113"/>
      <w:bookmarkStart w:id="33" w:name="_Toc14993"/>
      <w:bookmarkStart w:id="34" w:name="_Toc30506"/>
      <w:bookmarkStart w:id="35" w:name="_Toc26916"/>
      <w:bookmarkStart w:id="36" w:name="_Toc17639"/>
      <w:bookmarkStart w:id="37" w:name="_Toc30158"/>
      <w:bookmarkStart w:id="38" w:name="_Toc3654"/>
      <w:bookmarkStart w:id="39" w:name="_Toc15617"/>
      <w:r>
        <w:rPr>
          <w:rFonts w:hint="eastAsia" w:ascii="宋体" w:hAnsi="宋体" w:eastAsia="宋体" w:cs="宋体"/>
          <w:b/>
          <w:color w:val="auto"/>
          <w:sz w:val="20"/>
          <w:szCs w:val="20"/>
          <w:highlight w:val="none"/>
        </w:rPr>
        <w:t>1.4付款方式和发票开具方式</w:t>
      </w:r>
      <w:bookmarkEnd w:id="32"/>
      <w:bookmarkEnd w:id="33"/>
      <w:bookmarkEnd w:id="34"/>
      <w:bookmarkEnd w:id="35"/>
      <w:bookmarkEnd w:id="36"/>
      <w:bookmarkEnd w:id="37"/>
      <w:bookmarkEnd w:id="38"/>
      <w:bookmarkEnd w:id="39"/>
    </w:p>
    <w:p w14:paraId="109A10C5">
      <w:pPr>
        <w:spacing w:line="360" w:lineRule="auto"/>
        <w:ind w:firstLine="400" w:firstLineChars="200"/>
        <w:outlineLvl w:val="9"/>
        <w:rPr>
          <w:rFonts w:hint="eastAsia" w:ascii="宋体" w:hAnsi="宋体" w:eastAsia="宋体" w:cs="宋体"/>
          <w:b w:val="0"/>
          <w:bCs/>
          <w:color w:val="auto"/>
          <w:sz w:val="20"/>
          <w:szCs w:val="20"/>
          <w:highlight w:val="none"/>
          <w:lang w:val="en-US" w:eastAsia="zh-CN"/>
        </w:rPr>
      </w:pPr>
      <w:bookmarkStart w:id="40" w:name="_Toc31421"/>
      <w:bookmarkStart w:id="41" w:name="_Toc18630"/>
      <w:bookmarkStart w:id="42" w:name="_Toc3625"/>
      <w:bookmarkStart w:id="43" w:name="_Toc11108"/>
      <w:bookmarkStart w:id="44" w:name="_Toc4760"/>
      <w:bookmarkStart w:id="45" w:name="_Toc8772"/>
      <w:bookmarkStart w:id="46" w:name="_Toc17784"/>
      <w:bookmarkStart w:id="47" w:name="_Toc19039"/>
      <w:r>
        <w:rPr>
          <w:rFonts w:hint="eastAsia" w:ascii="宋体" w:hAnsi="宋体" w:eastAsia="宋体" w:cs="宋体"/>
          <w:b w:val="0"/>
          <w:bCs/>
          <w:color w:val="auto"/>
          <w:sz w:val="20"/>
          <w:szCs w:val="20"/>
          <w:highlight w:val="none"/>
          <w:lang w:val="en-US" w:eastAsia="zh-CN"/>
        </w:rPr>
        <w:t>1.4.1付款方式：分期付款</w:t>
      </w:r>
    </w:p>
    <w:p w14:paraId="12DAA2A0">
      <w:pPr>
        <w:spacing w:line="360" w:lineRule="auto"/>
        <w:ind w:firstLine="402" w:firstLineChars="200"/>
        <w:outlineLvl w:val="9"/>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1.5</w:t>
      </w:r>
      <w:r>
        <w:rPr>
          <w:rFonts w:hint="eastAsia" w:ascii="宋体" w:hAnsi="宋体" w:eastAsia="宋体" w:cs="宋体"/>
          <w:b/>
          <w:color w:val="auto"/>
          <w:sz w:val="20"/>
          <w:szCs w:val="20"/>
          <w:highlight w:val="none"/>
          <w:lang w:eastAsia="zh-CN"/>
        </w:rPr>
        <w:t>服务期限</w:t>
      </w:r>
      <w:r>
        <w:rPr>
          <w:rFonts w:hint="eastAsia" w:ascii="宋体" w:hAnsi="宋体" w:eastAsia="宋体" w:cs="宋体"/>
          <w:b/>
          <w:color w:val="auto"/>
          <w:sz w:val="20"/>
          <w:szCs w:val="20"/>
          <w:highlight w:val="none"/>
        </w:rPr>
        <w:t>、地点和方式</w:t>
      </w:r>
      <w:bookmarkEnd w:id="40"/>
      <w:bookmarkEnd w:id="41"/>
      <w:bookmarkEnd w:id="42"/>
      <w:bookmarkEnd w:id="43"/>
      <w:bookmarkEnd w:id="44"/>
      <w:bookmarkEnd w:id="45"/>
      <w:bookmarkEnd w:id="46"/>
      <w:bookmarkEnd w:id="47"/>
    </w:p>
    <w:p w14:paraId="54E53223">
      <w:pPr>
        <w:spacing w:line="360" w:lineRule="auto"/>
        <w:ind w:firstLine="400" w:firstLineChars="200"/>
        <w:rPr>
          <w:rFonts w:hint="eastAsia" w:ascii="宋体" w:hAnsi="宋体" w:eastAsia="宋体" w:cs="宋体"/>
          <w:color w:val="auto"/>
          <w:sz w:val="20"/>
          <w:szCs w:val="20"/>
          <w:highlight w:val="none"/>
          <w:u w:val="single"/>
          <w:lang w:val="en-US" w:eastAsia="zh-CN"/>
        </w:rPr>
      </w:pPr>
      <w:r>
        <w:rPr>
          <w:rFonts w:hint="eastAsia" w:ascii="宋体" w:hAnsi="宋体" w:eastAsia="宋体" w:cs="宋体"/>
          <w:color w:val="auto"/>
          <w:sz w:val="20"/>
          <w:szCs w:val="20"/>
          <w:highlight w:val="none"/>
        </w:rPr>
        <w:t>1.5.1</w:t>
      </w:r>
      <w:r>
        <w:rPr>
          <w:rFonts w:hint="eastAsia" w:ascii="宋体" w:hAnsi="宋体" w:eastAsia="宋体" w:cs="宋体"/>
          <w:color w:val="auto"/>
          <w:sz w:val="20"/>
          <w:szCs w:val="20"/>
          <w:highlight w:val="none"/>
          <w:lang w:eastAsia="zh-CN"/>
        </w:rPr>
        <w:t>服务</w:t>
      </w:r>
      <w:r>
        <w:rPr>
          <w:rFonts w:hint="eastAsia" w:ascii="宋体" w:hAnsi="宋体" w:eastAsia="宋体" w:cs="宋体"/>
          <w:color w:val="auto"/>
          <w:sz w:val="20"/>
          <w:szCs w:val="20"/>
          <w:highlight w:val="none"/>
        </w:rPr>
        <w:t>期：自合同签订之日起至所有服务内容完成</w:t>
      </w:r>
      <w:r>
        <w:rPr>
          <w:rFonts w:hint="eastAsia" w:ascii="宋体" w:hAnsi="宋体" w:eastAsia="宋体" w:cs="宋体"/>
          <w:color w:val="auto"/>
          <w:sz w:val="20"/>
          <w:szCs w:val="20"/>
          <w:highlight w:val="none"/>
          <w:lang w:val="en-US" w:eastAsia="zh-CN"/>
        </w:rPr>
        <w:t>；</w:t>
      </w:r>
    </w:p>
    <w:p w14:paraId="498E5610">
      <w:pPr>
        <w:spacing w:line="360" w:lineRule="auto"/>
        <w:ind w:firstLine="400" w:firstLineChars="200"/>
        <w:outlineLvl w:val="9"/>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1.5.2</w:t>
      </w:r>
      <w:r>
        <w:rPr>
          <w:rFonts w:hint="eastAsia" w:ascii="宋体" w:hAnsi="宋体" w:eastAsia="宋体" w:cs="宋体"/>
          <w:color w:val="auto"/>
          <w:sz w:val="20"/>
          <w:szCs w:val="20"/>
          <w:highlight w:val="none"/>
          <w:lang w:eastAsia="zh-CN"/>
        </w:rPr>
        <w:t>服务</w:t>
      </w:r>
      <w:r>
        <w:rPr>
          <w:rFonts w:hint="eastAsia" w:ascii="宋体" w:hAnsi="宋体" w:eastAsia="宋体" w:cs="宋体"/>
          <w:color w:val="auto"/>
          <w:sz w:val="20"/>
          <w:szCs w:val="20"/>
          <w:highlight w:val="none"/>
        </w:rPr>
        <w:t>地点：</w:t>
      </w:r>
      <w:r>
        <w:rPr>
          <w:rFonts w:hint="eastAsia" w:ascii="宋体" w:hAnsi="宋体" w:eastAsia="宋体" w:cs="宋体"/>
          <w:color w:val="auto"/>
          <w:sz w:val="20"/>
          <w:szCs w:val="20"/>
          <w:highlight w:val="none"/>
          <w:u w:val="none"/>
        </w:rPr>
        <w:t>采购人指定地点</w:t>
      </w:r>
      <w:r>
        <w:rPr>
          <w:rFonts w:hint="eastAsia" w:ascii="宋体" w:hAnsi="宋体" w:eastAsia="宋体" w:cs="宋体"/>
          <w:color w:val="auto"/>
          <w:sz w:val="20"/>
          <w:szCs w:val="20"/>
          <w:highlight w:val="none"/>
        </w:rPr>
        <w:t>。</w:t>
      </w:r>
    </w:p>
    <w:p w14:paraId="3916A4C4">
      <w:pPr>
        <w:spacing w:line="360" w:lineRule="auto"/>
        <w:ind w:firstLine="402" w:firstLineChars="200"/>
        <w:outlineLvl w:val="9"/>
        <w:rPr>
          <w:rFonts w:hint="eastAsia" w:ascii="宋体" w:hAnsi="宋体" w:eastAsia="宋体" w:cs="宋体"/>
          <w:color w:val="auto"/>
          <w:sz w:val="20"/>
          <w:szCs w:val="20"/>
          <w:highlight w:val="none"/>
          <w:u w:val="single"/>
        </w:rPr>
      </w:pPr>
      <w:bookmarkStart w:id="48" w:name="_Toc24662"/>
      <w:bookmarkStart w:id="49" w:name="_Toc8586"/>
      <w:bookmarkStart w:id="50" w:name="_Toc18097"/>
      <w:bookmarkStart w:id="51" w:name="_Toc3232"/>
      <w:bookmarkStart w:id="52" w:name="_Toc3079"/>
      <w:bookmarkStart w:id="53" w:name="_Toc2375"/>
      <w:bookmarkStart w:id="54" w:name="_Toc15869"/>
      <w:bookmarkStart w:id="55" w:name="_Toc5698"/>
      <w:r>
        <w:rPr>
          <w:rFonts w:hint="eastAsia" w:ascii="宋体" w:hAnsi="宋体" w:eastAsia="宋体" w:cs="宋体"/>
          <w:b/>
          <w:color w:val="auto"/>
          <w:sz w:val="20"/>
          <w:szCs w:val="20"/>
          <w:highlight w:val="none"/>
        </w:rPr>
        <w:t>1.6违约责任</w:t>
      </w:r>
      <w:bookmarkEnd w:id="48"/>
      <w:bookmarkEnd w:id="49"/>
      <w:bookmarkEnd w:id="50"/>
      <w:bookmarkEnd w:id="51"/>
      <w:bookmarkEnd w:id="52"/>
      <w:bookmarkEnd w:id="53"/>
      <w:bookmarkEnd w:id="54"/>
      <w:bookmarkEnd w:id="55"/>
    </w:p>
    <w:p w14:paraId="406EBA2F">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1.6.1除不可抗力外，如果乙方没有按照本合同约定的期限、地点和方式履行，那么甲方可要求乙方支付违约金，违约金按每迟延履行一日的应提供而未提供服务价格的</w:t>
      </w:r>
      <w:r>
        <w:rPr>
          <w:rFonts w:hint="eastAsia" w:ascii="宋体" w:hAnsi="宋体" w:eastAsia="宋体" w:cs="宋体"/>
          <w:color w:val="auto"/>
          <w:sz w:val="20"/>
          <w:szCs w:val="20"/>
          <w:highlight w:val="none"/>
          <w:u w:val="single"/>
        </w:rPr>
        <w:t>0.5</w:t>
      </w:r>
      <w:r>
        <w:rPr>
          <w:rFonts w:hint="eastAsia" w:ascii="宋体" w:hAnsi="宋体" w:eastAsia="宋体" w:cs="宋体"/>
          <w:color w:val="auto"/>
          <w:sz w:val="20"/>
          <w:szCs w:val="20"/>
          <w:highlight w:val="none"/>
        </w:rPr>
        <w:t>%计算，最高限额为本合同总价的</w:t>
      </w:r>
      <w:r>
        <w:rPr>
          <w:rFonts w:hint="eastAsia" w:ascii="宋体" w:hAnsi="宋体" w:eastAsia="宋体" w:cs="宋体"/>
          <w:color w:val="auto"/>
          <w:sz w:val="20"/>
          <w:szCs w:val="20"/>
          <w:highlight w:val="none"/>
          <w:u w:val="single"/>
        </w:rPr>
        <w:t>5</w:t>
      </w:r>
      <w:r>
        <w:rPr>
          <w:rFonts w:hint="eastAsia" w:ascii="宋体" w:hAnsi="宋体" w:eastAsia="宋体" w:cs="宋体"/>
          <w:color w:val="auto"/>
          <w:sz w:val="20"/>
          <w:szCs w:val="20"/>
          <w:highlight w:val="none"/>
        </w:rPr>
        <w:t>%；迟延履行的违约金计算数额达到前述最高限额之日起，甲方有权在要求乙方支付违约金的同时，书面通知乙方解除本合同；</w:t>
      </w:r>
    </w:p>
    <w:p w14:paraId="7683EC03">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1.6.2除不可抗力外，如果甲方没有按照本合同约定的付款方式付款，那么乙方可要求甲方支付违约金，违约金按每迟延付款一日的应付而未付款的</w:t>
      </w:r>
      <w:r>
        <w:rPr>
          <w:rFonts w:hint="eastAsia" w:ascii="宋体" w:hAnsi="宋体" w:eastAsia="宋体" w:cs="宋体"/>
          <w:color w:val="auto"/>
          <w:sz w:val="20"/>
          <w:szCs w:val="20"/>
          <w:highlight w:val="none"/>
          <w:u w:val="single"/>
        </w:rPr>
        <w:t>0.5</w:t>
      </w:r>
      <w:r>
        <w:rPr>
          <w:rFonts w:hint="eastAsia" w:ascii="宋体" w:hAnsi="宋体" w:eastAsia="宋体" w:cs="宋体"/>
          <w:color w:val="auto"/>
          <w:sz w:val="20"/>
          <w:szCs w:val="20"/>
          <w:highlight w:val="none"/>
        </w:rPr>
        <w:t>%计算，最高限额为本合同总价的</w:t>
      </w:r>
      <w:r>
        <w:rPr>
          <w:rFonts w:hint="eastAsia" w:ascii="宋体" w:hAnsi="宋体" w:eastAsia="宋体" w:cs="宋体"/>
          <w:color w:val="auto"/>
          <w:sz w:val="20"/>
          <w:szCs w:val="20"/>
          <w:highlight w:val="none"/>
          <w:u w:val="single"/>
        </w:rPr>
        <w:t>5</w:t>
      </w:r>
      <w:r>
        <w:rPr>
          <w:rFonts w:hint="eastAsia" w:ascii="宋体" w:hAnsi="宋体" w:eastAsia="宋体" w:cs="宋体"/>
          <w:color w:val="auto"/>
          <w:sz w:val="20"/>
          <w:szCs w:val="20"/>
          <w:highlight w:val="none"/>
        </w:rPr>
        <w:t>%；迟延付款的违约金计算数额达到前述最高限额之日起，乙方有权在要求甲方支付违约金的同时，书面通知甲方解除本合同；</w:t>
      </w:r>
    </w:p>
    <w:p w14:paraId="45D3970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7F1CCB6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4E8B18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3F3CEEA">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1.6.6如果出现政府采购监督管理部门在处理投诉事项期间，书面通知甲方暂停采购活动的情形，或者询问或质疑事项可能影响</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结果的，导致甲方中止履行合同的情形，均不视为甲方违约。</w:t>
      </w:r>
    </w:p>
    <w:p w14:paraId="01C3CE6E">
      <w:pPr>
        <w:spacing w:line="360" w:lineRule="auto"/>
        <w:ind w:firstLine="402" w:firstLineChars="200"/>
        <w:outlineLvl w:val="9"/>
        <w:rPr>
          <w:rFonts w:hint="eastAsia" w:ascii="宋体" w:hAnsi="宋体" w:eastAsia="宋体" w:cs="宋体"/>
          <w:b/>
          <w:color w:val="auto"/>
          <w:sz w:val="20"/>
          <w:szCs w:val="20"/>
          <w:highlight w:val="none"/>
        </w:rPr>
      </w:pPr>
      <w:bookmarkStart w:id="56" w:name="_Toc9497"/>
      <w:bookmarkStart w:id="57" w:name="_Toc29170"/>
      <w:bookmarkStart w:id="58" w:name="_Toc30329"/>
      <w:bookmarkStart w:id="59" w:name="_Toc14537"/>
      <w:bookmarkStart w:id="60" w:name="_Toc26807"/>
      <w:bookmarkStart w:id="61" w:name="_Toc32454"/>
      <w:bookmarkStart w:id="62" w:name="_Toc18683"/>
      <w:bookmarkStart w:id="63" w:name="_Toc14686"/>
      <w:r>
        <w:rPr>
          <w:rFonts w:hint="eastAsia" w:ascii="宋体" w:hAnsi="宋体" w:eastAsia="宋体" w:cs="宋体"/>
          <w:b/>
          <w:color w:val="auto"/>
          <w:sz w:val="20"/>
          <w:szCs w:val="20"/>
          <w:highlight w:val="none"/>
        </w:rPr>
        <w:t>1.7合同争议的解决</w:t>
      </w:r>
      <w:bookmarkEnd w:id="56"/>
      <w:bookmarkEnd w:id="57"/>
      <w:bookmarkEnd w:id="58"/>
      <w:bookmarkEnd w:id="59"/>
      <w:bookmarkEnd w:id="60"/>
      <w:bookmarkEnd w:id="61"/>
      <w:bookmarkEnd w:id="62"/>
      <w:bookmarkEnd w:id="63"/>
    </w:p>
    <w:p w14:paraId="335DCD65">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本合同履行过程中发生的任何争议，双方当事人均可通过和解或者调解解决；不愿和解、调解或者和解、调解不成的，可以选择下列第</w:t>
      </w:r>
      <w:r>
        <w:rPr>
          <w:rFonts w:hint="eastAsia" w:ascii="宋体" w:hAnsi="宋体" w:eastAsia="宋体" w:cs="宋体"/>
          <w:color w:val="auto"/>
          <w:sz w:val="20"/>
          <w:szCs w:val="20"/>
          <w:highlight w:val="none"/>
          <w:u w:val="single"/>
        </w:rPr>
        <w:t>1.7.2款</w:t>
      </w:r>
      <w:r>
        <w:rPr>
          <w:rFonts w:hint="eastAsia" w:ascii="宋体" w:hAnsi="宋体" w:eastAsia="宋体" w:cs="宋体"/>
          <w:color w:val="auto"/>
          <w:sz w:val="20"/>
          <w:szCs w:val="20"/>
          <w:highlight w:val="none"/>
        </w:rPr>
        <w:t>方式解决：</w:t>
      </w:r>
    </w:p>
    <w:p w14:paraId="5E25DAB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1.7.1将争议提交</w:t>
      </w:r>
      <w:r>
        <w:rPr>
          <w:rFonts w:hint="eastAsia" w:ascii="宋体" w:hAnsi="宋体" w:eastAsia="宋体" w:cs="宋体"/>
          <w:color w:val="auto"/>
          <w:sz w:val="20"/>
          <w:szCs w:val="20"/>
          <w:highlight w:val="none"/>
          <w:u w:val="single"/>
        </w:rPr>
        <w:t xml:space="preserve">   合同签订地   </w:t>
      </w:r>
      <w:r>
        <w:rPr>
          <w:rFonts w:hint="eastAsia" w:ascii="宋体" w:hAnsi="宋体" w:eastAsia="宋体" w:cs="宋体"/>
          <w:color w:val="auto"/>
          <w:sz w:val="20"/>
          <w:szCs w:val="20"/>
          <w:highlight w:val="none"/>
        </w:rPr>
        <w:t>仲裁委员会依申请仲裁时其现行有效的仲裁规则裁决；</w:t>
      </w:r>
    </w:p>
    <w:p w14:paraId="57D19EA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1.7.2向</w:t>
      </w:r>
      <w:r>
        <w:rPr>
          <w:rFonts w:hint="eastAsia" w:ascii="宋体" w:hAnsi="宋体" w:eastAsia="宋体" w:cs="宋体"/>
          <w:color w:val="auto"/>
          <w:sz w:val="20"/>
          <w:szCs w:val="20"/>
          <w:highlight w:val="none"/>
          <w:u w:val="single"/>
        </w:rPr>
        <w:t xml:space="preserve">   合同签订地   </w:t>
      </w:r>
      <w:r>
        <w:rPr>
          <w:rFonts w:hint="eastAsia" w:ascii="宋体" w:hAnsi="宋体" w:eastAsia="宋体" w:cs="宋体"/>
          <w:color w:val="auto"/>
          <w:sz w:val="20"/>
          <w:szCs w:val="20"/>
          <w:highlight w:val="none"/>
        </w:rPr>
        <w:t>人民法院起诉。</w:t>
      </w:r>
    </w:p>
    <w:p w14:paraId="4A004B47">
      <w:pPr>
        <w:spacing w:line="360" w:lineRule="auto"/>
        <w:ind w:firstLine="402" w:firstLineChars="200"/>
        <w:outlineLvl w:val="9"/>
        <w:rPr>
          <w:rFonts w:hint="eastAsia" w:ascii="宋体" w:hAnsi="宋体" w:eastAsia="宋体" w:cs="宋体"/>
          <w:b/>
          <w:color w:val="auto"/>
          <w:sz w:val="20"/>
          <w:szCs w:val="20"/>
          <w:highlight w:val="none"/>
        </w:rPr>
      </w:pPr>
      <w:bookmarkStart w:id="64" w:name="_Toc23784"/>
      <w:bookmarkStart w:id="65" w:name="_Toc15827"/>
      <w:bookmarkStart w:id="66" w:name="_Toc58"/>
      <w:bookmarkStart w:id="67" w:name="_Toc12273"/>
      <w:bookmarkStart w:id="68" w:name="_Toc26227"/>
      <w:bookmarkStart w:id="69" w:name="_Toc17829"/>
      <w:bookmarkStart w:id="70" w:name="_Toc15436"/>
      <w:bookmarkStart w:id="71" w:name="_Toc16417"/>
      <w:r>
        <w:rPr>
          <w:rFonts w:hint="eastAsia" w:ascii="宋体" w:hAnsi="宋体" w:eastAsia="宋体" w:cs="宋体"/>
          <w:b/>
          <w:color w:val="auto"/>
          <w:sz w:val="20"/>
          <w:szCs w:val="20"/>
          <w:highlight w:val="none"/>
        </w:rPr>
        <w:t>1.8合同生效</w:t>
      </w:r>
      <w:bookmarkEnd w:id="64"/>
      <w:bookmarkEnd w:id="65"/>
      <w:bookmarkEnd w:id="66"/>
      <w:bookmarkEnd w:id="67"/>
      <w:bookmarkEnd w:id="68"/>
      <w:bookmarkEnd w:id="69"/>
      <w:bookmarkEnd w:id="70"/>
      <w:bookmarkEnd w:id="71"/>
    </w:p>
    <w:p w14:paraId="0919B9F0">
      <w:pPr>
        <w:spacing w:line="360" w:lineRule="auto"/>
        <w:ind w:firstLine="400" w:firstLineChars="200"/>
        <w:outlineLvl w:val="9"/>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本合同自双方当事人盖章或者签字时生效。</w:t>
      </w:r>
    </w:p>
    <w:p w14:paraId="76FC48AD">
      <w:pPr>
        <w:spacing w:line="360" w:lineRule="auto"/>
        <w:ind w:firstLine="400" w:firstLineChars="200"/>
        <w:outlineLvl w:val="9"/>
        <w:rPr>
          <w:rFonts w:hint="eastAsia" w:ascii="宋体" w:hAnsi="宋体" w:eastAsia="宋体" w:cs="宋体"/>
          <w:color w:val="auto"/>
          <w:sz w:val="20"/>
          <w:szCs w:val="20"/>
          <w:highlight w:val="none"/>
          <w:lang w:val="zh-CN"/>
        </w:rPr>
      </w:pPr>
    </w:p>
    <w:p w14:paraId="2A13A2E4">
      <w:pPr>
        <w:spacing w:line="360" w:lineRule="auto"/>
        <w:ind w:firstLine="402" w:firstLineChars="200"/>
        <w:outlineLvl w:val="9"/>
        <w:rPr>
          <w:rFonts w:hint="eastAsia" w:ascii="宋体" w:hAnsi="宋体" w:eastAsia="宋体" w:cs="宋体"/>
          <w:b/>
          <w:bCs/>
          <w:color w:val="auto"/>
          <w:sz w:val="20"/>
          <w:szCs w:val="20"/>
          <w:highlight w:val="none"/>
          <w:lang w:val="zh-CN"/>
        </w:rPr>
      </w:pPr>
      <w:r>
        <w:rPr>
          <w:rFonts w:hint="eastAsia" w:ascii="宋体" w:hAnsi="宋体" w:eastAsia="宋体" w:cs="宋体"/>
          <w:b/>
          <w:bCs/>
          <w:color w:val="auto"/>
          <w:sz w:val="20"/>
          <w:szCs w:val="20"/>
          <w:highlight w:val="none"/>
          <w:lang w:val="zh-CN"/>
        </w:rPr>
        <w:t>甲方：                                   乙方：</w:t>
      </w:r>
    </w:p>
    <w:p w14:paraId="3999A51D">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统一社会信用代码：                       统一社会信用代码或身份证号码：</w:t>
      </w:r>
    </w:p>
    <w:p w14:paraId="40D53C6F">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住所：                                   住所：</w:t>
      </w:r>
    </w:p>
    <w:p w14:paraId="6DE711C0">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法定代表人或                             法定代表人</w:t>
      </w:r>
    </w:p>
    <w:p w14:paraId="2B0C4197">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授权代表（签字）：                       或授权代表（签字）:</w:t>
      </w:r>
    </w:p>
    <w:p w14:paraId="65CEE6D6">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联系人：                                 联系人：</w:t>
      </w:r>
    </w:p>
    <w:p w14:paraId="14E738C6">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约定送达地址：                           约定送达地址：</w:t>
      </w:r>
    </w:p>
    <w:p w14:paraId="4B5D3491">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邮政编码：                               邮政编码：</w:t>
      </w:r>
    </w:p>
    <w:p w14:paraId="40BE5987">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电话:                                    电话:</w:t>
      </w:r>
    </w:p>
    <w:p w14:paraId="181A1FF3">
      <w:pPr>
        <w:spacing w:line="360" w:lineRule="auto"/>
        <w:ind w:firstLine="400" w:firstLineChars="200"/>
        <w:outlineLvl w:val="9"/>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传真:                                    传真:</w:t>
      </w:r>
    </w:p>
    <w:p w14:paraId="4F0220F4">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电子邮箱：                               电子邮箱：</w:t>
      </w:r>
    </w:p>
    <w:p w14:paraId="524CD2F9">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                               开户银行：</w:t>
      </w:r>
    </w:p>
    <w:p w14:paraId="5D9485D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开户名称：                               开户名称：</w:t>
      </w:r>
    </w:p>
    <w:p w14:paraId="33C65EC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开户账号：</w:t>
      </w:r>
      <w:r>
        <w:rPr>
          <w:rFonts w:hint="eastAsia" w:ascii="宋体" w:hAnsi="宋体" w:eastAsia="宋体" w:cs="宋体"/>
          <w:color w:val="auto"/>
          <w:sz w:val="20"/>
          <w:szCs w:val="20"/>
          <w:highlight w:val="none"/>
          <w:lang w:val="zh-CN"/>
        </w:rPr>
        <w:t xml:space="preserve">                               </w:t>
      </w:r>
      <w:r>
        <w:rPr>
          <w:rFonts w:hint="eastAsia" w:ascii="宋体" w:hAnsi="宋体" w:eastAsia="宋体" w:cs="宋体"/>
          <w:color w:val="auto"/>
          <w:sz w:val="20"/>
          <w:szCs w:val="20"/>
          <w:highlight w:val="none"/>
        </w:rPr>
        <w:t>开户账号：</w:t>
      </w:r>
    </w:p>
    <w:p w14:paraId="30E2FD23">
      <w:pPr>
        <w:spacing w:line="360" w:lineRule="auto"/>
        <w:jc w:val="center"/>
        <w:outlineLvl w:val="9"/>
        <w:rPr>
          <w:rFonts w:hint="eastAsia" w:ascii="宋体" w:hAnsi="宋体" w:eastAsia="宋体" w:cs="宋体"/>
          <w:color w:val="auto"/>
          <w:sz w:val="20"/>
          <w:szCs w:val="20"/>
          <w:highlight w:val="none"/>
        </w:rPr>
      </w:pPr>
      <w:bookmarkStart w:id="72" w:name="_Toc331685783"/>
      <w:bookmarkStart w:id="73" w:name="_Toc3483"/>
      <w:r>
        <w:rPr>
          <w:rFonts w:hint="eastAsia" w:ascii="宋体" w:hAnsi="宋体" w:eastAsia="宋体" w:cs="宋体"/>
          <w:color w:val="auto"/>
          <w:sz w:val="20"/>
          <w:szCs w:val="20"/>
          <w:highlight w:val="none"/>
        </w:rPr>
        <w:br w:type="page"/>
      </w:r>
      <w:bookmarkStart w:id="74" w:name="_Toc16795"/>
      <w:bookmarkStart w:id="75" w:name="_Toc11838"/>
      <w:r>
        <w:rPr>
          <w:rFonts w:hint="eastAsia" w:ascii="宋体" w:hAnsi="宋体" w:eastAsia="宋体" w:cs="宋体"/>
          <w:b/>
          <w:bCs/>
          <w:color w:val="auto"/>
          <w:sz w:val="20"/>
          <w:szCs w:val="20"/>
          <w:highlight w:val="none"/>
        </w:rPr>
        <w:t>二、合同一般条款</w:t>
      </w:r>
      <w:bookmarkEnd w:id="72"/>
      <w:bookmarkEnd w:id="73"/>
      <w:bookmarkEnd w:id="74"/>
      <w:bookmarkEnd w:id="75"/>
    </w:p>
    <w:p w14:paraId="3D9334C9">
      <w:pPr>
        <w:spacing w:line="360" w:lineRule="auto"/>
        <w:ind w:firstLine="402" w:firstLineChars="200"/>
        <w:outlineLvl w:val="9"/>
        <w:rPr>
          <w:rFonts w:hint="eastAsia" w:ascii="宋体" w:hAnsi="宋体" w:eastAsia="宋体" w:cs="宋体"/>
          <w:b/>
          <w:color w:val="auto"/>
          <w:sz w:val="20"/>
          <w:szCs w:val="20"/>
          <w:highlight w:val="none"/>
        </w:rPr>
      </w:pPr>
      <w:bookmarkStart w:id="76" w:name="_Ref467378499"/>
      <w:bookmarkStart w:id="77" w:name="_Toc31297"/>
      <w:bookmarkStart w:id="78" w:name="_Toc26002"/>
      <w:bookmarkStart w:id="79" w:name="_Ref467379225"/>
      <w:bookmarkStart w:id="80" w:name="_Ref467379094"/>
      <w:bookmarkStart w:id="81" w:name="_Toc22731"/>
      <w:bookmarkStart w:id="82" w:name="_Toc16972"/>
      <w:bookmarkStart w:id="83" w:name="_Toc5228"/>
      <w:bookmarkStart w:id="84" w:name="_Toc259093669"/>
      <w:bookmarkStart w:id="85" w:name="_Ref467379101"/>
      <w:bookmarkStart w:id="86" w:name="_Toc19680"/>
      <w:bookmarkStart w:id="87" w:name="_Toc25079"/>
      <w:bookmarkStart w:id="88" w:name="_Ref467379109"/>
      <w:bookmarkStart w:id="89" w:name="_Ref467379195"/>
      <w:bookmarkStart w:id="90" w:name="_Toc279701240"/>
      <w:bookmarkStart w:id="91" w:name="_Ref467379214"/>
      <w:bookmarkStart w:id="92" w:name="_Ref467378404"/>
      <w:bookmarkStart w:id="93" w:name="_Ref467378463"/>
      <w:bookmarkStart w:id="94" w:name="_Toc487900349"/>
      <w:bookmarkStart w:id="95" w:name="_Toc14021"/>
      <w:bookmarkStart w:id="96" w:name="_Ref467379205"/>
      <w:r>
        <w:rPr>
          <w:rFonts w:hint="eastAsia" w:ascii="宋体" w:hAnsi="宋体" w:eastAsia="宋体" w:cs="宋体"/>
          <w:b/>
          <w:color w:val="auto"/>
          <w:sz w:val="20"/>
          <w:szCs w:val="20"/>
          <w:highlight w:val="none"/>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5672AED3">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本合同中的下列词语应按以下内容进行解释：</w:t>
      </w:r>
    </w:p>
    <w:p w14:paraId="1D83395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2.1.1“合同”系指采购人和</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供应商签订的载明双方当事人所达成的协议，并包括所有的附件、附录和构成合同的其他文件。</w:t>
      </w:r>
    </w:p>
    <w:p w14:paraId="7A64DCB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2.1.2“合同价”系指根据合同约定，</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供应商在完全履行合同义务后，采购人应支付给</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供应商的价格。</w:t>
      </w:r>
    </w:p>
    <w:p w14:paraId="27DE1D4B">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2.1.3“服务”系指</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供应商根据合同约定应向采购人履行的除货物和工程以外的其他政府采购对象，包括采购人自身需要的服务和向社会公众提供的公共服务。</w:t>
      </w:r>
    </w:p>
    <w:p w14:paraId="7B329F78">
      <w:pPr>
        <w:spacing w:line="360" w:lineRule="auto"/>
        <w:ind w:firstLine="400" w:firstLineChars="200"/>
        <w:outlineLvl w:val="9"/>
        <w:rPr>
          <w:rFonts w:hint="eastAsia" w:ascii="宋体" w:hAnsi="宋体" w:eastAsia="宋体" w:cs="宋体"/>
          <w:color w:val="auto"/>
          <w:sz w:val="20"/>
          <w:szCs w:val="20"/>
          <w:highlight w:val="none"/>
        </w:rPr>
      </w:pPr>
      <w:bookmarkStart w:id="97" w:name="_Ref467378840"/>
      <w:r>
        <w:rPr>
          <w:rFonts w:hint="eastAsia" w:ascii="宋体" w:hAnsi="宋体" w:eastAsia="宋体" w:cs="宋体"/>
          <w:color w:val="auto"/>
          <w:sz w:val="20"/>
          <w:szCs w:val="20"/>
          <w:highlight w:val="none"/>
        </w:rPr>
        <w:t>2.1.4“甲方”系指与</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供应商签署合同的采购人</w:t>
      </w:r>
      <w:bookmarkEnd w:id="97"/>
      <w:r>
        <w:rPr>
          <w:rFonts w:hint="eastAsia" w:ascii="宋体" w:hAnsi="宋体" w:eastAsia="宋体" w:cs="宋体"/>
          <w:color w:val="auto"/>
          <w:sz w:val="20"/>
          <w:szCs w:val="20"/>
          <w:highlight w:val="none"/>
        </w:rPr>
        <w:t>；采购人委托采购代理机构代表其与乙方签订合同的，采购人的授权委托书作为合同附件。</w:t>
      </w:r>
    </w:p>
    <w:p w14:paraId="007FF575">
      <w:pPr>
        <w:spacing w:line="360" w:lineRule="auto"/>
        <w:ind w:firstLine="400" w:firstLineChars="200"/>
        <w:outlineLvl w:val="9"/>
        <w:rPr>
          <w:rFonts w:hint="eastAsia" w:ascii="宋体" w:hAnsi="宋体" w:eastAsia="宋体" w:cs="宋体"/>
          <w:color w:val="auto"/>
          <w:sz w:val="20"/>
          <w:szCs w:val="20"/>
          <w:highlight w:val="none"/>
        </w:rPr>
      </w:pPr>
      <w:bookmarkStart w:id="98" w:name="_Ref467379400"/>
      <w:r>
        <w:rPr>
          <w:rFonts w:hint="eastAsia" w:ascii="宋体" w:hAnsi="宋体" w:eastAsia="宋体" w:cs="宋体"/>
          <w:color w:val="auto"/>
          <w:sz w:val="20"/>
          <w:szCs w:val="20"/>
          <w:highlight w:val="none"/>
        </w:rPr>
        <w:t>2.1.5“乙方”系指根据合同约定提供服务的</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w:t>
      </w:r>
      <w:bookmarkEnd w:id="98"/>
      <w:r>
        <w:rPr>
          <w:rFonts w:hint="eastAsia" w:ascii="宋体" w:hAnsi="宋体" w:eastAsia="宋体" w:cs="宋体"/>
          <w:color w:val="auto"/>
          <w:sz w:val="20"/>
          <w:szCs w:val="20"/>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7B7E4DF7">
      <w:pPr>
        <w:spacing w:line="360" w:lineRule="auto"/>
        <w:ind w:firstLine="400" w:firstLineChars="200"/>
        <w:outlineLvl w:val="9"/>
        <w:rPr>
          <w:rFonts w:hint="eastAsia" w:ascii="宋体" w:hAnsi="宋体" w:eastAsia="宋体" w:cs="宋体"/>
          <w:color w:val="auto"/>
          <w:sz w:val="20"/>
          <w:szCs w:val="20"/>
          <w:highlight w:val="none"/>
        </w:rPr>
      </w:pPr>
      <w:bookmarkStart w:id="99" w:name="_Ref467379436"/>
      <w:r>
        <w:rPr>
          <w:rFonts w:hint="eastAsia" w:ascii="宋体" w:hAnsi="宋体" w:eastAsia="宋体" w:cs="宋体"/>
          <w:color w:val="auto"/>
          <w:sz w:val="20"/>
          <w:szCs w:val="20"/>
          <w:highlight w:val="none"/>
        </w:rPr>
        <w:t>2.1.6“现场”系指合同约定提供服务的地点。</w:t>
      </w:r>
      <w:bookmarkEnd w:id="99"/>
    </w:p>
    <w:p w14:paraId="7CAB5F3B">
      <w:pPr>
        <w:spacing w:line="360" w:lineRule="auto"/>
        <w:ind w:firstLine="402" w:firstLineChars="200"/>
        <w:outlineLvl w:val="9"/>
        <w:rPr>
          <w:rFonts w:hint="eastAsia" w:ascii="宋体" w:hAnsi="宋体" w:eastAsia="宋体" w:cs="宋体"/>
          <w:b/>
          <w:color w:val="auto"/>
          <w:sz w:val="20"/>
          <w:szCs w:val="20"/>
          <w:highlight w:val="none"/>
        </w:rPr>
      </w:pPr>
      <w:bookmarkStart w:id="100" w:name="_Toc22410"/>
      <w:bookmarkStart w:id="101" w:name="_Toc487900350"/>
      <w:bookmarkStart w:id="102" w:name="_Toc4531"/>
      <w:bookmarkStart w:id="103" w:name="_Toc23289"/>
      <w:bookmarkStart w:id="104" w:name="_Toc3769"/>
      <w:bookmarkStart w:id="105" w:name="_Toc259093670"/>
      <w:bookmarkStart w:id="106" w:name="_Toc279701241"/>
      <w:bookmarkStart w:id="107" w:name="_Toc3565"/>
      <w:bookmarkStart w:id="108" w:name="_Toc16752"/>
      <w:bookmarkStart w:id="109" w:name="_Toc19539"/>
      <w:bookmarkStart w:id="110" w:name="_Toc31402"/>
      <w:r>
        <w:rPr>
          <w:rFonts w:hint="eastAsia" w:ascii="宋体" w:hAnsi="宋体" w:eastAsia="宋体" w:cs="宋体"/>
          <w:b/>
          <w:color w:val="auto"/>
          <w:sz w:val="20"/>
          <w:szCs w:val="20"/>
          <w:highlight w:val="none"/>
        </w:rPr>
        <w:t>2.2技术规范</w:t>
      </w:r>
      <w:bookmarkEnd w:id="100"/>
      <w:bookmarkEnd w:id="101"/>
      <w:bookmarkEnd w:id="102"/>
      <w:bookmarkEnd w:id="103"/>
      <w:bookmarkEnd w:id="104"/>
      <w:bookmarkEnd w:id="105"/>
      <w:bookmarkEnd w:id="106"/>
      <w:bookmarkEnd w:id="107"/>
      <w:bookmarkEnd w:id="108"/>
      <w:bookmarkEnd w:id="109"/>
      <w:bookmarkEnd w:id="110"/>
    </w:p>
    <w:p w14:paraId="3C471D1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4C78B788">
      <w:pPr>
        <w:spacing w:line="360" w:lineRule="auto"/>
        <w:ind w:firstLine="402" w:firstLineChars="200"/>
        <w:outlineLvl w:val="9"/>
        <w:rPr>
          <w:rFonts w:hint="eastAsia" w:ascii="宋体" w:hAnsi="宋体" w:eastAsia="宋体" w:cs="宋体"/>
          <w:b/>
          <w:color w:val="auto"/>
          <w:sz w:val="20"/>
          <w:szCs w:val="20"/>
          <w:highlight w:val="none"/>
        </w:rPr>
      </w:pPr>
      <w:bookmarkStart w:id="111" w:name="_Toc259093671"/>
      <w:bookmarkStart w:id="112" w:name="_Toc12412"/>
      <w:bookmarkStart w:id="113" w:name="_Toc32669"/>
      <w:bookmarkStart w:id="114" w:name="_Toc487900351"/>
      <w:bookmarkStart w:id="115" w:name="_Toc4133"/>
      <w:bookmarkStart w:id="116" w:name="_Toc13673"/>
      <w:bookmarkStart w:id="117" w:name="_Toc27945"/>
      <w:bookmarkStart w:id="118" w:name="_Toc279701242"/>
      <w:bookmarkStart w:id="119" w:name="_Toc9161"/>
      <w:bookmarkStart w:id="120" w:name="_Toc15220"/>
      <w:bookmarkStart w:id="121" w:name="_Toc31298"/>
      <w:r>
        <w:rPr>
          <w:rFonts w:hint="eastAsia" w:ascii="宋体" w:hAnsi="宋体" w:eastAsia="宋体" w:cs="宋体"/>
          <w:b/>
          <w:color w:val="auto"/>
          <w:sz w:val="20"/>
          <w:szCs w:val="20"/>
          <w:highlight w:val="none"/>
        </w:rPr>
        <w:t>2.3知识产权</w:t>
      </w:r>
      <w:bookmarkEnd w:id="111"/>
      <w:bookmarkEnd w:id="112"/>
      <w:bookmarkEnd w:id="113"/>
      <w:bookmarkEnd w:id="114"/>
      <w:bookmarkEnd w:id="115"/>
      <w:bookmarkEnd w:id="116"/>
      <w:bookmarkEnd w:id="117"/>
      <w:bookmarkEnd w:id="118"/>
      <w:bookmarkEnd w:id="119"/>
      <w:bookmarkEnd w:id="120"/>
      <w:bookmarkEnd w:id="121"/>
    </w:p>
    <w:p w14:paraId="6B141855">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6C2602A7">
      <w:pPr>
        <w:spacing w:line="360" w:lineRule="auto"/>
        <w:ind w:firstLine="402" w:firstLineChars="200"/>
        <w:outlineLvl w:val="9"/>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2.4履约检查和问题反馈</w:t>
      </w:r>
    </w:p>
    <w:p w14:paraId="00566FF1">
      <w:pPr>
        <w:spacing w:line="360" w:lineRule="auto"/>
        <w:ind w:firstLine="400" w:firstLineChars="200"/>
        <w:outlineLvl w:val="9"/>
        <w:rPr>
          <w:rFonts w:hint="eastAsia" w:ascii="宋体" w:hAnsi="宋体" w:eastAsia="宋体" w:cs="宋体"/>
          <w:color w:val="auto"/>
          <w:sz w:val="20"/>
          <w:szCs w:val="20"/>
          <w:highlight w:val="none"/>
        </w:rPr>
      </w:pPr>
      <w:bookmarkStart w:id="122" w:name="_Ref467379657"/>
      <w:r>
        <w:rPr>
          <w:rFonts w:hint="eastAsia" w:ascii="宋体" w:hAnsi="宋体" w:eastAsia="宋体" w:cs="宋体"/>
          <w:color w:val="auto"/>
          <w:sz w:val="20"/>
          <w:szCs w:val="20"/>
          <w:highlight w:val="none"/>
        </w:rPr>
        <w:t>2.4.1</w:t>
      </w:r>
      <w:bookmarkEnd w:id="122"/>
      <w:bookmarkStart w:id="123" w:name="_Toc186431854"/>
      <w:bookmarkStart w:id="124" w:name="_Ref467379793"/>
      <w:bookmarkStart w:id="125" w:name="_Toc259093676"/>
      <w:bookmarkStart w:id="126" w:name="_Toc279701247"/>
      <w:bookmarkStart w:id="127" w:name="_Toc487900357"/>
      <w:bookmarkStart w:id="128" w:name="_Ref467379807"/>
      <w:r>
        <w:rPr>
          <w:rFonts w:hint="eastAsia" w:ascii="宋体" w:hAnsi="宋体" w:eastAsia="宋体" w:cs="宋体"/>
          <w:color w:val="auto"/>
          <w:sz w:val="20"/>
          <w:szCs w:val="20"/>
          <w:highlight w:val="none"/>
        </w:rPr>
        <w:t>甲方有权在其认为必要时，对乙方是否能够按照合同约定提供服务进行履约检查，以确保乙方所提供的服务能够依约满足甲方之项目需求，但不得因履约检查妨碍乙方的正常工作，乙方应予积极配合；</w:t>
      </w:r>
    </w:p>
    <w:p w14:paraId="5CFF7D62">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eastAsia="宋体" w:cs="宋体"/>
          <w:color w:val="auto"/>
          <w:sz w:val="20"/>
          <w:szCs w:val="20"/>
          <w:highlight w:val="none"/>
        </w:rPr>
        <w:t>。</w:t>
      </w:r>
    </w:p>
    <w:bookmarkEnd w:id="129"/>
    <w:p w14:paraId="2FAF3CA2">
      <w:pPr>
        <w:spacing w:line="360" w:lineRule="auto"/>
        <w:ind w:firstLine="402" w:firstLineChars="200"/>
        <w:outlineLvl w:val="9"/>
        <w:rPr>
          <w:rFonts w:hint="eastAsia" w:ascii="宋体" w:hAnsi="宋体" w:eastAsia="宋体" w:cs="宋体"/>
          <w:b/>
          <w:color w:val="auto"/>
          <w:sz w:val="20"/>
          <w:szCs w:val="20"/>
          <w:highlight w:val="none"/>
        </w:rPr>
      </w:pPr>
      <w:bookmarkStart w:id="130" w:name="_Toc15447"/>
      <w:bookmarkStart w:id="131" w:name="_Toc31233"/>
      <w:bookmarkStart w:id="132" w:name="_Toc26555"/>
      <w:bookmarkStart w:id="133" w:name="_Toc7860"/>
      <w:bookmarkStart w:id="134" w:name="_Toc13247"/>
      <w:bookmarkStart w:id="135" w:name="_Toc32670"/>
      <w:bookmarkStart w:id="136" w:name="_Toc22011"/>
      <w:bookmarkStart w:id="137" w:name="_Toc7472"/>
      <w:r>
        <w:rPr>
          <w:rFonts w:hint="eastAsia" w:ascii="宋体" w:hAnsi="宋体" w:eastAsia="宋体" w:cs="宋体"/>
          <w:b/>
          <w:color w:val="auto"/>
          <w:sz w:val="20"/>
          <w:szCs w:val="20"/>
          <w:highlight w:val="none"/>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bookmarkStart w:id="138" w:name="_Ref467379863"/>
      <w:bookmarkStart w:id="139" w:name="_Toc259093677"/>
      <w:bookmarkStart w:id="140" w:name="_Toc487900358"/>
      <w:bookmarkStart w:id="141" w:name="_Ref467379923"/>
      <w:bookmarkStart w:id="142" w:name="_Toc279701248"/>
      <w:bookmarkStart w:id="143" w:name="_Ref467379852"/>
      <w:bookmarkStart w:id="144" w:name="_Toc18990"/>
      <w:bookmarkStart w:id="145" w:name="_Toc16163"/>
      <w:bookmarkStart w:id="146" w:name="_Toc13154"/>
      <w:bookmarkStart w:id="147" w:name="_Toc30507"/>
      <w:bookmarkStart w:id="148" w:name="_Toc24255"/>
      <w:bookmarkStart w:id="149" w:name="_Toc13467"/>
      <w:bookmarkStart w:id="150" w:name="_Toc3886"/>
      <w:bookmarkStart w:id="151" w:name="_Toc9974"/>
    </w:p>
    <w:p w14:paraId="199C2F6C">
      <w:pPr>
        <w:spacing w:line="360" w:lineRule="auto"/>
        <w:ind w:firstLine="400" w:firstLineChars="200"/>
        <w:outlineLvl w:val="9"/>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签订合同后，按季度支付，达到付款条件起30日内，支付合同总金额的 25.00%。</w:t>
      </w:r>
    </w:p>
    <w:p w14:paraId="69E59FC6">
      <w:pPr>
        <w:spacing w:line="360" w:lineRule="auto"/>
        <w:ind w:firstLine="400" w:firstLineChars="200"/>
        <w:outlineLvl w:val="9"/>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按季度支付，达到付款条件起30日内，支付合同总金额的 25.00%。</w:t>
      </w:r>
    </w:p>
    <w:p w14:paraId="4BEA8BEF">
      <w:pPr>
        <w:spacing w:line="360" w:lineRule="auto"/>
        <w:ind w:firstLine="400" w:firstLineChars="200"/>
        <w:outlineLvl w:val="9"/>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按季度支付，达到付款条件起30日内，支付合同总金额的 25.00%。</w:t>
      </w:r>
    </w:p>
    <w:p w14:paraId="32C8EBF2">
      <w:pPr>
        <w:spacing w:line="360" w:lineRule="auto"/>
        <w:ind w:firstLine="400" w:firstLineChars="200"/>
        <w:outlineLvl w:val="9"/>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按季度支付，达到付款条件起30日内，支付合同总金额的 25.00%。</w:t>
      </w:r>
    </w:p>
    <w:p w14:paraId="7F5C723E">
      <w:pPr>
        <w:spacing w:line="360" w:lineRule="auto"/>
        <w:ind w:firstLine="402" w:firstLineChars="200"/>
        <w:outlineLvl w:val="9"/>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2.6技术资料</w:t>
      </w:r>
      <w:bookmarkEnd w:id="138"/>
      <w:bookmarkEnd w:id="139"/>
      <w:bookmarkEnd w:id="140"/>
      <w:bookmarkEnd w:id="141"/>
      <w:bookmarkEnd w:id="142"/>
      <w:bookmarkEnd w:id="143"/>
      <w:r>
        <w:rPr>
          <w:rFonts w:hint="eastAsia" w:ascii="宋体" w:hAnsi="宋体" w:eastAsia="宋体" w:cs="宋体"/>
          <w:b/>
          <w:color w:val="auto"/>
          <w:sz w:val="20"/>
          <w:szCs w:val="20"/>
          <w:highlight w:val="none"/>
        </w:rPr>
        <w:t>和保密义务</w:t>
      </w:r>
      <w:bookmarkEnd w:id="144"/>
      <w:bookmarkEnd w:id="145"/>
      <w:bookmarkEnd w:id="146"/>
      <w:bookmarkEnd w:id="147"/>
      <w:bookmarkEnd w:id="148"/>
      <w:bookmarkEnd w:id="149"/>
      <w:bookmarkEnd w:id="150"/>
      <w:bookmarkEnd w:id="151"/>
    </w:p>
    <w:p w14:paraId="5DA37DC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2.6.1乙方有权依据合同约定和项目需要，向甲方了解有关情况，调阅有关资料等，甲方应予积极配合；</w:t>
      </w:r>
    </w:p>
    <w:p w14:paraId="72CD2770">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2.6.2乙方有义务妥善保管和保护由甲方提供的前款信息和资料等；</w:t>
      </w:r>
    </w:p>
    <w:p w14:paraId="781A317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4F55473">
      <w:pPr>
        <w:spacing w:line="360" w:lineRule="auto"/>
        <w:ind w:firstLine="402" w:firstLineChars="200"/>
        <w:outlineLvl w:val="9"/>
        <w:rPr>
          <w:rFonts w:hint="eastAsia" w:ascii="宋体" w:hAnsi="宋体" w:eastAsia="宋体" w:cs="宋体"/>
          <w:b/>
          <w:color w:val="auto"/>
          <w:sz w:val="20"/>
          <w:szCs w:val="20"/>
          <w:highlight w:val="none"/>
        </w:rPr>
      </w:pPr>
      <w:bookmarkStart w:id="152" w:name="_Toc30781"/>
      <w:bookmarkStart w:id="153" w:name="_Toc19069"/>
      <w:bookmarkStart w:id="154" w:name="_Toc31682"/>
      <w:bookmarkStart w:id="155" w:name="_Toc23788"/>
      <w:bookmarkStart w:id="156" w:name="_Toc259093681"/>
      <w:bookmarkStart w:id="157" w:name="_Toc487900362"/>
      <w:bookmarkStart w:id="158" w:name="_Toc279701252"/>
      <w:r>
        <w:rPr>
          <w:rFonts w:hint="eastAsia" w:ascii="宋体" w:hAnsi="宋体" w:eastAsia="宋体" w:cs="宋体"/>
          <w:b/>
          <w:color w:val="auto"/>
          <w:sz w:val="20"/>
          <w:szCs w:val="20"/>
          <w:highlight w:val="none"/>
        </w:rPr>
        <w:t>2.7质量保证</w:t>
      </w:r>
      <w:bookmarkEnd w:id="152"/>
      <w:bookmarkEnd w:id="153"/>
      <w:bookmarkEnd w:id="154"/>
      <w:bookmarkEnd w:id="155"/>
    </w:p>
    <w:p w14:paraId="7D1CF66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2.7.1乙方应建立和完善履行合同的内部质量保证体系，并提供相关内部规章制度给甲方，以便甲方进行监督检查；</w:t>
      </w:r>
    </w:p>
    <w:p w14:paraId="135C0D59">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2.7.2乙方应保证履行合同的人员数量和素质、软件和硬件设备的配置、场地、环境和设施等满足全面履行合同的要求，并应接受甲方的监督检查。</w:t>
      </w:r>
    </w:p>
    <w:p w14:paraId="310B0D01">
      <w:pPr>
        <w:spacing w:line="360" w:lineRule="auto"/>
        <w:ind w:firstLine="402" w:firstLineChars="200"/>
        <w:outlineLvl w:val="9"/>
        <w:rPr>
          <w:rFonts w:hint="eastAsia" w:ascii="宋体" w:hAnsi="宋体" w:eastAsia="宋体" w:cs="宋体"/>
          <w:b/>
          <w:color w:val="auto"/>
          <w:sz w:val="20"/>
          <w:szCs w:val="20"/>
          <w:highlight w:val="none"/>
        </w:rPr>
      </w:pPr>
      <w:bookmarkStart w:id="159" w:name="_Toc4333"/>
      <w:bookmarkStart w:id="160" w:name="_Toc22267"/>
      <w:bookmarkStart w:id="161" w:name="_Toc6644"/>
      <w:bookmarkStart w:id="162" w:name="_Toc13743"/>
      <w:r>
        <w:rPr>
          <w:rFonts w:hint="eastAsia" w:ascii="宋体" w:hAnsi="宋体" w:eastAsia="宋体" w:cs="宋体"/>
          <w:b/>
          <w:color w:val="auto"/>
          <w:sz w:val="20"/>
          <w:szCs w:val="20"/>
          <w:highlight w:val="none"/>
        </w:rPr>
        <w:t>2.8延迟</w:t>
      </w:r>
      <w:bookmarkEnd w:id="156"/>
      <w:bookmarkEnd w:id="157"/>
      <w:bookmarkEnd w:id="158"/>
      <w:r>
        <w:rPr>
          <w:rFonts w:hint="eastAsia" w:ascii="宋体" w:hAnsi="宋体" w:eastAsia="宋体" w:cs="宋体"/>
          <w:b/>
          <w:color w:val="auto"/>
          <w:sz w:val="20"/>
          <w:szCs w:val="20"/>
          <w:highlight w:val="none"/>
        </w:rPr>
        <w:t>履行</w:t>
      </w:r>
      <w:bookmarkEnd w:id="159"/>
      <w:bookmarkEnd w:id="160"/>
      <w:bookmarkEnd w:id="161"/>
      <w:bookmarkEnd w:id="162"/>
    </w:p>
    <w:p w14:paraId="6C5DF197">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5913F0D2">
      <w:pPr>
        <w:spacing w:line="360" w:lineRule="auto"/>
        <w:ind w:firstLine="402" w:firstLineChars="200"/>
        <w:outlineLvl w:val="9"/>
        <w:rPr>
          <w:rFonts w:hint="eastAsia" w:ascii="宋体" w:hAnsi="宋体" w:eastAsia="宋体" w:cs="宋体"/>
          <w:b/>
          <w:color w:val="auto"/>
          <w:sz w:val="20"/>
          <w:szCs w:val="20"/>
          <w:highlight w:val="none"/>
        </w:rPr>
      </w:pPr>
      <w:bookmarkStart w:id="163" w:name="_Toc10611"/>
      <w:bookmarkStart w:id="164" w:name="_Toc4141"/>
      <w:bookmarkStart w:id="165" w:name="_Toc9519"/>
      <w:bookmarkStart w:id="166" w:name="_Toc7134"/>
      <w:bookmarkStart w:id="167" w:name="_Ref467378121"/>
      <w:bookmarkStart w:id="168" w:name="_Toc487900364"/>
      <w:bookmarkStart w:id="169" w:name="_Toc279701254"/>
      <w:bookmarkStart w:id="170" w:name="_Toc259093683"/>
      <w:r>
        <w:rPr>
          <w:rFonts w:hint="eastAsia" w:ascii="宋体" w:hAnsi="宋体" w:eastAsia="宋体" w:cs="宋体"/>
          <w:b/>
          <w:color w:val="auto"/>
          <w:sz w:val="20"/>
          <w:szCs w:val="20"/>
          <w:highlight w:val="none"/>
        </w:rPr>
        <w:t>2.9合同变更</w:t>
      </w:r>
      <w:bookmarkEnd w:id="163"/>
      <w:bookmarkEnd w:id="164"/>
      <w:bookmarkEnd w:id="165"/>
      <w:bookmarkEnd w:id="166"/>
    </w:p>
    <w:p w14:paraId="293B2960">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2.9.1双方当事人协商一致，可以签订书面补充合同的形式变更合同，但不得违背采购文件确定的事项，且如果系追加与合同标的相同的服务的，那么所有补充合同的采购金额不得超过原合同价的10%；</w:t>
      </w:r>
    </w:p>
    <w:p w14:paraId="2479B912">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2.9.2合同继续履行将损害国家利益和社会公共利益的，双方当事人应当以书面形式变更合同。有过错的一方应当承担赔偿责任，双方当事人都有过错的，各自承担相应的责任。</w:t>
      </w:r>
      <w:bookmarkStart w:id="171" w:name="_Toc259093688"/>
      <w:bookmarkStart w:id="172" w:name="_Toc487900369"/>
      <w:bookmarkStart w:id="173" w:name="_Toc279701259"/>
    </w:p>
    <w:p w14:paraId="33CC6394">
      <w:pPr>
        <w:spacing w:line="360" w:lineRule="auto"/>
        <w:ind w:firstLine="402" w:firstLineChars="200"/>
        <w:outlineLvl w:val="9"/>
        <w:rPr>
          <w:rFonts w:hint="eastAsia" w:ascii="宋体" w:hAnsi="宋体" w:eastAsia="宋体" w:cs="宋体"/>
          <w:b/>
          <w:color w:val="auto"/>
          <w:sz w:val="20"/>
          <w:szCs w:val="20"/>
          <w:highlight w:val="none"/>
        </w:rPr>
      </w:pPr>
      <w:bookmarkStart w:id="174" w:name="_Toc458"/>
      <w:bookmarkStart w:id="175" w:name="_Toc23368"/>
      <w:bookmarkStart w:id="176" w:name="_Toc10663"/>
      <w:bookmarkStart w:id="177" w:name="_Toc42"/>
      <w:bookmarkStart w:id="178" w:name="_Toc21830"/>
      <w:bookmarkStart w:id="179" w:name="_Toc13465"/>
      <w:bookmarkStart w:id="180" w:name="_Toc27031"/>
      <w:bookmarkStart w:id="181" w:name="_Toc26689"/>
      <w:r>
        <w:rPr>
          <w:rFonts w:hint="eastAsia" w:ascii="宋体" w:hAnsi="宋体" w:eastAsia="宋体" w:cs="宋体"/>
          <w:b/>
          <w:color w:val="auto"/>
          <w:sz w:val="20"/>
          <w:szCs w:val="20"/>
          <w:highlight w:val="none"/>
        </w:rPr>
        <w:t>2.10合同转让</w:t>
      </w:r>
      <w:bookmarkEnd w:id="171"/>
      <w:bookmarkEnd w:id="172"/>
      <w:bookmarkEnd w:id="173"/>
      <w:r>
        <w:rPr>
          <w:rFonts w:hint="eastAsia" w:ascii="宋体" w:hAnsi="宋体" w:eastAsia="宋体" w:cs="宋体"/>
          <w:b/>
          <w:color w:val="auto"/>
          <w:sz w:val="20"/>
          <w:szCs w:val="20"/>
          <w:highlight w:val="none"/>
        </w:rPr>
        <w:t>和分包</w:t>
      </w:r>
      <w:bookmarkEnd w:id="174"/>
      <w:bookmarkEnd w:id="175"/>
      <w:bookmarkEnd w:id="176"/>
      <w:bookmarkEnd w:id="177"/>
      <w:bookmarkEnd w:id="178"/>
      <w:bookmarkEnd w:id="179"/>
      <w:bookmarkEnd w:id="180"/>
      <w:bookmarkEnd w:id="181"/>
    </w:p>
    <w:p w14:paraId="17F9D172">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6C070D4B">
      <w:pPr>
        <w:spacing w:line="360" w:lineRule="auto"/>
        <w:ind w:firstLine="402" w:firstLineChars="200"/>
        <w:outlineLvl w:val="9"/>
        <w:rPr>
          <w:rFonts w:hint="eastAsia" w:ascii="宋体" w:hAnsi="宋体" w:eastAsia="宋体" w:cs="宋体"/>
          <w:b/>
          <w:color w:val="auto"/>
          <w:sz w:val="20"/>
          <w:szCs w:val="20"/>
          <w:highlight w:val="none"/>
        </w:rPr>
      </w:pPr>
      <w:bookmarkStart w:id="182" w:name="_Toc32389"/>
      <w:bookmarkStart w:id="183" w:name="_Toc13058"/>
      <w:bookmarkStart w:id="184" w:name="_Toc26633"/>
      <w:bookmarkStart w:id="185" w:name="_Toc14371"/>
      <w:bookmarkStart w:id="186" w:name="_Toc25571"/>
      <w:bookmarkStart w:id="187" w:name="_Toc32494"/>
      <w:bookmarkStart w:id="188" w:name="_Toc24901"/>
      <w:bookmarkStart w:id="189" w:name="_Toc4720"/>
      <w:r>
        <w:rPr>
          <w:rFonts w:hint="eastAsia" w:ascii="宋体" w:hAnsi="宋体" w:eastAsia="宋体" w:cs="宋体"/>
          <w:b/>
          <w:color w:val="auto"/>
          <w:sz w:val="20"/>
          <w:szCs w:val="20"/>
          <w:highlight w:val="none"/>
        </w:rPr>
        <w:t>2.11不可抗力</w:t>
      </w:r>
      <w:bookmarkEnd w:id="182"/>
      <w:bookmarkEnd w:id="183"/>
      <w:bookmarkEnd w:id="184"/>
      <w:bookmarkEnd w:id="185"/>
      <w:bookmarkEnd w:id="186"/>
      <w:bookmarkEnd w:id="187"/>
      <w:bookmarkEnd w:id="188"/>
      <w:bookmarkEnd w:id="189"/>
    </w:p>
    <w:p w14:paraId="1B67B43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2.11.1如果任何一方遭遇法律规定的不可抗力，致使合同履行受阻时，履行合同的期限应予延长，延长的期限应相当于不可抗力所影响的时间；</w:t>
      </w:r>
    </w:p>
    <w:p w14:paraId="11E0C528">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2.11.2因不可抗力致使不能实现合同目的的，当事人可以解除合同；</w:t>
      </w:r>
    </w:p>
    <w:p w14:paraId="21106CFA">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2.11.3因不可抗力致使合同有变更必要的，双方当事人应在</w:t>
      </w:r>
      <w:r>
        <w:rPr>
          <w:rFonts w:hint="eastAsia" w:ascii="宋体" w:hAnsi="宋体" w:eastAsia="宋体" w:cs="宋体"/>
          <w:b/>
          <w:color w:val="auto"/>
          <w:sz w:val="20"/>
          <w:szCs w:val="20"/>
          <w:highlight w:val="none"/>
          <w:u w:val="single"/>
        </w:rPr>
        <w:t>10个工作日</w:t>
      </w:r>
      <w:r>
        <w:rPr>
          <w:rFonts w:hint="eastAsia" w:ascii="宋体" w:hAnsi="宋体" w:eastAsia="宋体" w:cs="宋体"/>
          <w:color w:val="auto"/>
          <w:sz w:val="20"/>
          <w:szCs w:val="20"/>
          <w:highlight w:val="none"/>
        </w:rPr>
        <w:t>内以书面形式变更合同；</w:t>
      </w:r>
    </w:p>
    <w:p w14:paraId="2E92086D">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2.11.4受不可抗力影响的一方在不可抗力发生后，应在</w:t>
      </w:r>
      <w:r>
        <w:rPr>
          <w:rFonts w:hint="eastAsia" w:ascii="宋体" w:hAnsi="宋体" w:eastAsia="宋体" w:cs="宋体"/>
          <w:b/>
          <w:color w:val="auto"/>
          <w:sz w:val="20"/>
          <w:szCs w:val="20"/>
          <w:highlight w:val="none"/>
          <w:u w:val="single"/>
        </w:rPr>
        <w:t>10个工作日</w:t>
      </w:r>
      <w:r>
        <w:rPr>
          <w:rFonts w:hint="eastAsia" w:ascii="宋体" w:hAnsi="宋体" w:eastAsia="宋体" w:cs="宋体"/>
          <w:color w:val="auto"/>
          <w:sz w:val="20"/>
          <w:szCs w:val="20"/>
          <w:highlight w:val="none"/>
        </w:rPr>
        <w:t>内以书面形式通知对方当事人，并在</w:t>
      </w:r>
      <w:r>
        <w:rPr>
          <w:rFonts w:hint="eastAsia" w:ascii="宋体" w:hAnsi="宋体" w:eastAsia="宋体" w:cs="宋体"/>
          <w:b/>
          <w:color w:val="auto"/>
          <w:sz w:val="20"/>
          <w:szCs w:val="20"/>
          <w:highlight w:val="none"/>
          <w:u w:val="single"/>
        </w:rPr>
        <w:t>10个工作日</w:t>
      </w:r>
      <w:r>
        <w:rPr>
          <w:rFonts w:hint="eastAsia" w:ascii="宋体" w:hAnsi="宋体" w:eastAsia="宋体" w:cs="宋体"/>
          <w:color w:val="auto"/>
          <w:sz w:val="20"/>
          <w:szCs w:val="20"/>
          <w:highlight w:val="none"/>
        </w:rPr>
        <w:t>内，将有关部门出具的证明文件送达对方当事人。</w:t>
      </w:r>
    </w:p>
    <w:p w14:paraId="11DE7E22">
      <w:pPr>
        <w:spacing w:line="360" w:lineRule="auto"/>
        <w:ind w:firstLine="402" w:firstLineChars="200"/>
        <w:outlineLvl w:val="9"/>
        <w:rPr>
          <w:rFonts w:hint="eastAsia" w:ascii="宋体" w:hAnsi="宋体" w:eastAsia="宋体" w:cs="宋体"/>
          <w:b/>
          <w:color w:val="auto"/>
          <w:sz w:val="20"/>
          <w:szCs w:val="20"/>
          <w:highlight w:val="none"/>
        </w:rPr>
      </w:pPr>
      <w:bookmarkStart w:id="190" w:name="_Toc24465"/>
      <w:bookmarkStart w:id="191" w:name="_Toc259093684"/>
      <w:bookmarkStart w:id="192" w:name="_Toc7143"/>
      <w:bookmarkStart w:id="193" w:name="_Toc25783"/>
      <w:bookmarkStart w:id="194" w:name="_Toc24226"/>
      <w:bookmarkStart w:id="195" w:name="_Toc279701255"/>
      <w:bookmarkStart w:id="196" w:name="_Toc7854"/>
      <w:bookmarkStart w:id="197" w:name="_Toc23854"/>
      <w:bookmarkStart w:id="198" w:name="_Toc3638"/>
      <w:bookmarkStart w:id="199" w:name="_Toc487900365"/>
      <w:bookmarkStart w:id="200" w:name="_Toc14115"/>
      <w:r>
        <w:rPr>
          <w:rFonts w:hint="eastAsia" w:ascii="宋体" w:hAnsi="宋体" w:eastAsia="宋体" w:cs="宋体"/>
          <w:b/>
          <w:color w:val="auto"/>
          <w:sz w:val="20"/>
          <w:szCs w:val="20"/>
          <w:highlight w:val="none"/>
        </w:rPr>
        <w:t>2.12税费</w:t>
      </w:r>
      <w:bookmarkEnd w:id="190"/>
      <w:bookmarkEnd w:id="191"/>
      <w:bookmarkEnd w:id="192"/>
      <w:bookmarkEnd w:id="193"/>
      <w:bookmarkEnd w:id="194"/>
      <w:bookmarkEnd w:id="195"/>
      <w:bookmarkEnd w:id="196"/>
      <w:bookmarkEnd w:id="197"/>
      <w:bookmarkEnd w:id="198"/>
      <w:bookmarkEnd w:id="199"/>
      <w:bookmarkEnd w:id="200"/>
    </w:p>
    <w:p w14:paraId="585B9606">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与合同有关的一切税费，均按照中华人民共和国法律的相关规定缴纳。</w:t>
      </w:r>
    </w:p>
    <w:p w14:paraId="405D2D8F">
      <w:pPr>
        <w:spacing w:line="360" w:lineRule="auto"/>
        <w:ind w:firstLine="402" w:firstLineChars="200"/>
        <w:outlineLvl w:val="9"/>
        <w:rPr>
          <w:rFonts w:hint="eastAsia" w:ascii="宋体" w:hAnsi="宋体" w:eastAsia="宋体" w:cs="宋体"/>
          <w:b/>
          <w:color w:val="auto"/>
          <w:sz w:val="20"/>
          <w:szCs w:val="20"/>
          <w:highlight w:val="none"/>
        </w:rPr>
      </w:pPr>
      <w:bookmarkStart w:id="201" w:name="_Toc279701258"/>
      <w:bookmarkStart w:id="202" w:name="_Toc259093687"/>
      <w:bookmarkStart w:id="203" w:name="_Toc26883"/>
      <w:bookmarkStart w:id="204" w:name="_Toc25525"/>
      <w:bookmarkStart w:id="205" w:name="_Toc14814"/>
      <w:bookmarkStart w:id="206" w:name="_Toc487900368"/>
      <w:bookmarkStart w:id="207" w:name="_Toc7315"/>
      <w:bookmarkStart w:id="208" w:name="_Toc24592"/>
      <w:bookmarkStart w:id="209" w:name="_Toc12334"/>
      <w:bookmarkStart w:id="210" w:name="_Toc30105"/>
      <w:bookmarkStart w:id="211" w:name="_Toc9444"/>
      <w:r>
        <w:rPr>
          <w:rFonts w:hint="eastAsia" w:ascii="宋体" w:hAnsi="宋体" w:eastAsia="宋体" w:cs="宋体"/>
          <w:b/>
          <w:color w:val="auto"/>
          <w:sz w:val="20"/>
          <w:szCs w:val="20"/>
          <w:highlight w:val="none"/>
        </w:rPr>
        <w:t>2.13乙方破产</w:t>
      </w:r>
      <w:bookmarkEnd w:id="201"/>
      <w:bookmarkEnd w:id="202"/>
      <w:bookmarkEnd w:id="203"/>
      <w:bookmarkEnd w:id="204"/>
      <w:bookmarkEnd w:id="205"/>
      <w:bookmarkEnd w:id="206"/>
      <w:bookmarkEnd w:id="207"/>
      <w:bookmarkEnd w:id="208"/>
      <w:bookmarkEnd w:id="209"/>
      <w:bookmarkEnd w:id="210"/>
      <w:bookmarkEnd w:id="211"/>
    </w:p>
    <w:p w14:paraId="3E88F530">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1C35ACDC">
      <w:pPr>
        <w:spacing w:line="360" w:lineRule="auto"/>
        <w:ind w:firstLine="402" w:firstLineChars="200"/>
        <w:outlineLvl w:val="9"/>
        <w:rPr>
          <w:rFonts w:hint="eastAsia" w:ascii="宋体" w:hAnsi="宋体" w:eastAsia="宋体" w:cs="宋体"/>
          <w:b/>
          <w:color w:val="auto"/>
          <w:sz w:val="20"/>
          <w:szCs w:val="20"/>
          <w:highlight w:val="none"/>
        </w:rPr>
      </w:pPr>
      <w:bookmarkStart w:id="212" w:name="_Toc2016"/>
      <w:bookmarkStart w:id="213" w:name="_Toc27457"/>
      <w:bookmarkStart w:id="214" w:name="_Toc1123"/>
      <w:bookmarkStart w:id="215" w:name="_Toc18535"/>
      <w:bookmarkStart w:id="216" w:name="_Toc31935"/>
      <w:bookmarkStart w:id="217" w:name="_Toc23323"/>
      <w:r>
        <w:rPr>
          <w:rFonts w:hint="eastAsia" w:ascii="宋体" w:hAnsi="宋体" w:eastAsia="宋体" w:cs="宋体"/>
          <w:b/>
          <w:color w:val="auto"/>
          <w:sz w:val="20"/>
          <w:szCs w:val="20"/>
          <w:highlight w:val="none"/>
        </w:rPr>
        <w:t>2.14合同中止、终止</w:t>
      </w:r>
      <w:bookmarkEnd w:id="212"/>
      <w:bookmarkEnd w:id="213"/>
      <w:bookmarkEnd w:id="214"/>
      <w:bookmarkEnd w:id="215"/>
      <w:bookmarkEnd w:id="216"/>
      <w:bookmarkEnd w:id="217"/>
    </w:p>
    <w:p w14:paraId="24437D6A">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2.14.1双方当事人不得擅自中止或者终止合同；</w:t>
      </w:r>
    </w:p>
    <w:p w14:paraId="220A7864">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2.14.2合同继续履行将损害国家利益和社会公共利益的，双方当事人应当中止或者终止合同。有过错的一方应当承担赔偿责任，双方当事人都有过错的，各自承担相应的责任。</w:t>
      </w:r>
    </w:p>
    <w:p w14:paraId="5232096E">
      <w:pPr>
        <w:spacing w:line="360" w:lineRule="auto"/>
        <w:ind w:firstLine="402" w:firstLineChars="200"/>
        <w:outlineLvl w:val="9"/>
        <w:rPr>
          <w:rFonts w:hint="eastAsia" w:ascii="宋体" w:hAnsi="宋体" w:eastAsia="宋体" w:cs="宋体"/>
          <w:b/>
          <w:color w:val="auto"/>
          <w:sz w:val="20"/>
          <w:szCs w:val="20"/>
          <w:highlight w:val="none"/>
        </w:rPr>
      </w:pPr>
      <w:bookmarkStart w:id="218" w:name="_Toc32237"/>
      <w:bookmarkStart w:id="219" w:name="_Toc17363"/>
      <w:bookmarkStart w:id="220" w:name="_Toc14525"/>
      <w:bookmarkStart w:id="221" w:name="_Toc9000"/>
      <w:bookmarkStart w:id="222" w:name="_Toc23234"/>
      <w:bookmarkStart w:id="223" w:name="_Toc1969"/>
      <w:r>
        <w:rPr>
          <w:rFonts w:hint="eastAsia" w:ascii="宋体" w:hAnsi="宋体" w:eastAsia="宋体" w:cs="宋体"/>
          <w:b/>
          <w:color w:val="auto"/>
          <w:sz w:val="20"/>
          <w:szCs w:val="20"/>
          <w:highlight w:val="none"/>
        </w:rPr>
        <w:t>2.15检验和验收</w:t>
      </w:r>
      <w:bookmarkEnd w:id="218"/>
      <w:bookmarkEnd w:id="219"/>
      <w:bookmarkEnd w:id="220"/>
      <w:bookmarkEnd w:id="221"/>
      <w:bookmarkEnd w:id="222"/>
      <w:bookmarkEnd w:id="223"/>
    </w:p>
    <w:p w14:paraId="128C30CE">
      <w:pPr>
        <w:tabs>
          <w:tab w:val="left" w:pos="360"/>
          <w:tab w:val="left" w:pos="540"/>
          <w:tab w:val="left" w:pos="1080"/>
        </w:tabs>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2.15.1乙方按照</w:t>
      </w:r>
      <w:r>
        <w:rPr>
          <w:rFonts w:hint="eastAsia" w:ascii="宋体" w:hAnsi="宋体" w:eastAsia="宋体" w:cs="宋体"/>
          <w:color w:val="auto"/>
          <w:sz w:val="20"/>
          <w:szCs w:val="20"/>
          <w:highlight w:val="none"/>
          <w:lang w:val="en-US" w:eastAsia="zh-CN"/>
        </w:rPr>
        <w:t>磋商</w:t>
      </w:r>
      <w:r>
        <w:rPr>
          <w:rFonts w:hint="eastAsia" w:ascii="宋体" w:hAnsi="宋体" w:eastAsia="宋体" w:cs="宋体"/>
          <w:color w:val="auto"/>
          <w:sz w:val="20"/>
          <w:szCs w:val="20"/>
          <w:highlight w:val="none"/>
        </w:rPr>
        <w:t>文件</w:t>
      </w:r>
      <w:r>
        <w:rPr>
          <w:rFonts w:hint="eastAsia" w:ascii="宋体" w:hAnsi="宋体" w:eastAsia="宋体" w:cs="宋体"/>
          <w:b/>
          <w:i/>
          <w:color w:val="auto"/>
          <w:sz w:val="20"/>
          <w:szCs w:val="20"/>
          <w:highlight w:val="none"/>
          <w:u w:val="single"/>
        </w:rPr>
        <w:t>用户需求书</w:t>
      </w:r>
      <w:r>
        <w:rPr>
          <w:rFonts w:hint="eastAsia" w:ascii="宋体" w:hAnsi="宋体" w:eastAsia="宋体" w:cs="宋体"/>
          <w:color w:val="auto"/>
          <w:sz w:val="20"/>
          <w:szCs w:val="20"/>
          <w:highlight w:val="none"/>
        </w:rPr>
        <w:t>的约定，定期提交服务报告，甲方按照</w:t>
      </w:r>
      <w:r>
        <w:rPr>
          <w:rFonts w:hint="eastAsia" w:ascii="宋体" w:hAnsi="宋体" w:eastAsia="宋体" w:cs="宋体"/>
          <w:color w:val="auto"/>
          <w:sz w:val="20"/>
          <w:szCs w:val="20"/>
          <w:highlight w:val="none"/>
          <w:lang w:val="en-US" w:eastAsia="zh-CN"/>
        </w:rPr>
        <w:t>磋商</w:t>
      </w:r>
      <w:r>
        <w:rPr>
          <w:rFonts w:hint="eastAsia" w:ascii="宋体" w:hAnsi="宋体" w:eastAsia="宋体" w:cs="宋体"/>
          <w:color w:val="auto"/>
          <w:sz w:val="20"/>
          <w:szCs w:val="20"/>
          <w:highlight w:val="none"/>
        </w:rPr>
        <w:t>文件</w:t>
      </w:r>
      <w:r>
        <w:rPr>
          <w:rFonts w:hint="eastAsia" w:ascii="宋体" w:hAnsi="宋体" w:eastAsia="宋体" w:cs="宋体"/>
          <w:b/>
          <w:i/>
          <w:color w:val="auto"/>
          <w:sz w:val="20"/>
          <w:szCs w:val="20"/>
          <w:highlight w:val="none"/>
          <w:u w:val="single"/>
        </w:rPr>
        <w:t>用户需求书</w:t>
      </w:r>
      <w:r>
        <w:rPr>
          <w:rFonts w:hint="eastAsia" w:ascii="宋体" w:hAnsi="宋体" w:eastAsia="宋体" w:cs="宋体"/>
          <w:color w:val="auto"/>
          <w:sz w:val="20"/>
          <w:szCs w:val="20"/>
          <w:highlight w:val="none"/>
        </w:rPr>
        <w:t>的约定进行定期验收；</w:t>
      </w:r>
    </w:p>
    <w:p w14:paraId="6DAA5140">
      <w:pPr>
        <w:tabs>
          <w:tab w:val="left" w:pos="360"/>
          <w:tab w:val="left" w:pos="540"/>
          <w:tab w:val="left" w:pos="1080"/>
        </w:tabs>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1EAC233A">
      <w:pPr>
        <w:tabs>
          <w:tab w:val="left" w:pos="360"/>
          <w:tab w:val="left" w:pos="540"/>
          <w:tab w:val="left" w:pos="1080"/>
        </w:tabs>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2.15.3检验和验收标准、程序等具体内容以及前述验收书的效力详见</w:t>
      </w:r>
      <w:r>
        <w:rPr>
          <w:rFonts w:hint="eastAsia" w:ascii="宋体" w:hAnsi="宋体" w:eastAsia="宋体" w:cs="宋体"/>
          <w:b/>
          <w:i/>
          <w:color w:val="auto"/>
          <w:sz w:val="20"/>
          <w:szCs w:val="20"/>
          <w:highlight w:val="none"/>
          <w:u w:val="single"/>
          <w:lang w:val="en-US" w:eastAsia="zh-CN"/>
        </w:rPr>
        <w:t>磋商</w:t>
      </w:r>
      <w:r>
        <w:rPr>
          <w:rFonts w:hint="eastAsia" w:ascii="宋体" w:hAnsi="宋体" w:eastAsia="宋体" w:cs="宋体"/>
          <w:b/>
          <w:i/>
          <w:color w:val="auto"/>
          <w:sz w:val="20"/>
          <w:szCs w:val="20"/>
          <w:highlight w:val="none"/>
          <w:u w:val="single"/>
        </w:rPr>
        <w:t>文件用户需求书</w:t>
      </w:r>
      <w:r>
        <w:rPr>
          <w:rFonts w:hint="eastAsia" w:ascii="宋体" w:hAnsi="宋体" w:eastAsia="宋体" w:cs="宋体"/>
          <w:i/>
          <w:color w:val="auto"/>
          <w:sz w:val="20"/>
          <w:szCs w:val="20"/>
          <w:highlight w:val="none"/>
        </w:rPr>
        <w:t>。</w:t>
      </w:r>
    </w:p>
    <w:bookmarkEnd w:id="167"/>
    <w:bookmarkEnd w:id="168"/>
    <w:bookmarkEnd w:id="169"/>
    <w:bookmarkEnd w:id="170"/>
    <w:p w14:paraId="00F43842">
      <w:pPr>
        <w:spacing w:line="360" w:lineRule="auto"/>
        <w:ind w:firstLine="402" w:firstLineChars="200"/>
        <w:outlineLvl w:val="9"/>
        <w:rPr>
          <w:rFonts w:hint="eastAsia" w:ascii="宋体" w:hAnsi="宋体" w:eastAsia="宋体" w:cs="宋体"/>
          <w:b/>
          <w:color w:val="auto"/>
          <w:sz w:val="20"/>
          <w:szCs w:val="20"/>
          <w:highlight w:val="none"/>
        </w:rPr>
      </w:pPr>
      <w:bookmarkStart w:id="224" w:name="_Toc487900371"/>
      <w:bookmarkStart w:id="225" w:name="_Toc279701261"/>
      <w:bookmarkStart w:id="226" w:name="_Toc259093690"/>
      <w:bookmarkStart w:id="227" w:name="_Toc31892"/>
      <w:bookmarkStart w:id="228" w:name="_Toc7598"/>
      <w:bookmarkStart w:id="229" w:name="_Toc20675"/>
      <w:bookmarkStart w:id="230" w:name="_Toc12666"/>
      <w:bookmarkStart w:id="231" w:name="_Toc13424"/>
      <w:bookmarkStart w:id="232" w:name="_Toc25198"/>
      <w:bookmarkStart w:id="233" w:name="_Toc2308"/>
      <w:bookmarkStart w:id="234" w:name="_Toc9808"/>
      <w:r>
        <w:rPr>
          <w:rFonts w:hint="eastAsia" w:ascii="宋体" w:hAnsi="宋体" w:eastAsia="宋体" w:cs="宋体"/>
          <w:b/>
          <w:color w:val="auto"/>
          <w:sz w:val="20"/>
          <w:szCs w:val="20"/>
          <w:highlight w:val="none"/>
        </w:rPr>
        <w:t>2.16通知</w:t>
      </w:r>
      <w:bookmarkEnd w:id="224"/>
      <w:bookmarkEnd w:id="225"/>
      <w:bookmarkEnd w:id="226"/>
      <w:r>
        <w:rPr>
          <w:rFonts w:hint="eastAsia" w:ascii="宋体" w:hAnsi="宋体" w:eastAsia="宋体" w:cs="宋体"/>
          <w:b/>
          <w:color w:val="auto"/>
          <w:sz w:val="20"/>
          <w:szCs w:val="20"/>
          <w:highlight w:val="none"/>
        </w:rPr>
        <w:t>和送达</w:t>
      </w:r>
      <w:bookmarkEnd w:id="227"/>
      <w:bookmarkEnd w:id="228"/>
      <w:bookmarkEnd w:id="229"/>
      <w:bookmarkEnd w:id="230"/>
      <w:bookmarkEnd w:id="231"/>
      <w:bookmarkEnd w:id="232"/>
      <w:bookmarkEnd w:id="233"/>
      <w:bookmarkEnd w:id="234"/>
    </w:p>
    <w:p w14:paraId="465F4AF9">
      <w:pPr>
        <w:spacing w:line="360" w:lineRule="auto"/>
        <w:ind w:firstLine="400" w:firstLineChars="200"/>
        <w:outlineLvl w:val="9"/>
        <w:rPr>
          <w:rFonts w:hint="eastAsia" w:ascii="宋体" w:hAnsi="宋体" w:eastAsia="宋体" w:cs="宋体"/>
          <w:color w:val="auto"/>
          <w:sz w:val="20"/>
          <w:szCs w:val="20"/>
          <w:highlight w:val="none"/>
        </w:rPr>
      </w:pPr>
      <w:bookmarkStart w:id="235" w:name="_Toc7073"/>
      <w:bookmarkStart w:id="236" w:name="_Toc29220"/>
      <w:bookmarkStart w:id="237" w:name="_Toc259093691"/>
      <w:bookmarkStart w:id="238" w:name="_Toc279701262"/>
      <w:bookmarkStart w:id="239" w:name="_Toc487900372"/>
      <w:r>
        <w:rPr>
          <w:rFonts w:hint="eastAsia" w:ascii="宋体" w:hAnsi="宋体" w:eastAsia="宋体" w:cs="宋体"/>
          <w:color w:val="auto"/>
          <w:sz w:val="20"/>
          <w:szCs w:val="20"/>
          <w:highlight w:val="none"/>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个工作日内书面通知对方当事人，在对方当事人收到有关变更通知之前，变更前的约定送达方式或者地址仍视为有效。</w:t>
      </w:r>
      <w:bookmarkEnd w:id="235"/>
      <w:bookmarkEnd w:id="236"/>
    </w:p>
    <w:p w14:paraId="4A3ED156">
      <w:pPr>
        <w:spacing w:line="360" w:lineRule="auto"/>
        <w:ind w:firstLine="400" w:firstLineChars="200"/>
        <w:outlineLvl w:val="9"/>
        <w:rPr>
          <w:rFonts w:hint="eastAsia" w:ascii="宋体" w:hAnsi="宋体" w:eastAsia="宋体" w:cs="宋体"/>
          <w:color w:val="auto"/>
          <w:sz w:val="20"/>
          <w:szCs w:val="20"/>
          <w:highlight w:val="none"/>
        </w:rPr>
      </w:pPr>
      <w:bookmarkStart w:id="240" w:name="_Toc18401"/>
      <w:bookmarkStart w:id="241" w:name="_Toc27674"/>
      <w:r>
        <w:rPr>
          <w:rFonts w:hint="eastAsia" w:ascii="宋体" w:hAnsi="宋体" w:eastAsia="宋体" w:cs="宋体"/>
          <w:color w:val="auto"/>
          <w:sz w:val="20"/>
          <w:szCs w:val="20"/>
          <w:highlight w:val="none"/>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09F70414">
      <w:pPr>
        <w:spacing w:line="360" w:lineRule="auto"/>
        <w:ind w:firstLine="402" w:firstLineChars="200"/>
        <w:outlineLvl w:val="9"/>
        <w:rPr>
          <w:rFonts w:hint="eastAsia" w:ascii="宋体" w:hAnsi="宋体" w:eastAsia="宋体" w:cs="宋体"/>
          <w:b/>
          <w:color w:val="auto"/>
          <w:sz w:val="20"/>
          <w:szCs w:val="20"/>
          <w:highlight w:val="none"/>
        </w:rPr>
      </w:pPr>
      <w:bookmarkStart w:id="242" w:name="_Toc15816"/>
      <w:bookmarkStart w:id="243" w:name="_Toc259093692"/>
      <w:bookmarkStart w:id="244" w:name="_Toc30955"/>
      <w:bookmarkStart w:id="245" w:name="_Toc487900373"/>
      <w:bookmarkStart w:id="246" w:name="_Toc25494"/>
      <w:bookmarkStart w:id="247" w:name="_Toc27644"/>
      <w:bookmarkStart w:id="248" w:name="_Toc279701263"/>
      <w:bookmarkStart w:id="249" w:name="_Toc28906"/>
      <w:bookmarkStart w:id="250" w:name="_Toc12254"/>
      <w:bookmarkStart w:id="251" w:name="_Toc20808"/>
      <w:bookmarkStart w:id="252" w:name="_Toc5063"/>
      <w:r>
        <w:rPr>
          <w:rFonts w:hint="eastAsia" w:ascii="宋体" w:hAnsi="宋体" w:eastAsia="宋体" w:cs="宋体"/>
          <w:b/>
          <w:color w:val="auto"/>
          <w:sz w:val="20"/>
          <w:szCs w:val="20"/>
          <w:highlight w:val="none"/>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2E70E8C1">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2.17.1合同使用汉语书就、变更和解释；</w:t>
      </w:r>
    </w:p>
    <w:p w14:paraId="273F87BB">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2.17.2合同适用中华人民共和国法律。</w:t>
      </w:r>
    </w:p>
    <w:p w14:paraId="73DC0C5E">
      <w:pPr>
        <w:spacing w:line="360" w:lineRule="auto"/>
        <w:ind w:firstLine="402" w:firstLineChars="200"/>
        <w:outlineLvl w:val="9"/>
        <w:rPr>
          <w:rFonts w:hint="eastAsia" w:ascii="宋体" w:hAnsi="宋体" w:eastAsia="宋体" w:cs="宋体"/>
          <w:b/>
          <w:color w:val="auto"/>
          <w:sz w:val="20"/>
          <w:szCs w:val="20"/>
          <w:highlight w:val="none"/>
        </w:rPr>
      </w:pPr>
      <w:bookmarkStart w:id="253" w:name="_Toc27403"/>
      <w:bookmarkStart w:id="254" w:name="_Toc24121"/>
      <w:bookmarkStart w:id="255" w:name="_Toc25512"/>
      <w:bookmarkStart w:id="256" w:name="_Toc259093693"/>
      <w:bookmarkStart w:id="257" w:name="_Toc1492"/>
      <w:bookmarkStart w:id="258" w:name="_Toc5699"/>
      <w:bookmarkStart w:id="259" w:name="_Toc27127"/>
      <w:bookmarkStart w:id="260" w:name="_Toc279701264"/>
      <w:bookmarkStart w:id="261" w:name="_Toc30096"/>
      <w:bookmarkStart w:id="262" w:name="_Toc22266"/>
      <w:bookmarkStart w:id="263" w:name="_Toc487900374"/>
      <w:r>
        <w:rPr>
          <w:rFonts w:hint="eastAsia" w:ascii="宋体" w:hAnsi="宋体" w:eastAsia="宋体" w:cs="宋体"/>
          <w:b/>
          <w:color w:val="auto"/>
          <w:sz w:val="20"/>
          <w:szCs w:val="20"/>
          <w:highlight w:val="none"/>
        </w:rPr>
        <w:t>2.18履约保证金</w:t>
      </w:r>
      <w:bookmarkEnd w:id="253"/>
      <w:bookmarkEnd w:id="254"/>
      <w:bookmarkEnd w:id="255"/>
      <w:bookmarkEnd w:id="256"/>
      <w:bookmarkEnd w:id="257"/>
      <w:bookmarkEnd w:id="258"/>
      <w:bookmarkEnd w:id="259"/>
      <w:bookmarkEnd w:id="260"/>
      <w:bookmarkEnd w:id="261"/>
      <w:bookmarkEnd w:id="262"/>
    </w:p>
    <w:p w14:paraId="16388973">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2.18.1本项目不提交履约保证金。</w:t>
      </w:r>
    </w:p>
    <w:bookmarkEnd w:id="263"/>
    <w:p w14:paraId="5E9EAED8">
      <w:pPr>
        <w:spacing w:line="360" w:lineRule="auto"/>
        <w:ind w:firstLine="402" w:firstLineChars="200"/>
        <w:outlineLvl w:val="9"/>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2.19合同份数</w:t>
      </w:r>
    </w:p>
    <w:p w14:paraId="3E9D25A9">
      <w:pPr>
        <w:spacing w:line="360" w:lineRule="auto"/>
        <w:ind w:firstLine="48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合同份数按</w:t>
      </w:r>
      <w:r>
        <w:rPr>
          <w:rFonts w:hint="eastAsia" w:ascii="宋体" w:hAnsi="宋体" w:eastAsia="宋体" w:cs="宋体"/>
          <w:b/>
          <w:bCs/>
          <w:color w:val="auto"/>
          <w:sz w:val="20"/>
          <w:szCs w:val="20"/>
          <w:highlight w:val="none"/>
        </w:rPr>
        <w:t>合同专用条款</w:t>
      </w:r>
      <w:r>
        <w:rPr>
          <w:rFonts w:hint="eastAsia" w:ascii="宋体" w:hAnsi="宋体" w:eastAsia="宋体" w:cs="宋体"/>
          <w:color w:val="auto"/>
          <w:sz w:val="20"/>
          <w:szCs w:val="20"/>
          <w:highlight w:val="none"/>
        </w:rPr>
        <w:t>规定，每份均具有同等法律效力。</w:t>
      </w:r>
    </w:p>
    <w:p w14:paraId="7F3A1857">
      <w:pPr>
        <w:pStyle w:val="5"/>
        <w:spacing w:line="360" w:lineRule="auto"/>
        <w:ind w:firstLine="0"/>
        <w:jc w:val="center"/>
        <w:outlineLvl w:val="9"/>
        <w:rPr>
          <w:rFonts w:hint="eastAsia" w:ascii="宋体" w:hAnsi="宋体" w:eastAsia="宋体" w:cs="宋体"/>
          <w:b/>
          <w:color w:val="auto"/>
          <w:sz w:val="20"/>
          <w:szCs w:val="20"/>
          <w:highlight w:val="none"/>
        </w:rPr>
      </w:pPr>
      <w:r>
        <w:rPr>
          <w:rFonts w:hint="eastAsia" w:ascii="宋体" w:hAnsi="宋体" w:eastAsia="宋体" w:cs="宋体"/>
          <w:color w:val="auto"/>
          <w:sz w:val="21"/>
          <w:szCs w:val="21"/>
          <w:highlight w:val="none"/>
        </w:rPr>
        <w:br w:type="page"/>
      </w:r>
      <w:bookmarkStart w:id="264" w:name="_Toc331685784"/>
      <w:r>
        <w:rPr>
          <w:rFonts w:hint="eastAsia" w:ascii="宋体" w:hAnsi="宋体" w:eastAsia="宋体" w:cs="宋体"/>
          <w:b/>
          <w:bCs/>
          <w:color w:val="auto"/>
          <w:kern w:val="2"/>
          <w:sz w:val="20"/>
          <w:szCs w:val="20"/>
          <w:highlight w:val="none"/>
        </w:rPr>
        <w:t>三、合同专用条款</w:t>
      </w:r>
      <w:bookmarkEnd w:id="264"/>
    </w:p>
    <w:p w14:paraId="1B5A3ED9">
      <w:pPr>
        <w:spacing w:line="360" w:lineRule="auto"/>
        <w:ind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2"/>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77C591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74773D4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条款号</w:t>
            </w:r>
          </w:p>
        </w:tc>
        <w:tc>
          <w:tcPr>
            <w:tcW w:w="7633" w:type="dxa"/>
            <w:vAlign w:val="center"/>
          </w:tcPr>
          <w:p w14:paraId="1B6A8DF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约定内容</w:t>
            </w:r>
          </w:p>
        </w:tc>
      </w:tr>
      <w:tr w14:paraId="4A2274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675B1D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11A22EC4">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4F43FE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D2994F4">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32AB589A">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56BA12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15744A59">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308252E0">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3B6A7F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854FEAA">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36F51A13">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09F0C1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B1249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6142B9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u w:val="single"/>
              </w:rPr>
            </w:pPr>
          </w:p>
        </w:tc>
      </w:tr>
      <w:tr w14:paraId="1C60D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5FD8007">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21A5C22E">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13E08D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F3E02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6647D914">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u w:val="single"/>
              </w:rPr>
            </w:pPr>
          </w:p>
        </w:tc>
      </w:tr>
      <w:tr w14:paraId="590F97E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7D080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48D288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0123DB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00654A9">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6077EF87">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547289E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17EC1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vAlign w:val="center"/>
          </w:tcPr>
          <w:p w14:paraId="02E20FC8">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07A593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35452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tcBorders>
              <w:top w:val="single" w:color="auto" w:sz="6" w:space="0"/>
              <w:left w:val="single" w:color="auto" w:sz="6" w:space="0"/>
              <w:bottom w:val="single" w:color="auto" w:sz="6" w:space="0"/>
              <w:right w:val="single" w:color="auto" w:sz="6" w:space="0"/>
            </w:tcBorders>
            <w:vAlign w:val="center"/>
          </w:tcPr>
          <w:p w14:paraId="58DEC714">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r w14:paraId="0711FC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5E8E8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c>
          <w:tcPr>
            <w:tcW w:w="7633" w:type="dxa"/>
            <w:tcBorders>
              <w:top w:val="single" w:color="auto" w:sz="6" w:space="0"/>
              <w:left w:val="single" w:color="auto" w:sz="6" w:space="0"/>
              <w:bottom w:val="single" w:color="auto" w:sz="6" w:space="0"/>
              <w:right w:val="single" w:color="auto" w:sz="6" w:space="0"/>
            </w:tcBorders>
            <w:vAlign w:val="center"/>
          </w:tcPr>
          <w:p w14:paraId="32A69C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0"/>
                <w:szCs w:val="20"/>
                <w:highlight w:val="none"/>
              </w:rPr>
            </w:pPr>
          </w:p>
        </w:tc>
      </w:tr>
    </w:tbl>
    <w:p w14:paraId="423524E4">
      <w:pPr>
        <w:spacing w:after="156" w:line="360" w:lineRule="auto"/>
        <w:ind w:firstLine="480"/>
        <w:rPr>
          <w:rFonts w:hint="eastAsia" w:ascii="宋体" w:hAnsi="宋体" w:eastAsia="宋体" w:cs="宋体"/>
          <w:sz w:val="20"/>
          <w:szCs w:val="22"/>
          <w:lang w:val="en-US" w:eastAsia="zh-Hans"/>
        </w:rPr>
      </w:pPr>
      <w:r>
        <w:rPr>
          <w:rFonts w:hint="eastAsia" w:ascii="宋体" w:hAnsi="宋体" w:eastAsia="宋体" w:cs="宋体"/>
          <w:color w:val="auto"/>
          <w:sz w:val="20"/>
          <w:szCs w:val="20"/>
          <w:highlight w:val="none"/>
        </w:rPr>
        <w:t>注：最终以</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供应商</w:t>
      </w:r>
      <w:r>
        <w:rPr>
          <w:rFonts w:hint="eastAsia" w:ascii="宋体" w:hAnsi="宋体" w:eastAsia="宋体" w:cs="宋体"/>
          <w:color w:val="auto"/>
          <w:sz w:val="20"/>
          <w:szCs w:val="20"/>
          <w:highlight w:val="none"/>
          <w:lang w:val="en-US" w:eastAsia="zh-CN"/>
        </w:rPr>
        <w:t>响应</w:t>
      </w:r>
      <w:r>
        <w:rPr>
          <w:rFonts w:hint="eastAsia" w:ascii="宋体" w:hAnsi="宋体" w:eastAsia="宋体" w:cs="宋体"/>
          <w:color w:val="auto"/>
          <w:sz w:val="20"/>
          <w:szCs w:val="20"/>
          <w:highlight w:val="none"/>
        </w:rPr>
        <w:t>文件响应条款为准修订。</w:t>
      </w:r>
    </w:p>
    <w:p w14:paraId="2AE5F796">
      <w:bookmarkStart w:id="265" w:name="_GoBack"/>
      <w:bookmarkEnd w:id="26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862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纯文本1"/>
    <w:basedOn w:val="1"/>
    <w:qFormat/>
    <w:uiPriority w:val="0"/>
    <w:rPr>
      <w:rFonts w:ascii="宋体" w:hAnsi="Courier New"/>
    </w:rPr>
  </w:style>
  <w:style w:type="paragraph" w:customStyle="1" w:styleId="5">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2025-07-18T04:44:07Z</dcterms:created>
  <dc:creator>17758</dc:creator>
  <cp:lastModifiedBy>着迷</cp:lastModifiedBy>
  <dcterms:modified xsi:type="dcterms:W3CDTF">2025-07-18T04:44:12Z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eyJoZGlkIjoiMzEwNTM5NzYwMDRjMzkwZTVkZjY2ODkwMGIxNGU0OTUiLCJ1c2VySWQiOiI0MzM4MTIyMDYifQ==</vt:lpwstr>
  </property>
  <property fmtid="{D5CDD505-2E9C-101B-9397-08002B2CF9AE}" pid="4" name="ICV">
    <vt:lpwstr>BE266BEAEB3D44B7B2C26068F3256867_12</vt:lpwstr>
  </property>
</Properties>
</file>