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版本号：HXTDJC20251494.1B120250731001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陕西省总工会2025年12351热线工作人员服务及法律专席人员服务(二次)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HXTDJC20251494.1B1</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陕西鸿信泰鼎建设项目管理有限公司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陕西鸿信泰鼎建设项目管理有限公司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陕西省总工会2025年12351热线工作人员服务及法律专席人员服务(二次)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HXTDJC20251494.1B1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陕西省总工会2025年12351热线工作人员服务及法律专席人员服务(二次)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陕西省总工会2025年12351热线工作人员服务及法律专席人员服务，主要目标是在2025年9月至2026年8月期间，保障热线良好稳定运营，热线接通率和满意率均达95%以上。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采购包1（陕西省总工会2025年12351热线工作人员服务及法律专席人员服务）：属于专门面向中小企业采购。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主要负责人）委托代理人参加磋商时，应提供法定代表人（主要负责人）委托授权书；法定代表人（主要负责人）亲自参加磋商时，应提供法定代表人（主要负责人）身份证明书。</w:t>
      </w:r>
    </w:p>
    <w:p>
      <w:pPr>
        <w:pStyle w:val="null3"/>
      </w:pPr>
      <w:r>
        <w:rPr>
          <w:rFonts w:ascii="仿宋_GB2312" w:hAnsi="仿宋_GB2312" w:cs="仿宋_GB2312" w:eastAsia="仿宋_GB2312"/>
        </w:rPr>
        <w:t>2、信用记录：供应商未被列入“信用中国”（www.creditchina.gov.cn）记录的“严重失信主体名单”和“重大税收违法失信主体”名单；未被列入“中国政府采购网”（www.ccgp.gov.cn）中的“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陕西鸿信泰鼎建设项目管理有限公司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西安市高新区沣惠南路18号唐沣国际广场D座13楼1301室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赵磊、方湖、韩燕子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029-89562775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代理服务费收费标准：中标(或成交)服务费以中标（成交）价为基数，参照《招标代理服务收费管理暂行办法》计价格[2002]1980号文和发改价格[2011]534号文件规定标准收取。由成交方向受托人支付。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陕西鸿信泰鼎建设项目管理有限公司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陕西鸿信泰鼎建设项目管理有限公司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陕西鸿信泰鼎建设项目管理有限公司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达到竞争性磋商文件及合同中约定的服务要求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联系人：张海悦</w:t>
      </w:r>
    </w:p>
    <w:p>
      <w:pPr>
        <w:pStyle w:val="null3"/>
      </w:pPr>
      <w:r>
        <w:rPr>
          <w:rFonts w:ascii="仿宋_GB2312" w:hAnsi="仿宋_GB2312" w:cs="仿宋_GB2312" w:eastAsia="仿宋_GB2312"/>
        </w:rPr>
        <w:t>联系电话：029-89562775</w:t>
      </w:r>
    </w:p>
    <w:p>
      <w:pPr>
        <w:pStyle w:val="null3"/>
      </w:pPr>
      <w:r>
        <w:rPr>
          <w:rFonts w:ascii="仿宋_GB2312" w:hAnsi="仿宋_GB2312" w:cs="仿宋_GB2312" w:eastAsia="仿宋_GB2312"/>
        </w:rPr>
        <w:t>地址：书面材料送至西安市高新区沣惠南路唐沣国际广场D座13层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陕西省总工会2025年12351热线工作人员服务及法律专席人员服务，主要目标是在2025年9月至2026年8月期间，保障热线良好稳定运营，热线接通率和满意率均达95%以上。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陕西省总工会2025年12351热线工作人员服务及法律专席人员服务项目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标的名称：陕西省总工会2025年12351热线工作人员服务及法律专席人员服务项目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采购内容：</w:t>
            </w:r>
          </w:p>
          <w:p>
            <w:pPr>
              <w:pStyle w:val="null3"/>
            </w:pPr>
            <w:r>
              <w:rPr>
                <w:rFonts w:ascii="仿宋_GB2312" w:hAnsi="仿宋_GB2312" w:cs="仿宋_GB2312" w:eastAsia="仿宋_GB2312"/>
              </w:rPr>
              <w:t>2025年9月至 2026年8月期间12351热线工作人员服务及律师专席人员服务；</w:t>
            </w:r>
          </w:p>
          <w:p>
            <w:pPr>
              <w:pStyle w:val="null3"/>
            </w:pPr>
            <w:r>
              <w:rPr>
                <w:rFonts w:ascii="仿宋_GB2312" w:hAnsi="仿宋_GB2312" w:cs="仿宋_GB2312" w:eastAsia="仿宋_GB2312"/>
              </w:rPr>
              <w:t>主要功能或目标：</w:t>
            </w:r>
          </w:p>
          <w:p>
            <w:pPr>
              <w:pStyle w:val="null3"/>
            </w:pPr>
            <w:r>
              <w:rPr>
                <w:rFonts w:ascii="仿宋_GB2312" w:hAnsi="仿宋_GB2312" w:cs="仿宋_GB2312" w:eastAsia="仿宋_GB2312"/>
              </w:rPr>
              <w:t>在2025年9月至2026年8月期间，保障热线良好稳定运营，热线接通率和满意率均达95%以上；</w:t>
            </w:r>
          </w:p>
          <w:p>
            <w:pPr>
              <w:pStyle w:val="null3"/>
            </w:pPr>
            <w:r>
              <w:rPr>
                <w:rFonts w:ascii="仿宋_GB2312" w:hAnsi="仿宋_GB2312" w:cs="仿宋_GB2312" w:eastAsia="仿宋_GB2312"/>
              </w:rPr>
              <w:t>需满足的要求：</w:t>
            </w:r>
          </w:p>
          <w:p>
            <w:pPr>
              <w:pStyle w:val="null3"/>
            </w:pPr>
            <w:r>
              <w:rPr>
                <w:rFonts w:ascii="仿宋_GB2312" w:hAnsi="仿宋_GB2312" w:cs="仿宋_GB2312" w:eastAsia="仿宋_GB2312"/>
              </w:rPr>
              <w:t xml:space="preserve">完成2025年9月至2026年8月期间8名工作人员的管理，包含招聘、培训等。完成2025年9月至2026年8月期间话务室律师专席相关工作，包含律师的管理、培训。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自合同签订之日起至所有服务内容完成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按照国家标准及磋商文件要求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违约责任依据《中华人民共和国民法典》、《中华人民共和国政府采购法》、《中华人民共和国政府采购法实施条例》等相关条款执行。 合同执行中发生争议的，当事人双方应协商解决。协商达不成一致时，可向甲方（采购人）所在地人民法院提起诉讼。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成交供应商在成交后需按照采购人要求提供一正一副纸质版磋商响应文件且应与电子版磋商响应文件保持一致。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应提供身份证）；2.财务状况证明：供应商提供2024年度经审计完整的财务审计报告（成立时间至提交投标文件截止时间不足一年的可提供成立后任意时段的资产负债表），或其开标前三个月内基本存款账户开户银行出具的资信证明，或信用担保机构出具的投标担保函；3.具有履行合同所必需的设备和专业技术能力的书面声明；4.税收缴纳证明：提供2025年1月以来至少一个月的纳税证明或完税证明（增值税、企业所得税至少提供一种），依法免税的单位应提供相关证明材料； 5.社会保障资金缴纳证明：提供2025年1月以来至少一个月的社会保障资金缴存单据或社保机构开具的社会保险参保缴费情况证明；依法不需要缴纳社会保障资金的供应商应提供相关文件证明；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供应商应提交的资格证明文件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供应商未被列入“信用中国”（www.creditchina.gov.cn）记录的“严重失信主体名单”和“重大税收违法失信主体”名单；未被列入“中国政府采购网”（www.ccgp.gov.cn）中的“政府采购严重违法失信行为记录名单”；</w:t>
            </w:r>
          </w:p>
        </w:tc>
        <w:tc>
          <w:tcPr>
            <w:tcW w:type="dxa" w:w="1661"/>
          </w:tcPr>
          <w:p>
            <w:pPr>
              <w:pStyle w:val="null3"/>
            </w:pPr>
            <w:r>
              <w:rPr>
                <w:rFonts w:ascii="仿宋_GB2312" w:hAnsi="仿宋_GB2312" w:cs="仿宋_GB2312" w:eastAsia="仿宋_GB2312"/>
              </w:rPr>
              <w:t>供应商应提交的资格证明文件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对本项目要求理解程度和针对本项目的工作思路和方向进行评审。根据理解准确性、全面性、透彻性进行综合赋分，对项目理解及工作思路准确、全面、透彻得（4-7］分,对项目理解及工作思路不全面、不透彻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项目管理架构</w:t>
            </w:r>
          </w:p>
        </w:tc>
        <w:tc>
          <w:tcPr>
            <w:tcW w:type="dxa" w:w="2492"/>
          </w:tcPr>
          <w:p>
            <w:pPr>
              <w:pStyle w:val="null3"/>
            </w:pPr>
            <w:r>
              <w:rPr>
                <w:rFonts w:ascii="仿宋_GB2312" w:hAnsi="仿宋_GB2312" w:cs="仿宋_GB2312" w:eastAsia="仿宋_GB2312"/>
              </w:rPr>
              <w:t>供应商是否有针对本项目的整体项目管理架构，应有规范、健全完善的项目管理制度，并有针对性。管理架构中责任分工应合理、清晰、明确，各岗位衔接紧密、无遗漏，能够切实保证本项目的服务要求，对采购文件所要求的各项服务标准做出的保证措施是否得力， 1.方案对比最全面的得（7-10］分； 2.方案对比较全面得（4-7］分； 3.方案对比一般的得（0-4］分。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支持与服务的组织机构</w:t>
            </w:r>
          </w:p>
        </w:tc>
        <w:tc>
          <w:tcPr>
            <w:tcW w:type="dxa" w:w="2492"/>
          </w:tcPr>
          <w:p>
            <w:pPr>
              <w:pStyle w:val="null3"/>
            </w:pPr>
            <w:r>
              <w:rPr>
                <w:rFonts w:ascii="仿宋_GB2312" w:hAnsi="仿宋_GB2312" w:cs="仿宋_GB2312" w:eastAsia="仿宋_GB2312"/>
              </w:rPr>
              <w:t>供应商的支持与服务的组织机构是否完善，包括但不限于人力资源储备、专业服务、客户服务、客户意见反馈和改进机制， 1.方案对比最全面的得（7-10］分； 2.方案对比较全面得（4-7］分； 3.方案对比一般的得（0-4］分。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用工期间突发性事件，应急事件，及密集工作时间的人员调配方案与能力， 1.方案对比最全面的得（6-8］分； 2.方案对比较全面得（4-6］分； 3.方案对比一般的得（0-4］分。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培训与绩效考评方案</w:t>
            </w:r>
          </w:p>
        </w:tc>
        <w:tc>
          <w:tcPr>
            <w:tcW w:type="dxa" w:w="2492"/>
          </w:tcPr>
          <w:p>
            <w:pPr>
              <w:pStyle w:val="null3"/>
            </w:pPr>
            <w:r>
              <w:rPr>
                <w:rFonts w:ascii="仿宋_GB2312" w:hAnsi="仿宋_GB2312" w:cs="仿宋_GB2312" w:eastAsia="仿宋_GB2312"/>
              </w:rPr>
              <w:t>供应商的人员上岗前培训方案与绩效考评方案， 1.方案对比最全面的得（6-8］分； 2.方案对比较全面得（4-6］分； 3.方案对比一般的得（2-4］分； 4.方案较差得2分以下。</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有详细的人员配置方案，针对本项目拟投入的工作人员配备的情况， 1.提供有专门的项目负责人，团队人员具备相应的实施经验，组织结构合理且人员分工明确、职责清晰、任务具体得（5-7］分； 2.有详细的人员配置方案，组织机构及工作安排基本完善、合理，岗位分工明确得（3-5］分； 3.有详细的人员配置方案，组织机构及工作安排合理性差，岗位分工不明确，得（0-3］分；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根据供应商提供的售后服务方案进行评审，内容包括 售后服务承诺及保障措施： 1.售后服务方案最详细、针对性强、合理性高的赋 （5-7］分； 2.售后服务方案较详细，针对性较强、合理性较高的赋（3-5］分； 3.售后服务方案详细程度一般，针对性、合理性一般的赋（0-3］分；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具有科学、合理、可行的保密措施，保证采购人的涉密信息不被泄漏，根据保密措施完整、合理，可操作性进行综合赋分[0-5］分。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针对本项目的重点、难点及可能出现的遗留问题提出整改意见及合理化建议，根据其建议详细全面性进行综合赋分[0-5］分。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针对本项目的热线接通率和满意率均达95%，供应商须提供承诺，满足采购人基本需求得3分；满足采购人基本需求，热线接通率和满意率均高1%加1分，最多加2分。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供应商提供（2022年1月1日至今）类似项目业绩，每提供1个得3分，最高得9分；业绩证明（以合同或中标通知书为准，须在文件中附合同的扫描件加盖单位公章。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供应商具备《劳务派遣经营许可证》、《人力资源服务许可证》，每提供一个得3份。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10分。3、磋商报价得分=（磋商基准价/最终磋商报价）×10。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