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9DB6E4">
      <w:pPr>
        <w:pStyle w:val="15"/>
        <w:jc w:val="center"/>
        <w:outlineLvl w:val="1"/>
        <w:rPr>
          <w:rFonts w:hint="eastAsia" w:eastAsiaTheme="minorEastAsia"/>
          <w:lang w:eastAsia="zh-CN"/>
        </w:rPr>
      </w:pPr>
      <w:r>
        <w:rPr>
          <w:b/>
          <w:sz w:val="36"/>
        </w:rPr>
        <w:t>拟签订合同文本</w:t>
      </w:r>
      <w:r>
        <w:rPr>
          <w:rFonts w:hint="eastAsia"/>
          <w:b/>
          <w:sz w:val="36"/>
          <w:lang w:eastAsia="zh-CN"/>
        </w:rPr>
        <w:t>（</w:t>
      </w:r>
      <w:r>
        <w:rPr>
          <w:rFonts w:hint="eastAsia"/>
          <w:b/>
          <w:sz w:val="36"/>
          <w:lang w:val="en-US" w:eastAsia="zh-CN"/>
        </w:rPr>
        <w:t>参考</w:t>
      </w:r>
      <w:bookmarkStart w:id="2" w:name="_GoBack"/>
      <w:bookmarkEnd w:id="2"/>
      <w:r>
        <w:rPr>
          <w:rFonts w:hint="eastAsia"/>
          <w:b/>
          <w:sz w:val="36"/>
          <w:lang w:eastAsia="zh-CN"/>
        </w:rPr>
        <w:t>）</w:t>
      </w:r>
    </w:p>
    <w:p w14:paraId="04898DC6">
      <w:pPr>
        <w:tabs>
          <w:tab w:val="left" w:pos="9030"/>
        </w:tabs>
        <w:snapToGrid w:val="0"/>
        <w:spacing w:line="360" w:lineRule="auto"/>
        <w:ind w:left="0" w:right="-65"/>
        <w:jc w:val="center"/>
        <w:outlineLvl w:val="0"/>
        <w:rPr>
          <w:rFonts w:ascii="黑体" w:hAnsi="Times New Roman" w:eastAsia="黑体" w:cs="Times New Roman"/>
          <w:bCs/>
          <w:sz w:val="32"/>
          <w:szCs w:val="32"/>
        </w:rPr>
      </w:pPr>
      <w:r>
        <w:rPr>
          <w:rFonts w:hint="eastAsia" w:ascii="黑体" w:hAnsi="Times New Roman" w:eastAsia="黑体" w:cs="Times New Roman"/>
          <w:bCs/>
          <w:sz w:val="32"/>
          <w:szCs w:val="32"/>
        </w:rPr>
        <w:t>陕西交通职业技术学院</w:t>
      </w:r>
      <w:r>
        <w:rPr>
          <w:rFonts w:hint="eastAsia" w:ascii="黑体" w:eastAsia="黑体" w:cs="Times New Roman"/>
          <w:bCs/>
          <w:sz w:val="32"/>
          <w:szCs w:val="32"/>
          <w:lang w:val="en-US" w:eastAsia="zh-CN"/>
        </w:rPr>
        <w:t>2025年</w:t>
      </w:r>
      <w:r>
        <w:rPr>
          <w:rFonts w:hint="eastAsia" w:ascii="黑体" w:hAnsi="Times New Roman" w:eastAsia="黑体" w:cs="Times New Roman"/>
          <w:bCs/>
          <w:sz w:val="32"/>
          <w:szCs w:val="32"/>
        </w:rPr>
        <w:t>图书馆纸质图书采购项目</w:t>
      </w:r>
    </w:p>
    <w:p w14:paraId="0372A39C">
      <w:pPr>
        <w:widowControl w:val="0"/>
        <w:spacing w:line="360" w:lineRule="auto"/>
        <w:ind w:firstLine="0" w:firstLineChars="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签订地点：                                        </w:t>
      </w:r>
    </w:p>
    <w:p w14:paraId="703698B4">
      <w:pPr>
        <w:widowControl w:val="0"/>
        <w:spacing w:line="360" w:lineRule="auto"/>
        <w:ind w:firstLine="0" w:firstLineChars="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签订时间：        年    月    日                                        </w:t>
      </w:r>
    </w:p>
    <w:p w14:paraId="0BAA822B">
      <w:pPr>
        <w:widowControl w:val="0"/>
        <w:spacing w:line="360" w:lineRule="auto"/>
        <w:ind w:firstLine="0" w:firstLineChars="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招标人（甲方）：</w:t>
      </w:r>
      <w:r>
        <w:rPr>
          <w:rFonts w:hint="eastAsia" w:ascii="宋体" w:hAnsi="宋体" w:eastAsia="宋体" w:cs="宋体"/>
          <w:kern w:val="2"/>
          <w:sz w:val="24"/>
          <w:szCs w:val="24"/>
          <w:u w:val="single"/>
          <w:lang w:val="en-US" w:eastAsia="zh-CN" w:bidi="ar-SA"/>
        </w:rPr>
        <w:t>陕西交通职业技术学院</w:t>
      </w:r>
    </w:p>
    <w:p w14:paraId="3E61E2EE">
      <w:pPr>
        <w:widowControl w:val="0"/>
        <w:spacing w:line="360" w:lineRule="auto"/>
        <w:ind w:firstLine="0" w:firstLineChars="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投标人（乙方）：</w:t>
      </w:r>
    </w:p>
    <w:p w14:paraId="675F5DA1">
      <w:pPr>
        <w:widowControl w:val="0"/>
        <w:spacing w:line="360" w:lineRule="auto"/>
        <w:ind w:firstLine="480" w:firstLineChars="20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根据《中华人民共和国政府采购法》《中华人民共和国民法典》及陕西国创招标有限公司</w:t>
      </w:r>
      <w:r>
        <w:rPr>
          <w:rFonts w:hint="eastAsia" w:ascii="宋体" w:hAnsi="宋体" w:eastAsia="宋体" w:cs="宋体"/>
          <w:kern w:val="2"/>
          <w:sz w:val="24"/>
          <w:szCs w:val="24"/>
          <w:u w:val="single"/>
          <w:lang w:val="en-US" w:eastAsia="zh-CN" w:bidi="ar-SA"/>
        </w:rPr>
        <w:t>项目</w:t>
      </w:r>
      <w:r>
        <w:rPr>
          <w:rFonts w:hint="eastAsia" w:ascii="宋体" w:hAnsi="宋体" w:cs="宋体"/>
          <w:kern w:val="2"/>
          <w:sz w:val="24"/>
          <w:szCs w:val="24"/>
          <w:u w:val="single"/>
          <w:lang w:val="en-US" w:eastAsia="zh-CN" w:bidi="ar-SA"/>
        </w:rPr>
        <w:t>名称</w:t>
      </w:r>
      <w:r>
        <w:rPr>
          <w:rFonts w:hint="eastAsia" w:ascii="宋体" w:hAnsi="宋体" w:eastAsia="宋体" w:cs="宋体"/>
          <w:kern w:val="2"/>
          <w:sz w:val="24"/>
          <w:szCs w:val="24"/>
          <w:lang w:val="en-US" w:eastAsia="zh-CN" w:bidi="ar-SA"/>
        </w:rPr>
        <w:t>（项目编号：）的《招标文件》、乙方的《响应文件》及《中标通知书》，甲、乙双方同意签订本合同。详细技术说明及其他有关合同项目的特定信息由合同附件予以说明，合同附件及本项目的招标文件、响应文件、《中标通知书》等均为本合同不可分割的部分。双方同意共同遵守如下条款：</w:t>
      </w:r>
    </w:p>
    <w:p w14:paraId="47B980D3">
      <w:pPr>
        <w:kinsoku w:val="0"/>
        <w:spacing w:line="360" w:lineRule="auto"/>
        <w:ind w:left="0"/>
        <w:rPr>
          <w:rFonts w:ascii="宋体" w:hAnsi="宋体" w:cs="宋体"/>
          <w:sz w:val="24"/>
          <w:szCs w:val="24"/>
        </w:rPr>
      </w:pPr>
      <w:r>
        <w:rPr>
          <w:rFonts w:hint="eastAsia" w:ascii="宋体" w:hAnsi="宋体" w:cs="宋体"/>
          <w:sz w:val="24"/>
          <w:szCs w:val="24"/>
        </w:rPr>
        <w:t>一、</w:t>
      </w:r>
      <w:r>
        <w:rPr>
          <w:rFonts w:hint="eastAsia" w:ascii="宋体" w:hAnsi="宋体" w:cs="宋体"/>
          <w:b/>
          <w:sz w:val="24"/>
          <w:szCs w:val="24"/>
        </w:rPr>
        <w:t>合同内容</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3027"/>
        <w:gridCol w:w="3332"/>
        <w:gridCol w:w="1658"/>
      </w:tblGrid>
      <w:tr w14:paraId="5AC89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0" w:type="dxa"/>
            <w:noWrap/>
            <w:vAlign w:val="center"/>
          </w:tcPr>
          <w:p w14:paraId="63C1D863">
            <w:pPr>
              <w:spacing w:line="360" w:lineRule="auto"/>
              <w:ind w:left="0"/>
              <w:jc w:val="center"/>
              <w:rPr>
                <w:rFonts w:ascii="宋体" w:hAnsi="宋体" w:cs="宋体"/>
                <w:b/>
                <w:sz w:val="24"/>
                <w:szCs w:val="24"/>
              </w:rPr>
            </w:pPr>
            <w:r>
              <w:rPr>
                <w:rFonts w:hint="eastAsia" w:ascii="宋体" w:hAnsi="宋体" w:cs="宋体"/>
                <w:b/>
                <w:sz w:val="24"/>
                <w:szCs w:val="24"/>
              </w:rPr>
              <w:t>编号</w:t>
            </w:r>
          </w:p>
        </w:tc>
        <w:tc>
          <w:tcPr>
            <w:tcW w:w="3027" w:type="dxa"/>
            <w:noWrap/>
            <w:vAlign w:val="center"/>
          </w:tcPr>
          <w:p w14:paraId="67F5C43E">
            <w:pPr>
              <w:spacing w:line="360" w:lineRule="auto"/>
              <w:ind w:left="0"/>
              <w:jc w:val="center"/>
              <w:rPr>
                <w:rFonts w:ascii="宋体" w:hAnsi="宋体" w:cs="宋体"/>
                <w:b/>
                <w:sz w:val="24"/>
                <w:szCs w:val="24"/>
              </w:rPr>
            </w:pPr>
            <w:r>
              <w:rPr>
                <w:rFonts w:hint="eastAsia" w:ascii="宋体" w:hAnsi="宋体" w:cs="宋体"/>
                <w:b/>
                <w:sz w:val="24"/>
                <w:szCs w:val="24"/>
              </w:rPr>
              <w:t>名称</w:t>
            </w:r>
          </w:p>
        </w:tc>
        <w:tc>
          <w:tcPr>
            <w:tcW w:w="3332" w:type="dxa"/>
            <w:noWrap/>
            <w:vAlign w:val="center"/>
          </w:tcPr>
          <w:p w14:paraId="44530DE4">
            <w:pPr>
              <w:spacing w:line="360" w:lineRule="auto"/>
              <w:ind w:left="0"/>
              <w:jc w:val="center"/>
              <w:rPr>
                <w:rFonts w:ascii="宋体" w:hAnsi="宋体" w:cs="宋体"/>
                <w:b/>
                <w:sz w:val="24"/>
                <w:szCs w:val="24"/>
              </w:rPr>
            </w:pPr>
            <w:r>
              <w:rPr>
                <w:rFonts w:hint="eastAsia" w:ascii="宋体" w:hAnsi="宋体" w:cs="宋体"/>
                <w:b/>
                <w:sz w:val="24"/>
                <w:szCs w:val="24"/>
              </w:rPr>
              <w:t>数量</w:t>
            </w:r>
          </w:p>
        </w:tc>
        <w:tc>
          <w:tcPr>
            <w:tcW w:w="1658" w:type="dxa"/>
            <w:noWrap/>
            <w:vAlign w:val="center"/>
          </w:tcPr>
          <w:p w14:paraId="1A48D69F">
            <w:pPr>
              <w:spacing w:line="360" w:lineRule="auto"/>
              <w:ind w:left="0"/>
              <w:jc w:val="center"/>
              <w:rPr>
                <w:rFonts w:ascii="宋体" w:hAnsi="宋体" w:cs="宋体"/>
                <w:b/>
                <w:sz w:val="24"/>
                <w:szCs w:val="24"/>
              </w:rPr>
            </w:pPr>
            <w:r>
              <w:rPr>
                <w:rFonts w:hint="eastAsia" w:ascii="宋体" w:hAnsi="宋体" w:cs="宋体"/>
                <w:b/>
                <w:sz w:val="24"/>
                <w:szCs w:val="24"/>
              </w:rPr>
              <w:t>备注</w:t>
            </w:r>
          </w:p>
        </w:tc>
      </w:tr>
      <w:tr w14:paraId="29902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0" w:type="dxa"/>
            <w:noWrap/>
            <w:vAlign w:val="center"/>
          </w:tcPr>
          <w:p w14:paraId="7F357303">
            <w:pPr>
              <w:adjustRightInd w:val="0"/>
              <w:snapToGrid w:val="0"/>
              <w:spacing w:line="360" w:lineRule="auto"/>
              <w:ind w:left="0"/>
              <w:jc w:val="center"/>
              <w:rPr>
                <w:rFonts w:ascii="宋体" w:hAnsi="宋体" w:cs="宋体"/>
                <w:sz w:val="24"/>
                <w:szCs w:val="24"/>
              </w:rPr>
            </w:pPr>
            <w:r>
              <w:rPr>
                <w:rFonts w:hint="eastAsia" w:ascii="宋体" w:hAnsi="宋体" w:cs="宋体"/>
                <w:sz w:val="24"/>
                <w:szCs w:val="24"/>
              </w:rPr>
              <w:t>1</w:t>
            </w:r>
          </w:p>
        </w:tc>
        <w:tc>
          <w:tcPr>
            <w:tcW w:w="3027" w:type="dxa"/>
            <w:noWrap/>
            <w:vAlign w:val="center"/>
          </w:tcPr>
          <w:p w14:paraId="3538AB81">
            <w:pPr>
              <w:adjustRightInd w:val="0"/>
              <w:snapToGrid w:val="0"/>
              <w:spacing w:line="360" w:lineRule="auto"/>
              <w:ind w:left="0"/>
              <w:jc w:val="center"/>
              <w:rPr>
                <w:rFonts w:ascii="宋体" w:hAnsi="宋体" w:cs="宋体"/>
                <w:sz w:val="24"/>
                <w:szCs w:val="24"/>
              </w:rPr>
            </w:pPr>
            <w:r>
              <w:rPr>
                <w:rFonts w:hint="eastAsia" w:ascii="宋体" w:hAnsi="宋体" w:cs="宋体"/>
                <w:sz w:val="24"/>
                <w:szCs w:val="24"/>
              </w:rPr>
              <w:t>新书</w:t>
            </w:r>
          </w:p>
        </w:tc>
        <w:tc>
          <w:tcPr>
            <w:tcW w:w="3332" w:type="dxa"/>
            <w:noWrap/>
            <w:vAlign w:val="center"/>
          </w:tcPr>
          <w:p w14:paraId="5AA36865">
            <w:pPr>
              <w:adjustRightInd w:val="0"/>
              <w:snapToGrid w:val="0"/>
              <w:spacing w:line="360" w:lineRule="auto"/>
              <w:ind w:left="0"/>
              <w:jc w:val="center"/>
              <w:rPr>
                <w:rFonts w:ascii="宋体" w:hAnsi="宋体" w:cs="宋体"/>
                <w:sz w:val="24"/>
                <w:szCs w:val="24"/>
              </w:rPr>
            </w:pPr>
            <w:r>
              <w:rPr>
                <w:rFonts w:hint="eastAsia" w:ascii="宋体" w:hAnsi="宋体" w:cs="宋体"/>
                <w:sz w:val="24"/>
                <w:szCs w:val="24"/>
              </w:rPr>
              <w:t>以甲方实际选定为准</w:t>
            </w:r>
          </w:p>
        </w:tc>
        <w:tc>
          <w:tcPr>
            <w:tcW w:w="1658" w:type="dxa"/>
            <w:vMerge w:val="restart"/>
            <w:noWrap/>
            <w:vAlign w:val="center"/>
          </w:tcPr>
          <w:p w14:paraId="5E92EA36">
            <w:pPr>
              <w:autoSpaceDN w:val="0"/>
              <w:spacing w:line="360" w:lineRule="auto"/>
              <w:ind w:left="0"/>
              <w:jc w:val="center"/>
              <w:textAlignment w:val="center"/>
              <w:rPr>
                <w:rFonts w:ascii="宋体" w:hAnsi="宋体" w:cs="宋体"/>
                <w:sz w:val="24"/>
                <w:szCs w:val="24"/>
              </w:rPr>
            </w:pPr>
          </w:p>
        </w:tc>
      </w:tr>
      <w:tr w14:paraId="02DA8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0" w:type="dxa"/>
            <w:noWrap/>
            <w:vAlign w:val="center"/>
          </w:tcPr>
          <w:p w14:paraId="234B1C0E">
            <w:pPr>
              <w:adjustRightInd w:val="0"/>
              <w:snapToGrid w:val="0"/>
              <w:spacing w:line="360" w:lineRule="auto"/>
              <w:ind w:left="0"/>
              <w:jc w:val="center"/>
              <w:rPr>
                <w:rFonts w:ascii="宋体" w:hAnsi="宋体" w:cs="宋体"/>
                <w:sz w:val="24"/>
                <w:szCs w:val="24"/>
              </w:rPr>
            </w:pPr>
            <w:r>
              <w:rPr>
                <w:rFonts w:hint="eastAsia" w:ascii="宋体" w:hAnsi="宋体" w:cs="宋体"/>
                <w:sz w:val="24"/>
                <w:szCs w:val="24"/>
              </w:rPr>
              <w:t>2</w:t>
            </w:r>
          </w:p>
        </w:tc>
        <w:tc>
          <w:tcPr>
            <w:tcW w:w="3027" w:type="dxa"/>
            <w:noWrap/>
            <w:vAlign w:val="center"/>
          </w:tcPr>
          <w:p w14:paraId="668CBF03">
            <w:pPr>
              <w:adjustRightInd w:val="0"/>
              <w:snapToGrid w:val="0"/>
              <w:spacing w:line="360" w:lineRule="auto"/>
              <w:ind w:left="0"/>
              <w:jc w:val="center"/>
              <w:rPr>
                <w:rFonts w:ascii="宋体" w:hAnsi="宋体" w:cs="宋体"/>
                <w:sz w:val="24"/>
                <w:szCs w:val="24"/>
              </w:rPr>
            </w:pPr>
            <w:r>
              <w:rPr>
                <w:rFonts w:hint="eastAsia" w:ascii="宋体" w:hAnsi="宋体" w:cs="宋体"/>
                <w:sz w:val="24"/>
                <w:szCs w:val="24"/>
              </w:rPr>
              <w:t>次新书（特价书）</w:t>
            </w:r>
          </w:p>
        </w:tc>
        <w:tc>
          <w:tcPr>
            <w:tcW w:w="3332" w:type="dxa"/>
            <w:noWrap/>
            <w:vAlign w:val="center"/>
          </w:tcPr>
          <w:p w14:paraId="121C9F53">
            <w:pPr>
              <w:adjustRightInd w:val="0"/>
              <w:snapToGrid w:val="0"/>
              <w:spacing w:line="360" w:lineRule="auto"/>
              <w:ind w:left="0"/>
              <w:jc w:val="center"/>
              <w:rPr>
                <w:rFonts w:ascii="宋体" w:hAnsi="宋体" w:cs="宋体"/>
                <w:sz w:val="24"/>
                <w:szCs w:val="24"/>
              </w:rPr>
            </w:pPr>
            <w:r>
              <w:rPr>
                <w:rFonts w:hint="eastAsia" w:ascii="宋体" w:hAnsi="宋体" w:cs="宋体"/>
                <w:sz w:val="24"/>
                <w:szCs w:val="24"/>
              </w:rPr>
              <w:t>以甲方实际选定为准</w:t>
            </w:r>
          </w:p>
        </w:tc>
        <w:tc>
          <w:tcPr>
            <w:tcW w:w="1658" w:type="dxa"/>
            <w:vMerge w:val="continue"/>
            <w:noWrap/>
            <w:vAlign w:val="center"/>
          </w:tcPr>
          <w:p w14:paraId="7F1170AB">
            <w:pPr>
              <w:autoSpaceDN w:val="0"/>
              <w:spacing w:line="360" w:lineRule="auto"/>
              <w:ind w:left="0"/>
              <w:jc w:val="center"/>
              <w:textAlignment w:val="center"/>
              <w:rPr>
                <w:rFonts w:ascii="宋体" w:hAnsi="宋体" w:cs="宋体"/>
                <w:sz w:val="24"/>
                <w:szCs w:val="24"/>
              </w:rPr>
            </w:pPr>
          </w:p>
        </w:tc>
      </w:tr>
      <w:tr w14:paraId="16417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7" w:type="dxa"/>
            <w:gridSpan w:val="2"/>
            <w:noWrap/>
            <w:vAlign w:val="center"/>
          </w:tcPr>
          <w:p w14:paraId="40E2D4F3">
            <w:pPr>
              <w:adjustRightInd w:val="0"/>
              <w:snapToGrid w:val="0"/>
              <w:spacing w:line="360" w:lineRule="auto"/>
              <w:ind w:left="0"/>
              <w:jc w:val="center"/>
              <w:rPr>
                <w:rFonts w:ascii="宋体" w:hAnsi="宋体" w:cs="宋体"/>
                <w:b/>
                <w:sz w:val="24"/>
                <w:szCs w:val="24"/>
              </w:rPr>
            </w:pPr>
            <w:r>
              <w:rPr>
                <w:rFonts w:hint="eastAsia" w:ascii="宋体" w:hAnsi="宋体" w:cs="宋体"/>
                <w:b/>
                <w:sz w:val="24"/>
                <w:szCs w:val="24"/>
              </w:rPr>
              <w:t>折扣（%）</w:t>
            </w:r>
          </w:p>
        </w:tc>
        <w:tc>
          <w:tcPr>
            <w:tcW w:w="4990" w:type="dxa"/>
            <w:gridSpan w:val="2"/>
            <w:noWrap/>
            <w:vAlign w:val="center"/>
          </w:tcPr>
          <w:p w14:paraId="4C93539F">
            <w:pPr>
              <w:adjustRightInd w:val="0"/>
              <w:snapToGrid w:val="0"/>
              <w:spacing w:line="360" w:lineRule="auto"/>
              <w:ind w:left="0"/>
              <w:rPr>
                <w:rFonts w:ascii="宋体" w:hAnsi="宋体" w:cs="宋体"/>
                <w:b/>
                <w:sz w:val="24"/>
                <w:szCs w:val="24"/>
              </w:rPr>
            </w:pPr>
            <w:r>
              <w:rPr>
                <w:rFonts w:hint="eastAsia" w:ascii="宋体" w:hAnsi="宋体" w:cs="宋体"/>
                <w:b/>
                <w:sz w:val="24"/>
                <w:szCs w:val="24"/>
              </w:rPr>
              <w:t>新书：</w:t>
            </w:r>
          </w:p>
          <w:p w14:paraId="1C5B3575">
            <w:pPr>
              <w:adjustRightInd w:val="0"/>
              <w:snapToGrid w:val="0"/>
              <w:spacing w:line="360" w:lineRule="auto"/>
              <w:ind w:left="0"/>
              <w:rPr>
                <w:rFonts w:hint="eastAsia" w:ascii="宋体" w:hAnsi="宋体" w:eastAsia="宋体" w:cs="宋体"/>
                <w:b/>
                <w:sz w:val="24"/>
                <w:szCs w:val="24"/>
                <w:lang w:eastAsia="zh-CN"/>
              </w:rPr>
            </w:pPr>
            <w:r>
              <w:rPr>
                <w:rFonts w:hint="eastAsia" w:ascii="宋体" w:hAnsi="宋体" w:cs="宋体"/>
                <w:b/>
                <w:sz w:val="24"/>
                <w:szCs w:val="24"/>
              </w:rPr>
              <w:t>次新书（特价书）</w:t>
            </w:r>
            <w:r>
              <w:rPr>
                <w:rFonts w:hint="eastAsia" w:ascii="宋体" w:hAnsi="宋体" w:cs="宋体"/>
                <w:b/>
                <w:sz w:val="24"/>
                <w:szCs w:val="24"/>
                <w:lang w:eastAsia="zh-CN"/>
              </w:rPr>
              <w:t>：</w:t>
            </w:r>
          </w:p>
        </w:tc>
      </w:tr>
    </w:tbl>
    <w:p w14:paraId="0F814CE4">
      <w:pPr>
        <w:spacing w:line="360" w:lineRule="auto"/>
        <w:ind w:left="0" w:firstLine="480" w:firstLineChars="200"/>
        <w:rPr>
          <w:rFonts w:ascii="宋体" w:hAnsi="宋体" w:cs="宋体"/>
          <w:sz w:val="24"/>
          <w:szCs w:val="24"/>
        </w:rPr>
      </w:pPr>
      <w:r>
        <w:rPr>
          <w:rFonts w:hint="eastAsia" w:ascii="宋体" w:hAnsi="宋体" w:cs="宋体"/>
          <w:sz w:val="24"/>
          <w:szCs w:val="24"/>
        </w:rPr>
        <w:t>乙方负责按以上确定的纸质图书规格及配套内容进行供货，及时运到甲方指定交货地点，确保所有纸质图书达到最佳状态，负责对甲方操作、维护人员进行培训，指导操作、使用和保养，做好售后服务工作。</w:t>
      </w:r>
    </w:p>
    <w:p w14:paraId="378A9592">
      <w:pPr>
        <w:spacing w:line="360" w:lineRule="auto"/>
        <w:ind w:left="0"/>
        <w:rPr>
          <w:rFonts w:ascii="宋体" w:hAnsi="宋体" w:cs="宋体"/>
          <w:b/>
          <w:sz w:val="24"/>
          <w:szCs w:val="24"/>
        </w:rPr>
      </w:pPr>
      <w:r>
        <w:rPr>
          <w:rFonts w:hint="eastAsia" w:ascii="宋体" w:hAnsi="宋体" w:cs="宋体"/>
          <w:b/>
          <w:sz w:val="24"/>
          <w:szCs w:val="24"/>
        </w:rPr>
        <w:t>二、合同价格</w:t>
      </w:r>
    </w:p>
    <w:p w14:paraId="21BB7CBD">
      <w:pPr>
        <w:tabs>
          <w:tab w:val="left" w:pos="9030"/>
        </w:tabs>
        <w:snapToGrid w:val="0"/>
        <w:spacing w:line="360" w:lineRule="auto"/>
        <w:ind w:left="0" w:right="-65" w:firstLine="480" w:firstLineChars="200"/>
        <w:rPr>
          <w:rFonts w:ascii="宋体" w:hAnsi="宋体" w:cs="宋体"/>
          <w:sz w:val="24"/>
          <w:szCs w:val="24"/>
        </w:rPr>
      </w:pPr>
      <w:r>
        <w:rPr>
          <w:rFonts w:hint="eastAsia" w:ascii="宋体" w:hAnsi="宋体" w:cs="宋体"/>
          <w:sz w:val="24"/>
          <w:szCs w:val="24"/>
        </w:rPr>
        <w:t>折扣：新书折扣为</w:t>
      </w:r>
      <w:r>
        <w:rPr>
          <w:rFonts w:hint="eastAsia" w:ascii="宋体" w:hAnsi="宋体" w:cs="宋体"/>
          <w:sz w:val="24"/>
          <w:szCs w:val="24"/>
          <w:u w:val="single"/>
        </w:rPr>
        <w:t xml:space="preserve">    </w:t>
      </w:r>
      <w:r>
        <w:rPr>
          <w:rFonts w:hint="eastAsia" w:ascii="宋体" w:hAnsi="宋体" w:cs="宋体"/>
          <w:sz w:val="24"/>
          <w:szCs w:val="24"/>
        </w:rPr>
        <w:t>，次新书（特价书）折扣为</w:t>
      </w:r>
      <w:r>
        <w:rPr>
          <w:rFonts w:hint="eastAsia" w:ascii="宋体" w:hAnsi="宋体" w:cs="宋体"/>
          <w:sz w:val="24"/>
          <w:szCs w:val="24"/>
          <w:u w:val="single"/>
        </w:rPr>
        <w:t xml:space="preserve">    </w:t>
      </w:r>
      <w:r>
        <w:rPr>
          <w:rFonts w:hint="eastAsia" w:ascii="宋体" w:hAnsi="宋体" w:cs="宋体"/>
          <w:sz w:val="24"/>
          <w:szCs w:val="24"/>
        </w:rPr>
        <w:t>；新书指近三年出版社公开发行出版的书籍，次新书（特价书）指近五年出版社公开发行出版的书籍。</w:t>
      </w:r>
    </w:p>
    <w:p w14:paraId="7435D9FD">
      <w:pPr>
        <w:kinsoku w:val="0"/>
        <w:spacing w:line="360" w:lineRule="auto"/>
        <w:ind w:left="0" w:firstLine="480" w:firstLineChars="200"/>
        <w:rPr>
          <w:rFonts w:ascii="宋体" w:hAnsi="宋体" w:cs="宋体"/>
          <w:sz w:val="24"/>
          <w:szCs w:val="24"/>
        </w:rPr>
      </w:pPr>
      <w:r>
        <w:rPr>
          <w:rFonts w:hint="eastAsia" w:ascii="宋体" w:hAnsi="宋体" w:cs="宋体"/>
          <w:sz w:val="24"/>
          <w:szCs w:val="24"/>
        </w:rPr>
        <w:t>合同总价包括：是包干价，包括运费、税费、招标代理服务费、售后服务费等一切费用，还应包括免费全加工服务（图书加工中涉及到的充消磁条等材料由乙方免费提供）。本合同履行期间，合同总价不随市场价格波动、政策调整等因素予以调增。</w:t>
      </w:r>
    </w:p>
    <w:p w14:paraId="56D3E398">
      <w:pPr>
        <w:spacing w:line="360" w:lineRule="auto"/>
        <w:ind w:left="0"/>
        <w:rPr>
          <w:rFonts w:ascii="宋体" w:hAnsi="宋体" w:cs="宋体"/>
          <w:b/>
          <w:sz w:val="24"/>
          <w:szCs w:val="24"/>
        </w:rPr>
      </w:pPr>
      <w:r>
        <w:rPr>
          <w:rFonts w:hint="eastAsia" w:ascii="宋体" w:hAnsi="宋体" w:cs="宋体"/>
          <w:b/>
          <w:sz w:val="24"/>
          <w:szCs w:val="24"/>
        </w:rPr>
        <w:t>三、款项支付</w:t>
      </w:r>
    </w:p>
    <w:p w14:paraId="45A90236">
      <w:pPr>
        <w:spacing w:line="360" w:lineRule="auto"/>
        <w:ind w:left="0" w:firstLine="480" w:firstLineChars="200"/>
        <w:rPr>
          <w:rFonts w:hint="eastAsia" w:ascii="宋体" w:hAnsi="宋体" w:cs="宋体"/>
          <w:sz w:val="24"/>
          <w:szCs w:val="24"/>
        </w:rPr>
      </w:pPr>
      <w:r>
        <w:rPr>
          <w:rFonts w:hint="eastAsia" w:ascii="宋体" w:hAnsi="宋体" w:cs="宋体"/>
          <w:sz w:val="24"/>
          <w:szCs w:val="24"/>
        </w:rPr>
        <w:t>1、支付时间：乙方根据验收金额开具发票，甲方在收到发票后3个月内全额向乙方支付。乙方对其提供的本合同项下账户信息的真实性、准确性负责，因乙方提供的账户信息错误而导致的任何损失，由乙方自行承担。乙方逾期未提供合法等额发票的，甲方有权迟延履行付款义务，且不构成违约。甲方按照合同约定将款项支付至乙方账户内即视为甲方已履行完毕本合同项下全部付款义务。</w:t>
      </w:r>
    </w:p>
    <w:p w14:paraId="3E97AA6A">
      <w:pPr>
        <w:adjustRightInd w:val="0"/>
        <w:snapToGrid w:val="0"/>
        <w:spacing w:line="360" w:lineRule="auto"/>
        <w:ind w:left="0" w:firstLine="480" w:firstLineChars="200"/>
        <w:rPr>
          <w:rFonts w:ascii="宋体" w:hAnsi="宋体" w:cs="宋体"/>
          <w:sz w:val="24"/>
          <w:szCs w:val="24"/>
        </w:rPr>
      </w:pPr>
      <w:r>
        <w:rPr>
          <w:rFonts w:hint="eastAsia" w:ascii="宋体" w:hAnsi="宋体" w:cs="宋体"/>
          <w:sz w:val="24"/>
          <w:szCs w:val="24"/>
        </w:rPr>
        <w:t>2、支付方式：银行转账</w:t>
      </w:r>
      <w:r>
        <w:rPr>
          <w:rFonts w:hint="eastAsia" w:ascii="宋体" w:hAnsi="宋体" w:cs="宋体"/>
          <w:sz w:val="24"/>
          <w:szCs w:val="24"/>
          <w:lang w:eastAsia="zh-CN"/>
        </w:rPr>
        <w:t>；</w:t>
      </w:r>
      <w:r>
        <w:rPr>
          <w:rFonts w:hint="eastAsia" w:ascii="宋体" w:hAnsi="宋体" w:cs="宋体"/>
          <w:sz w:val="24"/>
          <w:szCs w:val="24"/>
        </w:rPr>
        <w:t xml:space="preserve">  </w:t>
      </w:r>
    </w:p>
    <w:p w14:paraId="703BB599">
      <w:pPr>
        <w:tabs>
          <w:tab w:val="left" w:pos="480"/>
        </w:tabs>
        <w:spacing w:line="360" w:lineRule="auto"/>
        <w:ind w:left="0" w:firstLine="480" w:firstLineChars="200"/>
        <w:rPr>
          <w:rFonts w:hint="eastAsia" w:ascii="宋体" w:hAnsi="宋体" w:cs="宋体"/>
          <w:sz w:val="24"/>
          <w:szCs w:val="24"/>
        </w:rPr>
      </w:pPr>
      <w:r>
        <w:rPr>
          <w:rFonts w:hint="eastAsia" w:ascii="宋体" w:hAnsi="宋体" w:cs="宋体"/>
          <w:sz w:val="24"/>
          <w:szCs w:val="24"/>
        </w:rPr>
        <w:t>3、结算方式： 乙方按合同约定交付所选购的图书后向甲方提供图书结算收款单，甲方核实无误后，30日内通知乙方开具实洋金额国家正式发票并附所购图书清单；甲方在收到发票后3个月内全额向乙方支付，约合同总价款的100% ，达到付款条件起 90 日内，支付合同总金额的 100.00%。</w:t>
      </w:r>
    </w:p>
    <w:p w14:paraId="16142E2A">
      <w:pPr>
        <w:spacing w:line="360" w:lineRule="auto"/>
        <w:ind w:left="0"/>
        <w:rPr>
          <w:rFonts w:ascii="宋体" w:hAnsi="宋体" w:cs="宋体"/>
          <w:b/>
          <w:sz w:val="24"/>
          <w:szCs w:val="24"/>
        </w:rPr>
      </w:pPr>
      <w:r>
        <w:rPr>
          <w:rFonts w:hint="eastAsia" w:ascii="宋体" w:hAnsi="宋体" w:cs="宋体"/>
          <w:b/>
          <w:sz w:val="24"/>
          <w:szCs w:val="24"/>
        </w:rPr>
        <w:t>四、交货条件</w:t>
      </w:r>
    </w:p>
    <w:p w14:paraId="3698C240">
      <w:pPr>
        <w:kinsoku w:val="0"/>
        <w:spacing w:line="360" w:lineRule="auto"/>
        <w:ind w:left="0" w:firstLine="480" w:firstLineChars="200"/>
        <w:rPr>
          <w:rFonts w:ascii="宋体" w:hAnsi="宋体" w:cs="宋体"/>
          <w:sz w:val="24"/>
          <w:szCs w:val="24"/>
        </w:rPr>
      </w:pPr>
      <w:r>
        <w:rPr>
          <w:rFonts w:hint="eastAsia" w:ascii="宋体" w:hAnsi="宋体" w:cs="宋体"/>
          <w:sz w:val="24"/>
          <w:szCs w:val="24"/>
        </w:rPr>
        <w:t>1、交货地点：陕西交通职业技术学院指定地点。</w:t>
      </w:r>
    </w:p>
    <w:p w14:paraId="449A9DB7">
      <w:pPr>
        <w:kinsoku w:val="0"/>
        <w:spacing w:line="360" w:lineRule="auto"/>
        <w:ind w:left="0" w:firstLine="480" w:firstLineChars="200"/>
        <w:rPr>
          <w:rFonts w:ascii="宋体" w:hAnsi="宋体" w:cs="宋体"/>
          <w:sz w:val="24"/>
          <w:szCs w:val="24"/>
        </w:rPr>
      </w:pPr>
      <w:r>
        <w:rPr>
          <w:rFonts w:hint="eastAsia" w:ascii="宋体" w:hAnsi="宋体" w:cs="宋体"/>
          <w:sz w:val="24"/>
          <w:szCs w:val="24"/>
        </w:rPr>
        <w:t>2、交付期限：合同签订后</w:t>
      </w:r>
      <w:r>
        <w:rPr>
          <w:rFonts w:hint="eastAsia" w:ascii="宋体" w:hAnsi="宋体" w:cs="宋体"/>
          <w:sz w:val="24"/>
          <w:szCs w:val="24"/>
          <w:lang w:val="en-US" w:eastAsia="zh-CN"/>
        </w:rPr>
        <w:t>30</w:t>
      </w:r>
      <w:r>
        <w:rPr>
          <w:rFonts w:hint="eastAsia" w:ascii="宋体" w:hAnsi="宋体" w:cs="宋体"/>
          <w:sz w:val="24"/>
          <w:szCs w:val="24"/>
        </w:rPr>
        <w:t>个日历日内，按要求完成供货加工</w:t>
      </w:r>
    </w:p>
    <w:p w14:paraId="6C3D1808">
      <w:pPr>
        <w:spacing w:line="360" w:lineRule="auto"/>
        <w:ind w:left="0"/>
        <w:rPr>
          <w:rFonts w:ascii="宋体" w:hAnsi="宋体" w:cs="宋体"/>
          <w:b/>
          <w:sz w:val="24"/>
          <w:szCs w:val="24"/>
        </w:rPr>
      </w:pPr>
      <w:r>
        <w:rPr>
          <w:rFonts w:hint="eastAsia" w:ascii="宋体" w:hAnsi="宋体" w:cs="宋体"/>
          <w:b/>
          <w:sz w:val="24"/>
          <w:szCs w:val="24"/>
        </w:rPr>
        <w:t>五、运输方式：</w:t>
      </w:r>
    </w:p>
    <w:p w14:paraId="3921FDF7">
      <w:pPr>
        <w:spacing w:line="360" w:lineRule="auto"/>
        <w:ind w:left="0" w:firstLine="480" w:firstLineChars="200"/>
        <w:rPr>
          <w:rFonts w:ascii="宋体" w:hAnsi="宋体" w:cs="宋体"/>
          <w:b/>
          <w:sz w:val="24"/>
          <w:szCs w:val="24"/>
        </w:rPr>
      </w:pPr>
      <w:r>
        <w:rPr>
          <w:rFonts w:hint="eastAsia" w:ascii="宋体" w:hAnsi="宋体" w:cs="宋体"/>
          <w:sz w:val="24"/>
          <w:szCs w:val="24"/>
        </w:rPr>
        <w:t>选择运输风险小、运费低、距离短的运输路线。运杂费一次包死在总价内，包括现场所需的装卸、运输（含保险费）、现场保管费等费用。货物交付甲方验收完成前的毁损、灭失风险由乙方承担。</w:t>
      </w:r>
    </w:p>
    <w:p w14:paraId="3E78D96D">
      <w:pPr>
        <w:adjustRightInd w:val="0"/>
        <w:snapToGrid w:val="0"/>
        <w:spacing w:line="360" w:lineRule="auto"/>
        <w:ind w:left="0"/>
        <w:rPr>
          <w:rFonts w:ascii="宋体" w:hAnsi="宋体" w:cs="宋体"/>
          <w:b/>
          <w:sz w:val="24"/>
          <w:szCs w:val="24"/>
        </w:rPr>
      </w:pPr>
      <w:r>
        <w:rPr>
          <w:rFonts w:hint="eastAsia" w:ascii="宋体" w:hAnsi="宋体" w:cs="宋体"/>
          <w:b/>
          <w:sz w:val="24"/>
          <w:szCs w:val="24"/>
        </w:rPr>
        <w:t>六、质量保证</w:t>
      </w:r>
    </w:p>
    <w:p w14:paraId="1F3DD3D5">
      <w:pPr>
        <w:spacing w:line="360" w:lineRule="auto"/>
        <w:ind w:left="0" w:firstLine="480" w:firstLineChars="200"/>
        <w:rPr>
          <w:rFonts w:ascii="宋体" w:hAnsi="宋体" w:cs="宋体"/>
          <w:sz w:val="24"/>
          <w:szCs w:val="24"/>
        </w:rPr>
      </w:pPr>
      <w:r>
        <w:rPr>
          <w:rFonts w:hint="eastAsia" w:ascii="宋体" w:hAnsi="宋体" w:cs="宋体"/>
          <w:sz w:val="24"/>
          <w:szCs w:val="24"/>
        </w:rPr>
        <w:t>1、所有图书质量必须符合国家有关规范和相关政策。所有图书必须是由国家正式出版社公开出版的正版图书，质量优良、货源渠道正规合法。</w:t>
      </w:r>
    </w:p>
    <w:p w14:paraId="0BBF2817">
      <w:pPr>
        <w:spacing w:line="360" w:lineRule="auto"/>
        <w:ind w:left="0" w:firstLine="480" w:firstLineChars="200"/>
        <w:rPr>
          <w:rFonts w:ascii="宋体" w:hAnsi="宋体" w:cs="宋体"/>
          <w:sz w:val="24"/>
          <w:szCs w:val="24"/>
        </w:rPr>
      </w:pPr>
      <w:r>
        <w:rPr>
          <w:rFonts w:hint="eastAsia" w:ascii="宋体" w:hAnsi="宋体" w:cs="宋体"/>
          <w:sz w:val="24"/>
          <w:szCs w:val="24"/>
        </w:rPr>
        <w:t>2、服务期内出现的质量问题由乙方负责解决并承担所有费用。</w:t>
      </w:r>
    </w:p>
    <w:p w14:paraId="72BCD104">
      <w:pPr>
        <w:spacing w:line="360" w:lineRule="auto"/>
        <w:ind w:left="0" w:firstLine="480" w:firstLineChars="200"/>
        <w:rPr>
          <w:rFonts w:ascii="宋体" w:hAnsi="宋体" w:cs="宋体"/>
          <w:sz w:val="24"/>
          <w:szCs w:val="24"/>
        </w:rPr>
      </w:pPr>
      <w:r>
        <w:rPr>
          <w:rFonts w:hint="eastAsia" w:ascii="宋体" w:hAnsi="宋体" w:cs="宋体"/>
          <w:sz w:val="24"/>
          <w:szCs w:val="24"/>
        </w:rPr>
        <w:t>3、乙方须保证所供图书质量，提供正版图书，所供图书若有残缺、破损、字迹模糊等质量问题及发错、重订等情况，应无条件退货。凡有盗版、非法出版物，将无条件退货，甲方有权终止合同。</w:t>
      </w:r>
    </w:p>
    <w:p w14:paraId="67F0FB20">
      <w:pPr>
        <w:widowControl w:val="0"/>
        <w:tabs>
          <w:tab w:val="center" w:pos="4153"/>
          <w:tab w:val="right" w:pos="8306"/>
        </w:tabs>
        <w:snapToGrid w:val="0"/>
        <w:spacing w:line="360" w:lineRule="auto"/>
        <w:ind w:firstLine="468" w:firstLineChars="195"/>
        <w:jc w:val="left"/>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4、履行合同期间需向甲方赠送图书</w:t>
      </w:r>
      <w:r>
        <w:rPr>
          <w:rFonts w:hint="eastAsia" w:cs="Times New Roman"/>
          <w:kern w:val="2"/>
          <w:sz w:val="24"/>
          <w:szCs w:val="24"/>
          <w:lang w:val="en-US" w:eastAsia="zh-CN" w:bidi="ar-SA"/>
        </w:rPr>
        <w:t>1000</w:t>
      </w:r>
      <w:r>
        <w:rPr>
          <w:rFonts w:hint="eastAsia" w:ascii="Times New Roman" w:hAnsi="Times New Roman" w:eastAsia="宋体" w:cs="Times New Roman"/>
          <w:kern w:val="2"/>
          <w:sz w:val="24"/>
          <w:szCs w:val="24"/>
          <w:lang w:val="en-US" w:eastAsia="zh-CN" w:bidi="ar-SA"/>
        </w:rPr>
        <w:t>本，赠书质量标准应与甲方所购图书保持一致，并由乙方无偿提供赠书的加工服务。</w:t>
      </w:r>
    </w:p>
    <w:p w14:paraId="3B86C44F">
      <w:pPr>
        <w:widowControl w:val="0"/>
        <w:tabs>
          <w:tab w:val="center" w:pos="4153"/>
          <w:tab w:val="right" w:pos="8306"/>
        </w:tabs>
        <w:snapToGrid w:val="0"/>
        <w:spacing w:line="360" w:lineRule="auto"/>
        <w:ind w:firstLine="468" w:firstLineChars="195"/>
        <w:jc w:val="left"/>
        <w:rPr>
          <w:rFonts w:ascii="Times New Roman" w:hAnsi="Times New Roman" w:eastAsia="宋体" w:cs="Times New Roman"/>
          <w:kern w:val="2"/>
          <w:sz w:val="24"/>
          <w:szCs w:val="24"/>
          <w:lang w:val="en-US" w:eastAsia="zh-CN" w:bidi="ar-SA"/>
        </w:rPr>
      </w:pPr>
      <w:r>
        <w:rPr>
          <w:rFonts w:ascii="Times New Roman" w:hAnsi="Times New Roman" w:eastAsia="宋体" w:cs="Times New Roman"/>
          <w:kern w:val="2"/>
          <w:sz w:val="24"/>
          <w:szCs w:val="24"/>
          <w:lang w:val="en-US" w:eastAsia="zh-CN" w:bidi="ar-SA"/>
        </w:rPr>
        <w:t>5</w:t>
      </w:r>
      <w:r>
        <w:rPr>
          <w:rFonts w:hint="eastAsia" w:ascii="Times New Roman" w:hAnsi="Times New Roman" w:eastAsia="宋体" w:cs="Times New Roman"/>
          <w:kern w:val="2"/>
          <w:sz w:val="24"/>
          <w:szCs w:val="24"/>
          <w:lang w:val="en-US" w:eastAsia="zh-CN" w:bidi="ar-SA"/>
        </w:rPr>
        <w:t>、甲方急需的图书如无法正常订购的，乙方需在甲方要求的时限内及时从网上订购，折扣按新书折扣计算。</w:t>
      </w:r>
    </w:p>
    <w:p w14:paraId="4A58480B">
      <w:pPr>
        <w:widowControl w:val="0"/>
        <w:tabs>
          <w:tab w:val="center" w:pos="4153"/>
          <w:tab w:val="right" w:pos="8306"/>
        </w:tabs>
        <w:snapToGrid w:val="0"/>
        <w:spacing w:line="360" w:lineRule="auto"/>
        <w:ind w:firstLine="480" w:firstLineChars="200"/>
        <w:jc w:val="left"/>
        <w:rPr>
          <w:rFonts w:ascii="Times New Roman" w:hAnsi="Times New Roman" w:eastAsia="宋体" w:cs="Times New Roman"/>
          <w:kern w:val="2"/>
          <w:sz w:val="24"/>
          <w:szCs w:val="24"/>
          <w:lang w:val="en-US" w:eastAsia="zh-CN" w:bidi="ar-SA"/>
        </w:rPr>
      </w:pPr>
      <w:r>
        <w:rPr>
          <w:rFonts w:ascii="Times New Roman" w:hAnsi="Times New Roman" w:eastAsia="宋体" w:cs="Times New Roman"/>
          <w:kern w:val="2"/>
          <w:sz w:val="24"/>
          <w:szCs w:val="24"/>
          <w:lang w:val="en-US" w:eastAsia="zh-CN" w:bidi="ar-SA"/>
        </w:rPr>
        <w:t>6</w:t>
      </w:r>
      <w:r>
        <w:rPr>
          <w:rFonts w:hint="eastAsia" w:ascii="Times New Roman" w:hAnsi="Times New Roman" w:eastAsia="宋体" w:cs="Times New Roman"/>
          <w:kern w:val="2"/>
          <w:sz w:val="24"/>
          <w:szCs w:val="24"/>
          <w:lang w:val="en-US" w:eastAsia="zh-CN" w:bidi="ar-SA"/>
        </w:rPr>
        <w:t>、乙方每年邀请甲方参加全国图书订购会至少两次，订购会上甲方订购的一切图书均享有折扣，折扣按照新书折扣计算，且乙方需无偿提供每年两次到校为甲方举办图书展销会的服务，展销会上甲方购买的一切图书均享有折扣，折扣按照新书折扣计算。</w:t>
      </w:r>
    </w:p>
    <w:p w14:paraId="14A89683">
      <w:pPr>
        <w:tabs>
          <w:tab w:val="left" w:pos="5355"/>
        </w:tabs>
        <w:spacing w:line="360" w:lineRule="auto"/>
        <w:ind w:left="0"/>
        <w:rPr>
          <w:rFonts w:ascii="宋体" w:hAnsi="宋体" w:cs="宋体"/>
          <w:b/>
          <w:sz w:val="24"/>
          <w:szCs w:val="24"/>
        </w:rPr>
      </w:pPr>
      <w:r>
        <w:rPr>
          <w:rFonts w:hint="eastAsia" w:ascii="宋体" w:hAnsi="宋体" w:cs="宋体"/>
          <w:b/>
          <w:sz w:val="24"/>
          <w:szCs w:val="24"/>
        </w:rPr>
        <w:t>七、违约责任：</w:t>
      </w:r>
    </w:p>
    <w:p w14:paraId="4631C4CC">
      <w:pPr>
        <w:adjustRightInd w:val="0"/>
        <w:snapToGrid w:val="0"/>
        <w:spacing w:line="360" w:lineRule="auto"/>
        <w:ind w:left="0" w:firstLine="480" w:firstLineChars="200"/>
        <w:rPr>
          <w:rFonts w:ascii="宋体" w:hAnsi="宋体" w:cs="宋体"/>
          <w:sz w:val="24"/>
          <w:szCs w:val="24"/>
        </w:rPr>
      </w:pPr>
      <w:r>
        <w:rPr>
          <w:rFonts w:hint="eastAsia" w:ascii="宋体" w:hAnsi="宋体" w:cs="宋体"/>
          <w:sz w:val="24"/>
          <w:szCs w:val="24"/>
        </w:rPr>
        <w:t>1、按《中华人民共和国民法典》中的相关条款执行。</w:t>
      </w:r>
    </w:p>
    <w:p w14:paraId="4E79642B">
      <w:pPr>
        <w:adjustRightInd w:val="0"/>
        <w:snapToGrid w:val="0"/>
        <w:spacing w:line="360" w:lineRule="auto"/>
        <w:ind w:left="0" w:firstLine="480" w:firstLineChars="200"/>
        <w:rPr>
          <w:rFonts w:ascii="宋体" w:hAnsi="宋体" w:cs="宋体"/>
          <w:sz w:val="24"/>
          <w:szCs w:val="24"/>
        </w:rPr>
      </w:pPr>
      <w:r>
        <w:rPr>
          <w:rFonts w:hint="eastAsia" w:ascii="宋体" w:hAnsi="宋体" w:cs="宋体"/>
          <w:sz w:val="24"/>
          <w:szCs w:val="24"/>
        </w:rPr>
        <w:t>2、未按合同要求提供产品或产品质量不能满足要求，甲方有权终止合同，并保留追究乙方违约责任的权利。因此给甲方造成的一切损失均应由乙方承担相应赔偿责任。</w:t>
      </w:r>
    </w:p>
    <w:p w14:paraId="0EE4A31F">
      <w:pPr>
        <w:adjustRightInd w:val="0"/>
        <w:snapToGrid w:val="0"/>
        <w:spacing w:line="360" w:lineRule="auto"/>
        <w:ind w:left="0" w:firstLine="480" w:firstLineChars="200"/>
        <w:rPr>
          <w:rFonts w:ascii="宋体" w:hAnsi="宋体" w:cs="宋体"/>
          <w:sz w:val="24"/>
          <w:szCs w:val="24"/>
        </w:rPr>
      </w:pPr>
      <w:r>
        <w:rPr>
          <w:rFonts w:hint="eastAsia" w:ascii="宋体" w:hAnsi="宋体" w:cs="宋体"/>
          <w:sz w:val="24"/>
          <w:szCs w:val="24"/>
        </w:rPr>
        <w:t>3、交付货物时间迟延的，违约方应以合同总金额为基础，按照每天1%向对方承担违约责任。因产品质量问题导致乙方违约迟延交付的，乙方除了按照交付迟延时间计算违约金外，还应当采取退货、换货等方式予以补救，并由乙方承担退货、换货产生的一切费用。</w:t>
      </w:r>
    </w:p>
    <w:p w14:paraId="3359CD81">
      <w:pPr>
        <w:widowControl w:val="0"/>
        <w:tabs>
          <w:tab w:val="center" w:pos="4153"/>
          <w:tab w:val="right" w:pos="8306"/>
        </w:tabs>
        <w:snapToGrid w:val="0"/>
        <w:spacing w:line="360" w:lineRule="auto"/>
        <w:ind w:firstLine="480"/>
        <w:jc w:val="left"/>
        <w:rPr>
          <w:rFonts w:ascii="Times New Roman" w:hAnsi="Times New Roman" w:eastAsia="宋体" w:cs="Times New Roman"/>
          <w:kern w:val="2"/>
          <w:sz w:val="24"/>
          <w:szCs w:val="24"/>
          <w:lang w:val="en-US" w:eastAsia="zh-CN" w:bidi="ar-SA"/>
        </w:rPr>
      </w:pPr>
      <w:r>
        <w:rPr>
          <w:rFonts w:ascii="Times New Roman" w:hAnsi="Times New Roman" w:eastAsia="宋体" w:cs="Times New Roman"/>
          <w:kern w:val="2"/>
          <w:sz w:val="24"/>
          <w:szCs w:val="24"/>
          <w:lang w:val="en-US" w:eastAsia="zh-CN" w:bidi="ar-SA"/>
        </w:rPr>
        <w:t>4</w:t>
      </w:r>
      <w:r>
        <w:rPr>
          <w:rFonts w:hint="eastAsia" w:ascii="Times New Roman" w:hAnsi="Times New Roman" w:eastAsia="宋体" w:cs="Times New Roman"/>
          <w:kern w:val="2"/>
          <w:sz w:val="24"/>
          <w:szCs w:val="24"/>
          <w:lang w:val="en-US" w:eastAsia="zh-CN" w:bidi="ar-SA"/>
        </w:rPr>
        <w:t>、乙方对甲方提供的采购图书响应不积极或以各种理由推诿拒绝，或在甲方提供书目后不按合同价格执行的，甲方有权终止合同并保留追究乙方违约责任的权利，因此给甲方造成的一切损失均应由乙方承担相应赔偿责任。</w:t>
      </w:r>
    </w:p>
    <w:p w14:paraId="6BB2B6CE">
      <w:pPr>
        <w:spacing w:line="360" w:lineRule="auto"/>
        <w:ind w:left="0"/>
        <w:rPr>
          <w:rFonts w:ascii="宋体" w:hAnsi="宋体" w:cs="宋体"/>
          <w:b/>
          <w:sz w:val="24"/>
          <w:szCs w:val="24"/>
        </w:rPr>
      </w:pPr>
      <w:r>
        <w:rPr>
          <w:rFonts w:hint="eastAsia" w:ascii="宋体" w:hAnsi="宋体" w:cs="宋体"/>
          <w:b/>
          <w:sz w:val="24"/>
          <w:szCs w:val="24"/>
        </w:rPr>
        <w:t>八、验收</w:t>
      </w:r>
    </w:p>
    <w:p w14:paraId="28648C5F">
      <w:pPr>
        <w:adjustRightInd w:val="0"/>
        <w:snapToGrid w:val="0"/>
        <w:spacing w:line="360" w:lineRule="auto"/>
        <w:ind w:left="0" w:firstLine="480" w:firstLineChars="200"/>
        <w:rPr>
          <w:rFonts w:ascii="宋体" w:hAnsi="宋体" w:cs="宋体"/>
          <w:sz w:val="24"/>
          <w:szCs w:val="24"/>
        </w:rPr>
      </w:pPr>
      <w:r>
        <w:rPr>
          <w:rFonts w:hint="eastAsia" w:ascii="宋体" w:hAnsi="宋体" w:cs="宋体"/>
          <w:sz w:val="24"/>
          <w:szCs w:val="24"/>
        </w:rPr>
        <w:t>1、纸质图书到货后，乙方负责新书初加工工作，达到正常使用条件后书面通知甲方验收。</w:t>
      </w:r>
    </w:p>
    <w:p w14:paraId="515EB3A4">
      <w:pPr>
        <w:adjustRightInd w:val="0"/>
        <w:snapToGrid w:val="0"/>
        <w:spacing w:line="360" w:lineRule="auto"/>
        <w:ind w:left="0" w:firstLine="480" w:firstLineChars="200"/>
        <w:rPr>
          <w:rFonts w:ascii="宋体" w:hAnsi="宋体" w:cs="宋体"/>
          <w:sz w:val="24"/>
          <w:szCs w:val="24"/>
        </w:rPr>
      </w:pPr>
      <w:r>
        <w:rPr>
          <w:rFonts w:hint="eastAsia" w:ascii="宋体" w:hAnsi="宋体" w:cs="宋体"/>
          <w:sz w:val="24"/>
          <w:szCs w:val="24"/>
        </w:rPr>
        <w:t>2、供货完成后应提供详细的MARC数据，并配合图书馆按照要求做好新书宣传推广工作。</w:t>
      </w:r>
    </w:p>
    <w:p w14:paraId="26B23339">
      <w:pPr>
        <w:adjustRightInd w:val="0"/>
        <w:snapToGrid w:val="0"/>
        <w:spacing w:line="360" w:lineRule="auto"/>
        <w:ind w:left="0" w:firstLine="480" w:firstLineChars="200"/>
        <w:rPr>
          <w:rFonts w:ascii="宋体" w:hAnsi="宋体" w:cs="宋体"/>
          <w:sz w:val="24"/>
          <w:szCs w:val="24"/>
        </w:rPr>
      </w:pPr>
      <w:r>
        <w:rPr>
          <w:rFonts w:hint="eastAsia" w:ascii="宋体" w:hAnsi="宋体" w:cs="宋体"/>
          <w:sz w:val="24"/>
          <w:szCs w:val="24"/>
        </w:rPr>
        <w:t>3、甲方根据合同要求对纸质图书进行验收、确认纸质的馆配单位、规格、和数量。验收依据为</w:t>
      </w:r>
      <w:bookmarkStart w:id="0" w:name="_Toc337393760"/>
      <w:r>
        <w:rPr>
          <w:rFonts w:hint="eastAsia" w:ascii="宋体" w:hAnsi="宋体" w:cs="宋体"/>
          <w:sz w:val="24"/>
          <w:szCs w:val="24"/>
        </w:rPr>
        <w:t>本合同文本、招标响应文件和国内相应的标准、规范</w:t>
      </w:r>
      <w:bookmarkEnd w:id="0"/>
      <w:bookmarkStart w:id="1" w:name="_Toc337393761"/>
      <w:r>
        <w:rPr>
          <w:rFonts w:hint="eastAsia" w:ascii="宋体" w:hAnsi="宋体" w:cs="宋体"/>
          <w:sz w:val="24"/>
          <w:szCs w:val="24"/>
        </w:rPr>
        <w:t>。</w:t>
      </w:r>
      <w:bookmarkEnd w:id="1"/>
    </w:p>
    <w:p w14:paraId="16A11325">
      <w:pPr>
        <w:adjustRightInd w:val="0"/>
        <w:snapToGrid w:val="0"/>
        <w:spacing w:line="360" w:lineRule="auto"/>
        <w:ind w:left="0" w:firstLine="480" w:firstLineChars="200"/>
        <w:rPr>
          <w:rFonts w:ascii="宋体" w:hAnsi="宋体" w:cs="宋体"/>
          <w:sz w:val="24"/>
          <w:szCs w:val="24"/>
        </w:rPr>
      </w:pPr>
      <w:r>
        <w:rPr>
          <w:rFonts w:hint="eastAsia" w:ascii="宋体" w:hAnsi="宋体" w:cs="宋体"/>
          <w:sz w:val="24"/>
          <w:szCs w:val="24"/>
        </w:rPr>
        <w:t>4、验收合格后，填写验收单，并向甲方提交所包含的所有资料，以便使用单位日后管理和维护。</w:t>
      </w:r>
    </w:p>
    <w:p w14:paraId="39932874">
      <w:pPr>
        <w:adjustRightInd w:val="0"/>
        <w:snapToGrid w:val="0"/>
        <w:spacing w:line="360" w:lineRule="auto"/>
        <w:ind w:left="0" w:firstLine="480" w:firstLineChars="200"/>
        <w:rPr>
          <w:rFonts w:ascii="宋体" w:hAnsi="宋体" w:cs="宋体"/>
          <w:sz w:val="24"/>
          <w:szCs w:val="24"/>
        </w:rPr>
      </w:pPr>
      <w:r>
        <w:rPr>
          <w:rFonts w:hint="eastAsia" w:ascii="宋体" w:hAnsi="宋体" w:cs="宋体"/>
          <w:sz w:val="24"/>
          <w:szCs w:val="24"/>
        </w:rPr>
        <w:t>5、甲方负责人在书面验收单上签字并盖章确认后方视为验收合格。验收合格前乙方应对甲方异议及时做出响应，并积极采取合理措施予以补救或做出令甲方满意的答复。</w:t>
      </w:r>
    </w:p>
    <w:p w14:paraId="645CBCA0">
      <w:pPr>
        <w:tabs>
          <w:tab w:val="left" w:pos="5355"/>
        </w:tabs>
        <w:spacing w:line="360" w:lineRule="auto"/>
        <w:ind w:left="0"/>
        <w:rPr>
          <w:rFonts w:ascii="宋体" w:hAnsi="宋体" w:cs="宋体"/>
          <w:b/>
          <w:sz w:val="24"/>
          <w:szCs w:val="24"/>
        </w:rPr>
      </w:pPr>
      <w:r>
        <w:rPr>
          <w:rFonts w:hint="eastAsia" w:ascii="宋体" w:hAnsi="宋体" w:cs="宋体"/>
          <w:b/>
          <w:sz w:val="24"/>
          <w:szCs w:val="24"/>
        </w:rPr>
        <w:t>九、合同争议的解决：</w:t>
      </w:r>
    </w:p>
    <w:p w14:paraId="553D1822">
      <w:pPr>
        <w:tabs>
          <w:tab w:val="left" w:pos="5355"/>
        </w:tabs>
        <w:spacing w:line="360" w:lineRule="auto"/>
        <w:ind w:left="0" w:firstLine="480" w:firstLineChars="200"/>
        <w:rPr>
          <w:rFonts w:ascii="宋体" w:hAnsi="宋体" w:cs="宋体"/>
          <w:b/>
          <w:sz w:val="24"/>
          <w:szCs w:val="24"/>
        </w:rPr>
      </w:pPr>
      <w:r>
        <w:rPr>
          <w:rFonts w:hint="eastAsia" w:ascii="宋体" w:hAnsi="宋体" w:cs="宋体"/>
          <w:sz w:val="24"/>
          <w:szCs w:val="24"/>
        </w:rPr>
        <w:t>合同一经签订，不得随意变更、中止或终止。对确需变更、调整或者中止、终止合同的，应按规定履行相应的手续。</w:t>
      </w:r>
    </w:p>
    <w:p w14:paraId="4D534628">
      <w:pPr>
        <w:tabs>
          <w:tab w:val="left" w:pos="5355"/>
        </w:tabs>
        <w:spacing w:line="360" w:lineRule="auto"/>
        <w:ind w:left="0" w:firstLine="480" w:firstLineChars="200"/>
        <w:rPr>
          <w:rFonts w:ascii="宋体" w:hAnsi="宋体" w:cs="宋体"/>
          <w:sz w:val="24"/>
          <w:szCs w:val="24"/>
        </w:rPr>
      </w:pPr>
      <w:r>
        <w:rPr>
          <w:rFonts w:hint="eastAsia" w:ascii="宋体" w:hAnsi="宋体" w:cs="宋体"/>
          <w:sz w:val="24"/>
          <w:szCs w:val="24"/>
        </w:rPr>
        <w:t>合同执行中发生争议的，甲、乙双方应协商解决，协商达不成一致时，可向甲方住所地人民法院提请诉讼。</w:t>
      </w:r>
    </w:p>
    <w:p w14:paraId="47BEFBEB">
      <w:pPr>
        <w:tabs>
          <w:tab w:val="left" w:pos="5355"/>
        </w:tabs>
        <w:spacing w:line="360" w:lineRule="auto"/>
        <w:ind w:left="0"/>
        <w:rPr>
          <w:rFonts w:ascii="宋体" w:hAnsi="宋体" w:cs="宋体"/>
          <w:b/>
          <w:sz w:val="24"/>
          <w:szCs w:val="24"/>
        </w:rPr>
      </w:pPr>
      <w:r>
        <w:rPr>
          <w:rFonts w:hint="eastAsia" w:ascii="宋体" w:hAnsi="宋体" w:cs="宋体"/>
          <w:b/>
          <w:sz w:val="24"/>
          <w:szCs w:val="24"/>
        </w:rPr>
        <w:t>十、其它事项</w:t>
      </w:r>
    </w:p>
    <w:p w14:paraId="008B49F6">
      <w:pPr>
        <w:adjustRightInd w:val="0"/>
        <w:snapToGrid w:val="0"/>
        <w:spacing w:line="360" w:lineRule="auto"/>
        <w:ind w:left="0" w:firstLine="480" w:firstLineChars="200"/>
        <w:rPr>
          <w:rFonts w:ascii="宋体" w:hAnsi="宋体" w:cs="宋体"/>
          <w:sz w:val="24"/>
          <w:szCs w:val="24"/>
        </w:rPr>
      </w:pPr>
      <w:r>
        <w:rPr>
          <w:rFonts w:hint="eastAsia" w:ascii="宋体" w:hAnsi="宋体" w:cs="宋体"/>
          <w:sz w:val="24"/>
          <w:szCs w:val="24"/>
        </w:rPr>
        <w:t>1、甲、乙双方作为合同执行的主体，有义务及时完全履行合同。</w:t>
      </w:r>
    </w:p>
    <w:p w14:paraId="2F85D2AB">
      <w:pPr>
        <w:adjustRightInd w:val="0"/>
        <w:snapToGrid w:val="0"/>
        <w:spacing w:line="360" w:lineRule="auto"/>
        <w:ind w:left="0" w:firstLine="480" w:firstLineChars="200"/>
        <w:rPr>
          <w:rFonts w:ascii="宋体" w:hAnsi="宋体" w:cs="宋体"/>
          <w:sz w:val="24"/>
          <w:szCs w:val="24"/>
        </w:rPr>
      </w:pPr>
      <w:r>
        <w:rPr>
          <w:rFonts w:hint="eastAsia" w:ascii="宋体" w:hAnsi="宋体" w:cs="宋体"/>
          <w:sz w:val="24"/>
          <w:szCs w:val="24"/>
        </w:rPr>
        <w:t>2、合同未尽事宜，由甲、乙双方协商，协商方案作为本合同不可分割的组成部分，与本合同具有同等法律效力。</w:t>
      </w:r>
    </w:p>
    <w:p w14:paraId="2F21FC52">
      <w:pPr>
        <w:adjustRightInd w:val="0"/>
        <w:snapToGrid w:val="0"/>
        <w:spacing w:line="360" w:lineRule="auto"/>
        <w:ind w:left="0" w:firstLine="480" w:firstLineChars="200"/>
        <w:rPr>
          <w:rFonts w:ascii="宋体" w:hAnsi="宋体" w:cs="宋体"/>
          <w:sz w:val="24"/>
          <w:szCs w:val="24"/>
        </w:rPr>
      </w:pPr>
      <w:r>
        <w:rPr>
          <w:rFonts w:hint="eastAsia" w:ascii="宋体" w:hAnsi="宋体" w:cs="宋体"/>
          <w:sz w:val="24"/>
          <w:szCs w:val="24"/>
        </w:rPr>
        <w:t>3、招标文件和乙方的响应文件以及合同附件均为合同不可分割的部分。</w:t>
      </w:r>
    </w:p>
    <w:p w14:paraId="5881572F">
      <w:pPr>
        <w:adjustRightInd w:val="0"/>
        <w:snapToGrid w:val="0"/>
        <w:spacing w:line="360" w:lineRule="auto"/>
        <w:ind w:left="0" w:firstLine="480" w:firstLineChars="200"/>
        <w:rPr>
          <w:rFonts w:ascii="宋体" w:hAnsi="宋体" w:cs="宋体"/>
          <w:sz w:val="24"/>
          <w:szCs w:val="24"/>
        </w:rPr>
      </w:pPr>
      <w:r>
        <w:rPr>
          <w:rFonts w:hint="eastAsia" w:ascii="宋体" w:hAnsi="宋体" w:cs="宋体"/>
          <w:sz w:val="24"/>
          <w:szCs w:val="24"/>
        </w:rPr>
        <w:t>4、合同一式七份，甲方伍份、乙方两份（返回招标代理机构壹份），各份具有同等法律效力。甲方、乙方签字并加盖公章后生效，合同执行完毕自动失效。（合同的服务承诺长期有效）。</w:t>
      </w:r>
    </w:p>
    <w:p w14:paraId="11B336EF">
      <w:pPr>
        <w:adjustRightInd w:val="0"/>
        <w:snapToGrid w:val="0"/>
        <w:ind w:left="0"/>
        <w:rPr>
          <w:rFonts w:ascii="宋体" w:hAnsi="宋体" w:cs="宋体"/>
          <w:sz w:val="24"/>
          <w:szCs w:val="24"/>
        </w:rPr>
      </w:pPr>
    </w:p>
    <w:p w14:paraId="56D89F37">
      <w:pPr>
        <w:widowControl w:val="0"/>
        <w:tabs>
          <w:tab w:val="center" w:pos="4153"/>
          <w:tab w:val="right" w:pos="8306"/>
        </w:tabs>
        <w:adjustRightInd w:val="0"/>
        <w:snapToGrid w:val="0"/>
        <w:jc w:val="left"/>
        <w:rPr>
          <w:rFonts w:ascii="宋体" w:hAnsi="宋体" w:eastAsia="宋体" w:cs="宋体"/>
          <w:kern w:val="2"/>
          <w:sz w:val="24"/>
          <w:szCs w:val="24"/>
          <w:lang w:val="en-US" w:eastAsia="zh-CN" w:bidi="ar-SA"/>
        </w:rPr>
      </w:pPr>
    </w:p>
    <w:p w14:paraId="28A09767">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p>
    <w:p w14:paraId="634A7BA9">
      <w:pPr>
        <w:widowControl w:val="0"/>
        <w:tabs>
          <w:tab w:val="center" w:pos="4153"/>
          <w:tab w:val="right" w:pos="8306"/>
        </w:tabs>
        <w:adjustRightInd w:val="0"/>
        <w:snapToGrid w:val="0"/>
        <w:jc w:val="center"/>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（以下为合同签章页，无正文）</w:t>
      </w:r>
    </w:p>
    <w:p w14:paraId="4A25BA7D">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p>
    <w:p w14:paraId="55FFDDAE">
      <w:pPr>
        <w:adjustRightInd w:val="0"/>
        <w:snapToGrid w:val="0"/>
        <w:spacing w:line="360" w:lineRule="auto"/>
        <w:ind w:left="0"/>
        <w:rPr>
          <w:rFonts w:hint="eastAsia" w:ascii="宋体" w:hAnsi="宋体" w:cs="宋体"/>
          <w:sz w:val="24"/>
          <w:szCs w:val="24"/>
        </w:rPr>
      </w:pPr>
      <w:r>
        <w:rPr>
          <w:rFonts w:hint="eastAsia" w:ascii="宋体" w:hAnsi="宋体" w:cs="宋体"/>
          <w:sz w:val="24"/>
          <w:szCs w:val="24"/>
        </w:rPr>
        <w:t>甲  方：</w:t>
      </w:r>
      <w:r>
        <w:rPr>
          <w:rFonts w:hint="eastAsia" w:ascii="宋体" w:hAnsi="宋体" w:cs="宋体"/>
          <w:sz w:val="24"/>
          <w:szCs w:val="24"/>
          <w:u w:val="single"/>
        </w:rPr>
        <w:t>陕西交通职业技术学院</w:t>
      </w:r>
      <w:r>
        <w:rPr>
          <w:rFonts w:hint="eastAsia" w:ascii="宋体" w:hAnsi="宋体" w:cs="宋体"/>
          <w:sz w:val="24"/>
          <w:szCs w:val="24"/>
        </w:rPr>
        <w:t xml:space="preserve">（公章）  乙  方： </w:t>
      </w:r>
    </w:p>
    <w:p w14:paraId="54ABAD6E">
      <w:pPr>
        <w:adjustRightInd w:val="0"/>
        <w:snapToGrid w:val="0"/>
        <w:spacing w:line="360" w:lineRule="auto"/>
        <w:ind w:left="0"/>
        <w:rPr>
          <w:rFonts w:hint="eastAsia" w:ascii="宋体" w:hAnsi="宋体" w:cs="宋体"/>
          <w:sz w:val="24"/>
          <w:szCs w:val="24"/>
        </w:rPr>
      </w:pPr>
      <w:r>
        <w:rPr>
          <w:rFonts w:hint="eastAsia" w:ascii="宋体" w:hAnsi="宋体" w:cs="宋体"/>
          <w:sz w:val="24"/>
          <w:szCs w:val="24"/>
        </w:rPr>
        <w:t>地  址：                             地    址：</w:t>
      </w:r>
    </w:p>
    <w:p w14:paraId="565EA9D6">
      <w:pPr>
        <w:adjustRightInd w:val="0"/>
        <w:snapToGrid w:val="0"/>
        <w:spacing w:line="360" w:lineRule="auto"/>
        <w:ind w:left="0"/>
        <w:rPr>
          <w:rFonts w:ascii="宋体" w:hAnsi="宋体" w:cs="宋体"/>
          <w:sz w:val="24"/>
          <w:szCs w:val="24"/>
        </w:rPr>
      </w:pPr>
    </w:p>
    <w:p w14:paraId="1B93D85E">
      <w:pPr>
        <w:adjustRightInd w:val="0"/>
        <w:snapToGrid w:val="0"/>
        <w:spacing w:line="360" w:lineRule="auto"/>
        <w:ind w:left="0"/>
        <w:rPr>
          <w:rFonts w:ascii="宋体" w:hAnsi="宋体" w:cs="宋体"/>
          <w:sz w:val="24"/>
          <w:szCs w:val="24"/>
        </w:rPr>
      </w:pPr>
      <w:r>
        <w:rPr>
          <w:rFonts w:hint="eastAsia" w:ascii="宋体" w:hAnsi="宋体" w:cs="宋体"/>
          <w:sz w:val="24"/>
          <w:szCs w:val="24"/>
        </w:rPr>
        <w:t>法定代表人：（签字）                  法定代表人：（签字）</w:t>
      </w:r>
    </w:p>
    <w:p w14:paraId="5530ADB8">
      <w:pPr>
        <w:adjustRightInd w:val="0"/>
        <w:snapToGrid w:val="0"/>
        <w:ind w:left="0" w:firstLine="600" w:firstLineChars="250"/>
        <w:rPr>
          <w:rFonts w:ascii="宋体" w:hAnsi="宋体" w:cs="宋体"/>
          <w:sz w:val="24"/>
          <w:szCs w:val="24"/>
        </w:rPr>
      </w:pPr>
    </w:p>
    <w:p w14:paraId="036FF645">
      <w:pPr>
        <w:adjustRightInd w:val="0"/>
        <w:snapToGrid w:val="0"/>
        <w:ind w:left="0"/>
        <w:rPr>
          <w:rFonts w:ascii="宋体" w:hAnsi="宋体" w:cs="宋体"/>
          <w:sz w:val="24"/>
          <w:szCs w:val="24"/>
        </w:rPr>
      </w:pPr>
      <w:r>
        <w:rPr>
          <w:rFonts w:hint="eastAsia" w:ascii="宋体" w:hAnsi="宋体" w:cs="宋体"/>
          <w:sz w:val="24"/>
          <w:szCs w:val="24"/>
        </w:rPr>
        <w:t>代理人：（签字）                      代理人：（签字）</w:t>
      </w:r>
    </w:p>
    <w:p w14:paraId="2047AA35">
      <w:pPr>
        <w:adjustRightInd w:val="0"/>
        <w:snapToGrid w:val="0"/>
        <w:spacing w:line="360" w:lineRule="auto"/>
        <w:ind w:left="0"/>
        <w:rPr>
          <w:rFonts w:ascii="宋体" w:hAnsi="宋体" w:cs="宋体"/>
          <w:sz w:val="24"/>
          <w:szCs w:val="24"/>
        </w:rPr>
      </w:pPr>
    </w:p>
    <w:p w14:paraId="2C1C7781">
      <w:pPr>
        <w:adjustRightInd w:val="0"/>
        <w:snapToGrid w:val="0"/>
        <w:spacing w:line="360" w:lineRule="auto"/>
        <w:ind w:left="0"/>
        <w:rPr>
          <w:rFonts w:ascii="宋体" w:hAnsi="宋体" w:cs="宋体"/>
          <w:sz w:val="24"/>
          <w:szCs w:val="24"/>
        </w:rPr>
      </w:pPr>
      <w:r>
        <w:rPr>
          <w:rFonts w:hint="eastAsia" w:ascii="宋体" w:hAnsi="宋体" w:cs="宋体"/>
          <w:sz w:val="24"/>
          <w:szCs w:val="24"/>
        </w:rPr>
        <w:t>联系电话：                           开户银行：</w:t>
      </w:r>
      <w:r>
        <w:rPr>
          <w:rFonts w:ascii="宋体" w:hAnsi="宋体" w:cs="宋体"/>
          <w:sz w:val="24"/>
          <w:szCs w:val="24"/>
        </w:rPr>
        <w:t xml:space="preserve"> </w:t>
      </w:r>
    </w:p>
    <w:p w14:paraId="2AC31B0D">
      <w:pPr>
        <w:adjustRightInd w:val="0"/>
        <w:snapToGrid w:val="0"/>
        <w:spacing w:line="360" w:lineRule="auto"/>
        <w:ind w:left="0" w:firstLine="4560" w:firstLineChars="1900"/>
        <w:rPr>
          <w:rFonts w:ascii="宋体" w:hAnsi="宋体" w:cs="宋体"/>
          <w:sz w:val="24"/>
          <w:szCs w:val="24"/>
        </w:rPr>
      </w:pPr>
      <w:r>
        <w:rPr>
          <w:rFonts w:hint="eastAsia" w:ascii="宋体" w:hAnsi="宋体" w:cs="宋体"/>
          <w:sz w:val="24"/>
          <w:szCs w:val="24"/>
        </w:rPr>
        <w:t>账   号：</w:t>
      </w:r>
    </w:p>
    <w:p w14:paraId="65CD72AB">
      <w:pPr>
        <w:adjustRightInd w:val="0"/>
        <w:snapToGrid w:val="0"/>
        <w:spacing w:line="360" w:lineRule="auto"/>
        <w:ind w:left="0" w:firstLine="4560" w:firstLineChars="1900"/>
        <w:rPr>
          <w:rFonts w:ascii="宋体" w:hAnsi="宋体" w:cs="宋体"/>
          <w:sz w:val="24"/>
          <w:szCs w:val="24"/>
        </w:rPr>
      </w:pPr>
      <w:r>
        <w:rPr>
          <w:rFonts w:hint="eastAsia" w:ascii="宋体" w:hAnsi="宋体" w:cs="宋体"/>
          <w:sz w:val="24"/>
          <w:szCs w:val="24"/>
        </w:rPr>
        <w:t>联系电话：</w:t>
      </w:r>
    </w:p>
    <w:p w14:paraId="62526746">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p>
    <w:p w14:paraId="0843A19C">
      <w:pPr>
        <w:adjustRightInd w:val="0"/>
        <w:snapToGrid w:val="0"/>
        <w:spacing w:line="360" w:lineRule="auto"/>
        <w:ind w:left="0"/>
        <w:rPr>
          <w:rFonts w:ascii="Times New Roman" w:hAnsi="Times New Roman" w:cs="Times New Roman"/>
          <w:szCs w:val="20"/>
        </w:rPr>
      </w:pPr>
      <w:r>
        <w:rPr>
          <w:rFonts w:hint="eastAsia" w:ascii="宋体" w:hAnsi="宋体" w:cs="宋体"/>
          <w:sz w:val="24"/>
          <w:szCs w:val="24"/>
        </w:rPr>
        <w:t>签订日期：   年  月  日               签订日期：   年  月  日</w:t>
      </w:r>
    </w:p>
    <w:p w14:paraId="19AAFA18">
      <w:pPr>
        <w:widowControl w:val="0"/>
        <w:tabs>
          <w:tab w:val="center" w:pos="4153"/>
          <w:tab w:val="right" w:pos="8306"/>
        </w:tabs>
        <w:snapToGrid w:val="0"/>
        <w:spacing w:line="360" w:lineRule="auto"/>
        <w:ind w:firstLine="360" w:firstLineChars="150"/>
        <w:jc w:val="left"/>
        <w:rPr>
          <w:rFonts w:ascii="宋体" w:hAnsi="宋体" w:eastAsia="宋体" w:cs="Times New Roman"/>
          <w:kern w:val="2"/>
          <w:sz w:val="24"/>
          <w:szCs w:val="24"/>
          <w:lang w:val="en-US" w:eastAsia="zh-CN" w:bidi="ar-SA"/>
        </w:rPr>
      </w:pPr>
    </w:p>
    <w:p w14:paraId="4A72BBBE">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p>
    <w:p w14:paraId="0FEBF608">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p>
    <w:p w14:paraId="10FBD622">
      <w:pPr>
        <w:pStyle w:val="15"/>
        <w:rPr>
          <w:rFonts w:hint="default"/>
        </w:rPr>
      </w:pPr>
    </w:p>
    <w:p w14:paraId="76F87938">
      <w:pPr>
        <w:pStyle w:val="15"/>
        <w:rPr>
          <w:rFonts w:hint="default"/>
        </w:rPr>
      </w:pPr>
      <w:r>
        <w:t xml:space="preserve"> </w:t>
      </w:r>
    </w:p>
    <w:p w14:paraId="01A5E5A7"/>
    <w:sectPr>
      <w:headerReference r:id="rId6" w:type="first"/>
      <w:footerReference r:id="rId8" w:type="first"/>
      <w:headerReference r:id="rId5" w:type="even"/>
      <w:footerReference r:id="rId7" w:type="even"/>
      <w:pgSz w:w="11906" w:h="16838"/>
      <w:pgMar w:top="1440" w:right="1800" w:bottom="1440" w:left="1800"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F0E8F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EC0242">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CE50B3">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D89D3">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124939ED"/>
    <w:rsid w:val="216808CC"/>
    <w:rsid w:val="27FF7786"/>
    <w:rsid w:val="407C4056"/>
    <w:rsid w:val="40B21825"/>
    <w:rsid w:val="45E85466"/>
    <w:rsid w:val="4AAA4513"/>
    <w:rsid w:val="59BD4ED5"/>
    <w:rsid w:val="6608236A"/>
    <w:rsid w:val="67D92D56"/>
    <w:rsid w:val="6E5C3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3"/>
    <w:autoRedefine/>
    <w:qFormat/>
    <w:uiPriority w:val="0"/>
    <w:pPr>
      <w:keepNext/>
      <w:keepLines/>
      <w:spacing w:before="120" w:beforeLines="0" w:after="120" w:afterLines="0" w:line="360" w:lineRule="auto"/>
      <w:jc w:val="center"/>
      <w:outlineLvl w:val="0"/>
    </w:pPr>
    <w:rPr>
      <w:b/>
      <w:bCs/>
      <w:kern w:val="44"/>
      <w:sz w:val="30"/>
      <w:szCs w:val="44"/>
    </w:rPr>
  </w:style>
  <w:style w:type="paragraph" w:styleId="4">
    <w:name w:val="heading 4"/>
    <w:basedOn w:val="1"/>
    <w:next w:val="1"/>
    <w:autoRedefine/>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5">
    <w:name w:val="Normal Indent"/>
    <w:basedOn w:val="1"/>
    <w:next w:val="6"/>
    <w:autoRedefine/>
    <w:qFormat/>
    <w:uiPriority w:val="99"/>
    <w:pPr>
      <w:autoSpaceDE w:val="0"/>
      <w:autoSpaceDN w:val="0"/>
      <w:adjustRightInd w:val="0"/>
      <w:spacing w:line="640" w:lineRule="exact"/>
      <w:ind w:firstLine="585"/>
    </w:pPr>
    <w:rPr>
      <w:rFonts w:ascii="楷体_GB2312" w:eastAsia="楷体_GB2312"/>
      <w:kern w:val="0"/>
      <w:sz w:val="32"/>
      <w:szCs w:val="32"/>
    </w:rPr>
  </w:style>
  <w:style w:type="paragraph" w:styleId="6">
    <w:name w:val="toc 4"/>
    <w:basedOn w:val="1"/>
    <w:next w:val="1"/>
    <w:autoRedefine/>
    <w:semiHidden/>
    <w:qFormat/>
    <w:uiPriority w:val="0"/>
    <w:pPr>
      <w:ind w:left="630"/>
      <w:jc w:val="left"/>
    </w:pPr>
    <w:rPr>
      <w:rFonts w:ascii="Times New Roman" w:hAnsi="Times New Roman" w:cs="Times New Roman"/>
      <w:sz w:val="18"/>
      <w:szCs w:val="18"/>
    </w:rPr>
  </w:style>
  <w:style w:type="paragraph" w:styleId="7">
    <w:name w:val="Body Text"/>
    <w:basedOn w:val="1"/>
    <w:next w:val="1"/>
    <w:autoRedefine/>
    <w:qFormat/>
    <w:uiPriority w:val="0"/>
    <w:rPr>
      <w:color w:val="993300"/>
      <w:sz w:val="24"/>
    </w:rPr>
  </w:style>
  <w:style w:type="paragraph" w:styleId="8">
    <w:name w:val="Plain Text"/>
    <w:basedOn w:val="1"/>
    <w:next w:val="1"/>
    <w:autoRedefine/>
    <w:qFormat/>
    <w:uiPriority w:val="99"/>
    <w:rPr>
      <w:rFonts w:ascii="宋体" w:hAnsi="Courier New" w:cs="Courier New"/>
      <w:szCs w:val="21"/>
    </w:rPr>
  </w:style>
  <w:style w:type="paragraph" w:styleId="9">
    <w:name w:val="header"/>
    <w:basedOn w:val="1"/>
    <w:autoRedefine/>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0">
    <w:name w:val="Normal (Web)"/>
    <w:basedOn w:val="1"/>
    <w:autoRedefine/>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13">
    <w:name w:val="标题 1 Char"/>
    <w:link w:val="3"/>
    <w:autoRedefine/>
    <w:qFormat/>
    <w:uiPriority w:val="0"/>
    <w:rPr>
      <w:b/>
      <w:bCs/>
      <w:kern w:val="44"/>
      <w:sz w:val="30"/>
      <w:szCs w:val="44"/>
    </w:rPr>
  </w:style>
  <w:style w:type="paragraph" w:customStyle="1" w:styleId="14">
    <w:name w:val="09正文_wh"/>
    <w:autoRedefine/>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2429</Words>
  <Characters>2454</Characters>
  <Lines>0</Lines>
  <Paragraphs>0</Paragraphs>
  <TotalTime>0</TotalTime>
  <ScaleCrop>false</ScaleCrop>
  <LinksUpToDate>false</LinksUpToDate>
  <CharactersWithSpaces>2704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2023-07-20T09:39:00Z</dcterms:created>
  <dc:creator>Administrator</dc:creator>
  <cp:lastModifiedBy>安安</cp:lastModifiedBy>
  <dcterms:modified xsi:type="dcterms:W3CDTF">2025-07-10T08:49:05Z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1CA58B54068A419D9A1F2255F1A08835_12</vt:lpwstr>
  </property>
  <property fmtid="{D5CDD505-2E9C-101B-9397-08002B2CF9AE}" pid="4" name="KSOTemplateDocerSaveRecord">
    <vt:lpwstr>eyJoZGlkIjoiN2Q1ZTU0ZDdkN2MxZjY1NWFiOTI3MTM4NjgwY2VkOWYiLCJ1c2VySWQiOiIxMTQ2NDU0OTA0In0=</vt:lpwstr>
  </property>
</Properties>
</file>