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版本号：2025-HXCT-06920250805001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数据安全与数据传输服务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2025-HXCT-069</w:t>
      </w:r>
      <w:r>
        <w:br/>
      </w:r>
      <w:r>
        <w:br/>
      </w:r>
      <w:r>
        <w:br/>
      </w:r>
    </w:p>
    <w:p>
      <w:pPr>
        <w:pStyle w:val="null3"/>
        <w:jc w:val="center"/>
        <w:outlineLvl w:val="2"/>
      </w:pPr>
      <w:r>
        <w:rPr>
          <w:rFonts w:ascii="仿宋_GB2312" w:hAnsi="仿宋_GB2312" w:cs="仿宋_GB2312" w:eastAsia="仿宋_GB2312"/>
          <w:sz w:val="28"/>
          <w:b/>
        </w:rPr>
        <w:t>陕西省考古研究院</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陕西省考古研究院</w:t>
      </w:r>
      <w:r>
        <w:rPr>
          <w:rFonts w:ascii="仿宋_GB2312" w:hAnsi="仿宋_GB2312" w:cs="仿宋_GB2312" w:eastAsia="仿宋_GB2312"/>
        </w:rPr>
        <w:t>委托，拟对</w:t>
      </w:r>
      <w:r>
        <w:rPr>
          <w:rFonts w:ascii="仿宋_GB2312" w:hAnsi="仿宋_GB2312" w:cs="仿宋_GB2312" w:eastAsia="仿宋_GB2312"/>
        </w:rPr>
        <w:t>数据安全与数据传输服务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2025-HXCT-069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数据安全与数据传输服务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位于陕西省考古研究院（西安市长安区终南大道（郭杜段）2999号）；服务期：12个月。采购数据安全服务与数据传输专线，用以支撑单位网站、OA、田野考古发掘、文物库房管理、博物馆票务、导览、监控等系统运行所需要的多项信息系统的运行及安全服务。数据安全服务达到等保2.0标准，传输速率达到1GB。</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能力：具有独立承担民事责任能力的法人或其他组织或经总公司授权的分公司或自然人，提供合法有效的统一社会信用代码营业执照（事业单位提供事业单位法人证书，自然人提供身份证明、分公司提供总公司授权及分公司营业执照）；供应商需在项目电子化交易系统中按要求上传相应证明文件并进行电子签章。</w:t>
      </w:r>
    </w:p>
    <w:p>
      <w:pPr>
        <w:pStyle w:val="null3"/>
      </w:pPr>
      <w:r>
        <w:rPr>
          <w:rFonts w:ascii="仿宋_GB2312" w:hAnsi="仿宋_GB2312" w:cs="仿宋_GB2312" w:eastAsia="仿宋_GB2312"/>
        </w:rPr>
        <w:t>2、没有重大违法记录：供应商参加政府采购活动前3年内在经营活动中没有重大违法记录；供应商需在项目电子化交易系统中按要求填写《响应函》完成承诺并进行电子签章。</w:t>
      </w:r>
    </w:p>
    <w:p>
      <w:pPr>
        <w:pStyle w:val="null3"/>
      </w:pPr>
      <w:r>
        <w:rPr>
          <w:rFonts w:ascii="仿宋_GB2312" w:hAnsi="仿宋_GB2312" w:cs="仿宋_GB2312" w:eastAsia="仿宋_GB2312"/>
        </w:rPr>
        <w:t>3、信用查询：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p>
      <w:pPr>
        <w:pStyle w:val="null3"/>
      </w:pPr>
      <w:r>
        <w:rPr>
          <w:rFonts w:ascii="仿宋_GB2312" w:hAnsi="仿宋_GB2312" w:cs="仿宋_GB2312" w:eastAsia="仿宋_GB2312"/>
        </w:rPr>
        <w:t>4、财务状况报告：财务状况报告：提供2023-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5、社保缴纳证明：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税收缴纳证明：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p>
      <w:pPr>
        <w:pStyle w:val="null3"/>
      </w:pPr>
      <w:r>
        <w:rPr>
          <w:rFonts w:ascii="仿宋_GB2312" w:hAnsi="仿宋_GB2312" w:cs="仿宋_GB2312" w:eastAsia="仿宋_GB2312"/>
        </w:rPr>
        <w:t>7、法定代表人授权书：法定代表人/负责人授权书（附法定代表人/负责人、被授权人身份证复印件）及被授权人身份证（法定代表人/负责人直接参加磋商，须提供法定代表人/负责人身份证明及身份证原件）；（供应商为非法人单位的，磋商响应文件中凡是需要法定代表人签字或盖章之处，非法人单位的负责人均参照执行；附负责人、被授权人身份证复印件）。供应商需在项目电子化交易系统中按要求上传相应证明文件并进行电子签章。</w:t>
      </w:r>
    </w:p>
    <w:p>
      <w:pPr>
        <w:pStyle w:val="null3"/>
      </w:pPr>
      <w:r>
        <w:rPr>
          <w:rFonts w:ascii="仿宋_GB2312" w:hAnsi="仿宋_GB2312" w:cs="仿宋_GB2312" w:eastAsia="仿宋_GB2312"/>
        </w:rPr>
        <w:t>8、控股管理关系：供应商单位负责人为同一人或者存在直接控股、管理关系的供应商，不得参加同一合同下的政府采购活动; 供应商需在项目电子化交易系统中按要求填写《响应函》完成承诺并进行电子签章。</w:t>
      </w:r>
    </w:p>
    <w:p>
      <w:pPr>
        <w:pStyle w:val="null3"/>
      </w:pPr>
      <w:r>
        <w:rPr>
          <w:rFonts w:ascii="仿宋_GB2312" w:hAnsi="仿宋_GB2312" w:cs="仿宋_GB2312" w:eastAsia="仿宋_GB2312"/>
        </w:rPr>
        <w:t>9、其他承诺：供应商具有履行合同所必需的设备和专业技术能力；未为本项目提供整体设计、规范编制或者项目管理、监理、检测等服务。供应商需在项目电子化交易系统中按要求填写《响应函》完成承诺并进行电子签章。</w:t>
      </w:r>
    </w:p>
    <w:p>
      <w:pPr>
        <w:pStyle w:val="null3"/>
      </w:pPr>
      <w:r>
        <w:rPr>
          <w:rFonts w:ascii="仿宋_GB2312" w:hAnsi="仿宋_GB2312" w:cs="仿宋_GB2312" w:eastAsia="仿宋_GB2312"/>
        </w:rPr>
        <w:t>10、联合体、分包：本项目不接受联合体响应，不允许分包。供应商提供《非联合体、不分包投标声明》，视为独立响应，不分包。供应商应提供《非联合体、不分包投标声明》并进行电子签章，格式及内容参见“响应文件格式”。</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陕西省考古研究院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陕西省西安市长安区郭杜街道周家庄村南文苑南路东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029-89053256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武文华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029-88010600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代理服务费收费标准：成交服务费参照《招标代理服务收费暂行办法 》（计价格[2002]1980号）文件服务类规定标准，按照优惠后的下浮费率收费计取。100以下 （不含）不下浮；100（含）-500（不含）下浮10% ；服务费不足5000元的，按5000元收取。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陕西省考古研究院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陕西省考古研究院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陕西省考古研究院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联系人：武文华</w:t>
      </w:r>
    </w:p>
    <w:p>
      <w:pPr>
        <w:pStyle w:val="null3"/>
      </w:pPr>
      <w:r>
        <w:rPr>
          <w:rFonts w:ascii="仿宋_GB2312" w:hAnsi="仿宋_GB2312" w:cs="仿宋_GB2312" w:eastAsia="仿宋_GB2312"/>
        </w:rPr>
        <w:t>联系电话：029-88010600</w:t>
      </w:r>
    </w:p>
    <w:p>
      <w:pPr>
        <w:pStyle w:val="null3"/>
      </w:pPr>
      <w:r>
        <w:rPr>
          <w:rFonts w:ascii="仿宋_GB2312" w:hAnsi="仿宋_GB2312" w:cs="仿宋_GB2312" w:eastAsia="仿宋_GB2312"/>
        </w:rPr>
        <w:t>地址：陕西省西安市未央区西安经济技术开发区凤城七路长和国际D座26层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位于陕西省考古研究院（西安市长安区终南大道（郭杜段）2999号）；服务期：12个月。采购数据安全服务与数据传输专线，用以支撑单位网站、OA、田野考古发掘、文物库房管理、博物馆票务、导览、监控等系统运行所需要的多项信息系统的运行及安全服务。数据安全服务达到等保2.0标准，传输速率达到1GB。</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890,000.00</w:t>
      </w:r>
    </w:p>
    <w:p>
      <w:pPr>
        <w:pStyle w:val="null3"/>
      </w:pPr>
      <w:r>
        <w:rPr>
          <w:rFonts w:ascii="仿宋_GB2312" w:hAnsi="仿宋_GB2312" w:cs="仿宋_GB2312" w:eastAsia="仿宋_GB2312"/>
        </w:rPr>
        <w:t>采购包最高限价（元）: 890,000.00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数据安全与数据传输服务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标的名称：数据安全与数据传输服务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rPr>
              <w:t>采购数据安全服务与数据传输专线，用以支撑单位网站、</w:t>
            </w:r>
            <w:r>
              <w:rPr>
                <w:rFonts w:ascii="仿宋_GB2312" w:hAnsi="仿宋_GB2312" w:cs="仿宋_GB2312" w:eastAsia="仿宋_GB2312"/>
                <w:sz w:val="28"/>
              </w:rPr>
              <w:t>OA、田野考古发掘、文物库房管理、博物馆票务、导览、监控等系统运行所需要的多项信息系统的运行及安全服务。数据安全服务达到等保2.0标准，传输速率达到1GB。</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8"/>
                <w:b/>
              </w:rPr>
              <w:t>技术要求</w:t>
            </w:r>
          </w:p>
          <w:p>
            <w:pPr>
              <w:pStyle w:val="null3"/>
            </w:pPr>
            <w:r>
              <w:rPr>
                <w:rFonts w:ascii="仿宋_GB2312" w:hAnsi="仿宋_GB2312" w:cs="仿宋_GB2312" w:eastAsia="仿宋_GB2312"/>
                <w:sz w:val="28"/>
              </w:rPr>
              <w:t>1、互联网专线技术要求</w:t>
            </w:r>
          </w:p>
          <w:p>
            <w:pPr>
              <w:pStyle w:val="null3"/>
            </w:pPr>
            <w:r>
              <w:rPr>
                <w:rFonts w:ascii="仿宋_GB2312" w:hAnsi="仿宋_GB2312" w:cs="仿宋_GB2312" w:eastAsia="仿宋_GB2312"/>
                <w:sz w:val="28"/>
              </w:rPr>
              <w:t>1.1、供应商提供的互联网出口数据链路宽带必须是独占宽带。</w:t>
            </w:r>
          </w:p>
          <w:p>
            <w:pPr>
              <w:pStyle w:val="null3"/>
            </w:pPr>
            <w:r>
              <w:rPr>
                <w:rFonts w:ascii="仿宋_GB2312" w:hAnsi="仿宋_GB2312" w:cs="仿宋_GB2312" w:eastAsia="仿宋_GB2312"/>
                <w:sz w:val="28"/>
              </w:rPr>
              <w:t>1.2、互联网光纤要求实现高速 INTERNET 接入，采用独享带宽接入(承诺 M 数可达)， 企业独享 VP 网络通道，网速不受宽带使用高峰期的影响。</w:t>
            </w:r>
          </w:p>
          <w:p>
            <w:pPr>
              <w:pStyle w:val="null3"/>
            </w:pPr>
            <w:r>
              <w:rPr>
                <w:rFonts w:ascii="仿宋_GB2312" w:hAnsi="仿宋_GB2312" w:cs="仿宋_GB2312" w:eastAsia="仿宋_GB2312"/>
                <w:sz w:val="28"/>
              </w:rPr>
              <w:t>1.3、供应商提供最少 3 个公网 IP 地址必须是全开放、无任何限制，以确保部署的门户网站及其它信息系统能被互联网用户顺利访问。</w:t>
            </w:r>
          </w:p>
          <w:p>
            <w:pPr>
              <w:pStyle w:val="null3"/>
            </w:pPr>
            <w:r>
              <w:rPr>
                <w:rFonts w:ascii="仿宋_GB2312" w:hAnsi="仿宋_GB2312" w:cs="仿宋_GB2312" w:eastAsia="仿宋_GB2312"/>
                <w:sz w:val="28"/>
              </w:rPr>
              <w:t>1.4、供应商必须具有通过自有网络资源实现网络安全防护的能力，以便于采购</w:t>
            </w:r>
            <w:r>
              <w:rPr>
                <w:rFonts w:ascii="仿宋_GB2312" w:hAnsi="仿宋_GB2312" w:cs="仿宋_GB2312" w:eastAsia="仿宋_GB2312"/>
                <w:sz w:val="28"/>
              </w:rPr>
              <w:t>人</w:t>
            </w:r>
            <w:r>
              <w:rPr>
                <w:rFonts w:ascii="仿宋_GB2312" w:hAnsi="仿宋_GB2312" w:cs="仿宋_GB2312" w:eastAsia="仿宋_GB2312"/>
                <w:sz w:val="28"/>
              </w:rPr>
              <w:t>在需要时通过付费方式及时获得服务。</w:t>
            </w:r>
          </w:p>
          <w:p>
            <w:pPr>
              <w:pStyle w:val="null3"/>
            </w:pPr>
            <w:r>
              <w:rPr>
                <w:rFonts w:ascii="仿宋_GB2312" w:hAnsi="仿宋_GB2312" w:cs="仿宋_GB2312" w:eastAsia="仿宋_GB2312"/>
                <w:sz w:val="28"/>
              </w:rPr>
              <w:t>1.5、供应商须提供中国互联网信息中心 CNNIC 发布的统计报告关于供应商(或所属电信运营商)拥有 IPV4 地址規模的证明材料，或 IPV4 地址规模证明材料，扫描件或复印件并加盖供应商公章。</w:t>
            </w:r>
          </w:p>
          <w:p>
            <w:pPr>
              <w:pStyle w:val="null3"/>
            </w:pPr>
            <w:r>
              <w:rPr>
                <w:rFonts w:ascii="仿宋_GB2312" w:hAnsi="仿宋_GB2312" w:cs="仿宋_GB2312" w:eastAsia="仿宋_GB2312"/>
                <w:sz w:val="28"/>
              </w:rPr>
              <w:t>1.6、供应商须提供中国互联网信息中心 CNNIC 发布的统计报告关于供应商(或所属电信运营商)拥有国际互联网出口总带宽的页面截图，或国际互联网出口总带宽证明材料，扫描件或复印件并加盖供应商公章。</w:t>
            </w:r>
          </w:p>
          <w:p>
            <w:pPr>
              <w:pStyle w:val="null3"/>
            </w:pPr>
            <w:r>
              <w:rPr>
                <w:rFonts w:ascii="仿宋_GB2312" w:hAnsi="仿宋_GB2312" w:cs="仿宋_GB2312" w:eastAsia="仿宋_GB2312"/>
                <w:sz w:val="28"/>
              </w:rPr>
              <w:t>2、云服务器要求</w:t>
            </w:r>
          </w:p>
          <w:p>
            <w:pPr>
              <w:pStyle w:val="null3"/>
            </w:pPr>
            <w:r>
              <w:rPr>
                <w:rFonts w:ascii="仿宋_GB2312" w:hAnsi="仿宋_GB2312" w:cs="仿宋_GB2312" w:eastAsia="仿宋_GB2312"/>
                <w:sz w:val="28"/>
              </w:rPr>
              <w:t>2.1、按内存不复用计算，云服务器支持 4 核 4GB、4 核 8GB、8 核 16G 等典型规格实例，需根据采购人需求灵活调整配置比例并提供相应实例。</w:t>
            </w:r>
          </w:p>
          <w:p>
            <w:pPr>
              <w:pStyle w:val="null3"/>
            </w:pPr>
            <w:r>
              <w:rPr>
                <w:rFonts w:ascii="仿宋_GB2312" w:hAnsi="仿宋_GB2312" w:cs="仿宋_GB2312" w:eastAsia="仿宋_GB2312"/>
                <w:sz w:val="28"/>
              </w:rPr>
              <w:t>2.2、当现有配置不满足要求时，用户可自主进行虚拟机配置快速升级，配置升级生效时间在 10 分钟以内。</w:t>
            </w:r>
          </w:p>
          <w:p>
            <w:pPr>
              <w:pStyle w:val="null3"/>
            </w:pPr>
            <w:r>
              <w:rPr>
                <w:rFonts w:ascii="仿宋_GB2312" w:hAnsi="仿宋_GB2312" w:cs="仿宋_GB2312" w:eastAsia="仿宋_GB2312"/>
                <w:sz w:val="28"/>
              </w:rPr>
              <w:t>2.3、支持整机备份，支持基于多云硬盘一致性快照技术的数据保护，可以将数据恢复到初始主机</w:t>
            </w:r>
            <w:r>
              <w:rPr>
                <w:rFonts w:ascii="仿宋_GB2312" w:hAnsi="仿宋_GB2312" w:cs="仿宋_GB2312" w:eastAsia="仿宋_GB2312"/>
                <w:sz w:val="28"/>
              </w:rPr>
              <w:t>。</w:t>
            </w:r>
          </w:p>
          <w:p>
            <w:pPr>
              <w:pStyle w:val="null3"/>
            </w:pPr>
            <w:r>
              <w:rPr>
                <w:rFonts w:ascii="仿宋_GB2312" w:hAnsi="仿宋_GB2312" w:cs="仿宋_GB2312" w:eastAsia="仿宋_GB2312"/>
                <w:sz w:val="28"/>
              </w:rPr>
              <w:t>3、云服务存储服务要求</w:t>
            </w:r>
          </w:p>
          <w:p>
            <w:pPr>
              <w:pStyle w:val="null3"/>
            </w:pPr>
            <w:r>
              <w:rPr>
                <w:rFonts w:ascii="仿宋_GB2312" w:hAnsi="仿宋_GB2312" w:cs="仿宋_GB2312" w:eastAsia="仿宋_GB2312"/>
                <w:sz w:val="28"/>
              </w:rPr>
              <w:t>3.1、数据可销毁性:供应商承诺在用户要求删除数据或设备在弃置、转售前必须将其所有数据彻底删除，且无法复原。</w:t>
            </w:r>
          </w:p>
          <w:p>
            <w:pPr>
              <w:pStyle w:val="null3"/>
            </w:pPr>
            <w:r>
              <w:rPr>
                <w:rFonts w:ascii="仿宋_GB2312" w:hAnsi="仿宋_GB2312" w:cs="仿宋_GB2312" w:eastAsia="仿宋_GB2312"/>
                <w:sz w:val="28"/>
              </w:rPr>
              <w:t>3.2、数据可迁移性:供应商承诺用户能够控制数据的迁移，保证启用或弃用该云服务时，数据能自由迁入和迁出。</w:t>
            </w:r>
          </w:p>
          <w:p>
            <w:pPr>
              <w:pStyle w:val="null3"/>
            </w:pPr>
            <w:r>
              <w:rPr>
                <w:rFonts w:ascii="仿宋_GB2312" w:hAnsi="仿宋_GB2312" w:cs="仿宋_GB2312" w:eastAsia="仿宋_GB2312"/>
                <w:sz w:val="28"/>
              </w:rPr>
              <w:t>3.3、提供 3 副本备份，多副本数据实时同步，保障数据安全可靠。</w:t>
            </w:r>
          </w:p>
          <w:p>
            <w:pPr>
              <w:pStyle w:val="null3"/>
            </w:pPr>
            <w:r>
              <w:rPr>
                <w:rFonts w:ascii="仿宋_GB2312" w:hAnsi="仿宋_GB2312" w:cs="仿宋_GB2312" w:eastAsia="仿宋_GB2312"/>
                <w:sz w:val="28"/>
              </w:rPr>
              <w:t>4、云服务负载均衡服务要求</w:t>
            </w:r>
            <w:r>
              <w:rPr>
                <w:rFonts w:ascii="仿宋_GB2312" w:hAnsi="仿宋_GB2312" w:cs="仿宋_GB2312" w:eastAsia="仿宋_GB2312"/>
                <w:sz w:val="28"/>
              </w:rPr>
              <w:t>：</w:t>
            </w:r>
            <w:r>
              <w:rPr>
                <w:rFonts w:ascii="仿宋_GB2312" w:hAnsi="仿宋_GB2312" w:cs="仿宋_GB2312" w:eastAsia="仿宋_GB2312"/>
                <w:sz w:val="28"/>
              </w:rPr>
              <w:t>单租户实例吞吐量和连接数可根据业务情况调整，最大并发连接数不低于</w:t>
            </w:r>
            <w:r>
              <w:rPr>
                <w:rFonts w:ascii="仿宋_GB2312" w:hAnsi="仿宋_GB2312" w:cs="仿宋_GB2312" w:eastAsia="仿宋_GB2312"/>
                <w:sz w:val="28"/>
              </w:rPr>
              <w:t>10 万，支持 TCP 协议的四层负载均衡和 HTTP 协议的七层负载均衡。</w:t>
            </w:r>
          </w:p>
          <w:p>
            <w:pPr>
              <w:pStyle w:val="null3"/>
            </w:pPr>
            <w:r>
              <w:rPr>
                <w:rFonts w:ascii="仿宋_GB2312" w:hAnsi="仿宋_GB2312" w:cs="仿宋_GB2312" w:eastAsia="仿宋_GB2312"/>
                <w:sz w:val="28"/>
              </w:rPr>
              <w:t>5、云服务集成与管理服务要求</w:t>
            </w:r>
          </w:p>
          <w:p>
            <w:pPr>
              <w:pStyle w:val="null3"/>
            </w:pPr>
            <w:r>
              <w:rPr>
                <w:rFonts w:ascii="仿宋_GB2312" w:hAnsi="仿宋_GB2312" w:cs="仿宋_GB2312" w:eastAsia="仿宋_GB2312"/>
                <w:sz w:val="28"/>
              </w:rPr>
              <w:t>5.1、云平台管理软件应兼容分布式平台主流虚拟化软件；支持主流操作系统；支持主流数据库。</w:t>
            </w:r>
          </w:p>
          <w:p>
            <w:pPr>
              <w:pStyle w:val="null3"/>
            </w:pPr>
            <w:r>
              <w:rPr>
                <w:rFonts w:ascii="仿宋_GB2312" w:hAnsi="仿宋_GB2312" w:cs="仿宋_GB2312" w:eastAsia="仿宋_GB2312"/>
                <w:sz w:val="28"/>
              </w:rPr>
              <w:t>5.2、云管理平台支持集群化管理，单个集群支持的物理主机数量≥100 台，单个集群支持的虚拟机数量≥5000</w:t>
            </w:r>
            <w:r>
              <w:rPr>
                <w:rFonts w:ascii="仿宋_GB2312" w:hAnsi="仿宋_GB2312" w:cs="仿宋_GB2312" w:eastAsia="仿宋_GB2312"/>
                <w:sz w:val="28"/>
              </w:rPr>
              <w:t>台</w:t>
            </w:r>
            <w:r>
              <w:rPr>
                <w:rFonts w:ascii="仿宋_GB2312" w:hAnsi="仿宋_GB2312" w:cs="仿宋_GB2312" w:eastAsia="仿宋_GB2312"/>
                <w:sz w:val="28"/>
              </w:rPr>
              <w:t>，支持在线集群扩容。</w:t>
            </w:r>
          </w:p>
          <w:p>
            <w:pPr>
              <w:pStyle w:val="null3"/>
            </w:pPr>
            <w:r>
              <w:rPr>
                <w:rFonts w:ascii="仿宋_GB2312" w:hAnsi="仿宋_GB2312" w:cs="仿宋_GB2312" w:eastAsia="仿宋_GB2312"/>
                <w:sz w:val="28"/>
              </w:rPr>
              <w:t>5.3、可靠性:解决异网上行问题，且网内发送成功率要保持在 97%以上；设备具有高可靠性和高稳定性，系统故障恢复时间＜30 分钟。</w:t>
            </w:r>
          </w:p>
          <w:p>
            <w:pPr>
              <w:pStyle w:val="null3"/>
            </w:pPr>
            <w:r>
              <w:rPr>
                <w:rFonts w:ascii="仿宋_GB2312" w:hAnsi="仿宋_GB2312" w:cs="仿宋_GB2312" w:eastAsia="仿宋_GB2312"/>
                <w:sz w:val="28"/>
              </w:rPr>
              <w:t>5.4、平台需要提供多租户服务的能力并能够安现 IP 及策略不变情况下的业务迁移。</w:t>
            </w:r>
          </w:p>
          <w:p>
            <w:pPr>
              <w:pStyle w:val="null3"/>
            </w:pPr>
            <w:r>
              <w:rPr>
                <w:rFonts w:ascii="仿宋_GB2312" w:hAnsi="仿宋_GB2312" w:cs="仿宋_GB2312" w:eastAsia="仿宋_GB2312"/>
                <w:sz w:val="28"/>
              </w:rPr>
              <w:t>5.5、云平台需要支持提供租户自主创建独立的虚拟数据中心，实现租户间资源隔离，能够在各自的虚拟数据中心中自主部署网络安全策略。</w:t>
            </w:r>
          </w:p>
          <w:p>
            <w:pPr>
              <w:pStyle w:val="null3"/>
            </w:pPr>
            <w:r>
              <w:rPr>
                <w:rFonts w:ascii="仿宋_GB2312" w:hAnsi="仿宋_GB2312" w:cs="仿宋_GB2312" w:eastAsia="仿宋_GB2312"/>
                <w:sz w:val="28"/>
              </w:rPr>
              <w:t>6、云备份要求</w:t>
            </w:r>
          </w:p>
          <w:p>
            <w:pPr>
              <w:pStyle w:val="null3"/>
            </w:pPr>
            <w:r>
              <w:rPr>
                <w:rFonts w:ascii="仿宋_GB2312" w:hAnsi="仿宋_GB2312" w:cs="仿宋_GB2312" w:eastAsia="仿宋_GB2312"/>
                <w:sz w:val="28"/>
              </w:rPr>
              <w:t>6.1、支持对云硬盘的手动、自动备份，查询、删除备份，备份第一次进行全量备份，之后进行增量备份。</w:t>
            </w:r>
          </w:p>
          <w:p>
            <w:pPr>
              <w:pStyle w:val="null3"/>
            </w:pPr>
            <w:r>
              <w:rPr>
                <w:rFonts w:ascii="仿宋_GB2312" w:hAnsi="仿宋_GB2312" w:cs="仿宋_GB2312" w:eastAsia="仿宋_GB2312"/>
                <w:sz w:val="28"/>
              </w:rPr>
              <w:t>6.2、支持数据压缩，以节省备份空间，压缩功能默认开启。</w:t>
            </w:r>
          </w:p>
          <w:p>
            <w:pPr>
              <w:pStyle w:val="null3"/>
            </w:pPr>
            <w:r>
              <w:rPr>
                <w:rFonts w:ascii="仿宋_GB2312" w:hAnsi="仿宋_GB2312" w:cs="仿宋_GB2312" w:eastAsia="仿宋_GB2312"/>
                <w:sz w:val="28"/>
              </w:rPr>
              <w:t>6.3、支持备份策略，可以按周期设定一天某个时间点执行备份任务，支持查看备份任务状态，同一任务最多保留14个备份。</w:t>
            </w:r>
          </w:p>
          <w:p>
            <w:pPr>
              <w:pStyle w:val="null3"/>
            </w:pPr>
            <w:r>
              <w:rPr>
                <w:rFonts w:ascii="仿宋_GB2312" w:hAnsi="仿宋_GB2312" w:cs="仿宋_GB2312" w:eastAsia="仿宋_GB2312"/>
                <w:sz w:val="28"/>
              </w:rPr>
              <w:t>6.4、支持云主机整机备份，支持基于多云硬盘一致性快照技术的数据保护，可以将数据恢复到初始主机。</w:t>
            </w:r>
          </w:p>
          <w:p>
            <w:pPr>
              <w:pStyle w:val="null3"/>
            </w:pPr>
            <w:r>
              <w:rPr>
                <w:rFonts w:ascii="仿宋_GB2312" w:hAnsi="仿宋_GB2312" w:cs="仿宋_GB2312" w:eastAsia="仿宋_GB2312"/>
                <w:sz w:val="28"/>
              </w:rPr>
              <w:t>6.5、支持备份恢复，备份数据与云硬盘存储系统物理隔离，独立的一套存储系统，保证数据可靠性，备份数据持久性达到99.999999999%。</w:t>
            </w:r>
          </w:p>
          <w:p>
            <w:pPr>
              <w:pStyle w:val="null3"/>
            </w:pPr>
            <w:r>
              <w:rPr>
                <w:rFonts w:ascii="仿宋_GB2312" w:hAnsi="仿宋_GB2312" w:cs="仿宋_GB2312" w:eastAsia="仿宋_GB2312"/>
                <w:sz w:val="28"/>
              </w:rPr>
              <w:t>6.6、支持对文件存储进行备份。</w:t>
            </w:r>
          </w:p>
          <w:p>
            <w:pPr>
              <w:pStyle w:val="null3"/>
            </w:pPr>
            <w:r>
              <w:rPr>
                <w:rFonts w:ascii="仿宋_GB2312" w:hAnsi="仿宋_GB2312" w:cs="仿宋_GB2312" w:eastAsia="仿宋_GB2312"/>
                <w:sz w:val="28"/>
              </w:rPr>
              <w:t>7、云存储要求</w:t>
            </w:r>
          </w:p>
          <w:p>
            <w:pPr>
              <w:pStyle w:val="null3"/>
            </w:pPr>
            <w:r>
              <w:rPr>
                <w:rFonts w:ascii="仿宋_GB2312" w:hAnsi="仿宋_GB2312" w:cs="仿宋_GB2312" w:eastAsia="仿宋_GB2312"/>
                <w:sz w:val="28"/>
              </w:rPr>
              <w:t>7.1、支持按需灵活扩容，支持多类型文件存储。</w:t>
            </w:r>
          </w:p>
          <w:p>
            <w:pPr>
              <w:pStyle w:val="null3"/>
            </w:pPr>
            <w:r>
              <w:rPr>
                <w:rFonts w:ascii="仿宋_GB2312" w:hAnsi="仿宋_GB2312" w:cs="仿宋_GB2312" w:eastAsia="仿宋_GB2312"/>
                <w:sz w:val="28"/>
              </w:rPr>
              <w:t>7.2、数据传输全链路加密，租户间数据相互隔离。</w:t>
            </w:r>
          </w:p>
          <w:p>
            <w:pPr>
              <w:pStyle w:val="null3"/>
            </w:pPr>
            <w:r>
              <w:rPr>
                <w:rFonts w:ascii="仿宋_GB2312" w:hAnsi="仿宋_GB2312" w:cs="仿宋_GB2312" w:eastAsia="仿宋_GB2312"/>
                <w:sz w:val="28"/>
              </w:rPr>
              <w:t>8</w:t>
            </w:r>
            <w:r>
              <w:rPr>
                <w:rFonts w:ascii="仿宋_GB2312" w:hAnsi="仿宋_GB2312" w:cs="仿宋_GB2312" w:eastAsia="仿宋_GB2312"/>
                <w:sz w:val="28"/>
              </w:rPr>
              <w:t>、</w:t>
            </w:r>
            <w:r>
              <w:rPr>
                <w:rFonts w:ascii="仿宋_GB2312" w:hAnsi="仿宋_GB2312" w:cs="仿宋_GB2312" w:eastAsia="仿宋_GB2312"/>
                <w:sz w:val="28"/>
              </w:rPr>
              <w:t>云防火墙要求：云防火墙功能包含但不限于应用访问控制，</w:t>
            </w:r>
            <w:r>
              <w:rPr>
                <w:rFonts w:ascii="仿宋_GB2312" w:hAnsi="仿宋_GB2312" w:cs="仿宋_GB2312" w:eastAsia="仿宋_GB2312"/>
                <w:sz w:val="28"/>
              </w:rPr>
              <w:t>Web应用基础防护、威胁发现、威胁处置、识别攻击等</w:t>
            </w:r>
            <w:r>
              <w:rPr>
                <w:rFonts w:ascii="仿宋_GB2312" w:hAnsi="仿宋_GB2312" w:cs="仿宋_GB2312" w:eastAsia="仿宋_GB2312"/>
                <w:sz w:val="28"/>
              </w:rPr>
              <w:t>。</w:t>
            </w:r>
          </w:p>
          <w:p>
            <w:pPr>
              <w:pStyle w:val="null3"/>
            </w:pPr>
            <w:r>
              <w:rPr>
                <w:rFonts w:ascii="仿宋_GB2312" w:hAnsi="仿宋_GB2312" w:cs="仿宋_GB2312" w:eastAsia="仿宋_GB2312"/>
                <w:sz w:val="28"/>
              </w:rPr>
              <w:t>9、云日志审计要求：云日志审计支持从不同设备或系统获取日志，能进行事件类别、等级分级定义；支持对网络、安全、应用等日志进行处理。</w:t>
            </w:r>
          </w:p>
          <w:p>
            <w:pPr>
              <w:pStyle w:val="null3"/>
            </w:pPr>
            <w:r>
              <w:rPr>
                <w:rFonts w:ascii="仿宋_GB2312" w:hAnsi="仿宋_GB2312" w:cs="仿宋_GB2312" w:eastAsia="仿宋_GB2312"/>
                <w:sz w:val="28"/>
              </w:rPr>
              <w:t>10、安全中心要求</w:t>
            </w:r>
          </w:p>
          <w:p>
            <w:pPr>
              <w:pStyle w:val="null3"/>
            </w:pPr>
            <w:r>
              <w:rPr>
                <w:rFonts w:ascii="仿宋_GB2312" w:hAnsi="仿宋_GB2312" w:cs="仿宋_GB2312" w:eastAsia="仿宋_GB2312"/>
                <w:sz w:val="28"/>
              </w:rPr>
              <w:t>10.1、支持统一安全管理和监控，支持安全动态总览、安全风险分析、威胁告警分析，可生成安全报告。</w:t>
            </w:r>
          </w:p>
          <w:p>
            <w:pPr>
              <w:pStyle w:val="null3"/>
            </w:pPr>
            <w:r>
              <w:rPr>
                <w:rFonts w:ascii="仿宋_GB2312" w:hAnsi="仿宋_GB2312" w:cs="仿宋_GB2312" w:eastAsia="仿宋_GB2312"/>
                <w:sz w:val="28"/>
              </w:rPr>
              <w:t>10.2、支持安全运维检查、安全漏洞扫描。</w:t>
            </w:r>
          </w:p>
          <w:tbl>
            <w:tblPr>
              <w:tblInd w:type="dxa" w:w="120"/>
              <w:tblBorders>
                <w:top w:val="none" w:color="000000" w:sz="4"/>
                <w:left w:val="none" w:color="000000" w:sz="4"/>
                <w:bottom w:val="none" w:color="000000" w:sz="4"/>
                <w:right w:val="none" w:color="000000" w:sz="4"/>
                <w:insideH w:val="none"/>
                <w:insideV w:val="none"/>
              </w:tblBorders>
            </w:tblPr>
            <w:tblGrid>
              <w:gridCol w:w="148"/>
              <w:gridCol w:w="148"/>
              <w:gridCol w:w="672"/>
              <w:gridCol w:w="1112"/>
              <w:gridCol w:w="473"/>
            </w:tblGrid>
            <w:tr>
              <w:tc>
                <w:tcPr>
                  <w:tcW w:type="dxa" w:w="2553"/>
                  <w:gridSpan w:val="5"/>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b/>
                    </w:rPr>
                    <w:t>光纤专线技术规范要求</w:t>
                  </w:r>
                </w:p>
              </w:tc>
            </w:tr>
            <w:tr>
              <w:tc>
                <w:tcPr>
                  <w:tcW w:type="dxa" w:w="14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1</w:t>
                  </w:r>
                </w:p>
              </w:tc>
              <w:tc>
                <w:tcPr>
                  <w:tcW w:type="dxa" w:w="148"/>
                  <w:vMerge w:val="restart"/>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线路</w:t>
                  </w:r>
                </w:p>
              </w:tc>
              <w:tc>
                <w:tcPr>
                  <w:tcW w:type="dxa" w:w="67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接入</w:t>
                  </w:r>
                </w:p>
              </w:tc>
              <w:tc>
                <w:tcPr>
                  <w:tcW w:type="dxa" w:w="11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光纤专线</w:t>
                  </w:r>
                </w:p>
              </w:tc>
              <w:tc>
                <w:tcPr>
                  <w:tcW w:type="dxa" w:w="47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指标说明</w:t>
                  </w:r>
                </w:p>
              </w:tc>
            </w:tr>
            <w:tr>
              <w:tc>
                <w:tcPr>
                  <w:tcW w:type="dxa" w:w="14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2</w:t>
                  </w:r>
                </w:p>
              </w:tc>
              <w:tc>
                <w:tcPr>
                  <w:tcW w:type="dxa" w:w="148"/>
                  <w:vMerge/>
                  <w:tcBorders>
                    <w:top w:val="none" w:color="000000" w:sz="4"/>
                    <w:left w:val="none" w:color="000000" w:sz="4"/>
                    <w:bottom w:val="single" w:color="000000" w:sz="8"/>
                    <w:right w:val="single" w:color="000000" w:sz="8"/>
                  </w:tcBorders>
                </w:tcPr>
                <w:p/>
              </w:tc>
              <w:tc>
                <w:tcPr>
                  <w:tcW w:type="dxa" w:w="67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带宽</w:t>
                  </w:r>
                </w:p>
              </w:tc>
              <w:tc>
                <w:tcPr>
                  <w:tcW w:type="dxa" w:w="11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1GB</w:t>
                  </w:r>
                </w:p>
              </w:tc>
              <w:tc>
                <w:tcPr>
                  <w:tcW w:type="dxa" w:w="47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1GB</w:t>
                  </w:r>
                </w:p>
              </w:tc>
            </w:tr>
            <w:tr>
              <w:tc>
                <w:tcPr>
                  <w:tcW w:type="dxa" w:w="14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3</w:t>
                  </w:r>
                </w:p>
              </w:tc>
              <w:tc>
                <w:tcPr>
                  <w:tcW w:type="dxa" w:w="148"/>
                  <w:vMerge/>
                  <w:tcBorders>
                    <w:top w:val="none" w:color="000000" w:sz="4"/>
                    <w:left w:val="none" w:color="000000" w:sz="4"/>
                    <w:bottom w:val="single" w:color="000000" w:sz="8"/>
                    <w:right w:val="single" w:color="000000" w:sz="8"/>
                  </w:tcBorders>
                </w:tcPr>
                <w:p/>
              </w:tc>
              <w:tc>
                <w:tcPr>
                  <w:tcW w:type="dxa" w:w="67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接口标准</w:t>
                  </w:r>
                </w:p>
              </w:tc>
              <w:tc>
                <w:tcPr>
                  <w:tcW w:type="dxa" w:w="11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IEEE 802.3z Ethernet</w:t>
                  </w:r>
                </w:p>
              </w:tc>
              <w:tc>
                <w:tcPr>
                  <w:tcW w:type="dxa" w:w="47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光口</w:t>
                  </w:r>
                </w:p>
              </w:tc>
            </w:tr>
            <w:tr>
              <w:tc>
                <w:tcPr>
                  <w:tcW w:type="dxa" w:w="14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4</w:t>
                  </w:r>
                </w:p>
              </w:tc>
              <w:tc>
                <w:tcPr>
                  <w:tcW w:type="dxa" w:w="148"/>
                  <w:vMerge/>
                  <w:tcBorders>
                    <w:top w:val="none" w:color="000000" w:sz="4"/>
                    <w:left w:val="none" w:color="000000" w:sz="4"/>
                    <w:bottom w:val="single" w:color="000000" w:sz="8"/>
                    <w:right w:val="single" w:color="000000" w:sz="8"/>
                  </w:tcBorders>
                </w:tcPr>
                <w:p/>
              </w:tc>
              <w:tc>
                <w:tcPr>
                  <w:tcW w:type="dxa" w:w="67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物理接口速率</w:t>
                  </w:r>
                </w:p>
              </w:tc>
              <w:tc>
                <w:tcPr>
                  <w:tcW w:type="dxa" w:w="11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RJ45</w:t>
                  </w:r>
                </w:p>
              </w:tc>
              <w:tc>
                <w:tcPr>
                  <w:tcW w:type="dxa" w:w="47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RJ45</w:t>
                  </w:r>
                </w:p>
              </w:tc>
            </w:tr>
            <w:tr>
              <w:tc>
                <w:tcPr>
                  <w:tcW w:type="dxa" w:w="14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5</w:t>
                  </w:r>
                </w:p>
              </w:tc>
              <w:tc>
                <w:tcPr>
                  <w:tcW w:type="dxa" w:w="148"/>
                  <w:vMerge/>
                  <w:tcBorders>
                    <w:top w:val="none" w:color="000000" w:sz="4"/>
                    <w:left w:val="none" w:color="000000" w:sz="4"/>
                    <w:bottom w:val="single" w:color="000000" w:sz="8"/>
                    <w:right w:val="single" w:color="000000" w:sz="8"/>
                  </w:tcBorders>
                </w:tcPr>
                <w:p/>
              </w:tc>
              <w:tc>
                <w:tcPr>
                  <w:tcW w:type="dxa" w:w="67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国际互联网</w:t>
                  </w:r>
                </w:p>
                <w:p>
                  <w:pPr>
                    <w:pStyle w:val="null3"/>
                  </w:pPr>
                  <w:r>
                    <w:rPr>
                      <w:rFonts w:ascii="仿宋_GB2312" w:hAnsi="仿宋_GB2312" w:cs="仿宋_GB2312" w:eastAsia="仿宋_GB2312"/>
                      <w:sz w:val="28"/>
                    </w:rPr>
                    <w:t>IP静态地址</w:t>
                  </w:r>
                </w:p>
              </w:tc>
              <w:tc>
                <w:tcPr>
                  <w:tcW w:type="dxa" w:w="11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3个</w:t>
                  </w:r>
                </w:p>
              </w:tc>
              <w:tc>
                <w:tcPr>
                  <w:tcW w:type="dxa" w:w="47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p>
              </w:tc>
            </w:tr>
            <w:tr>
              <w:tc>
                <w:tcPr>
                  <w:tcW w:type="dxa" w:w="14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6</w:t>
                  </w:r>
                </w:p>
              </w:tc>
              <w:tc>
                <w:tcPr>
                  <w:tcW w:type="dxa" w:w="148"/>
                  <w:vMerge/>
                  <w:tcBorders>
                    <w:top w:val="none" w:color="000000" w:sz="4"/>
                    <w:left w:val="none" w:color="000000" w:sz="4"/>
                    <w:bottom w:val="single" w:color="000000" w:sz="8"/>
                    <w:right w:val="single" w:color="000000" w:sz="8"/>
                  </w:tcBorders>
                </w:tcPr>
                <w:p/>
              </w:tc>
              <w:tc>
                <w:tcPr>
                  <w:tcW w:type="dxa" w:w="67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接口实测速率</w:t>
                  </w:r>
                </w:p>
              </w:tc>
              <w:tc>
                <w:tcPr>
                  <w:tcW w:type="dxa" w:w="11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≥接口理论速率×90%</w:t>
                  </w:r>
                </w:p>
              </w:tc>
              <w:tc>
                <w:tcPr>
                  <w:tcW w:type="dxa" w:w="47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p>
              </w:tc>
            </w:tr>
            <w:tr>
              <w:tc>
                <w:tcPr>
                  <w:tcW w:type="dxa" w:w="14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7</w:t>
                  </w:r>
                </w:p>
              </w:tc>
              <w:tc>
                <w:tcPr>
                  <w:tcW w:type="dxa" w:w="148"/>
                  <w:vMerge/>
                  <w:tcBorders>
                    <w:top w:val="none" w:color="000000" w:sz="4"/>
                    <w:left w:val="none" w:color="000000" w:sz="4"/>
                    <w:bottom w:val="single" w:color="000000" w:sz="8"/>
                    <w:right w:val="single" w:color="000000" w:sz="8"/>
                  </w:tcBorders>
                </w:tcPr>
                <w:p/>
              </w:tc>
              <w:tc>
                <w:tcPr>
                  <w:tcW w:type="dxa" w:w="67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上下行速率差</w:t>
                  </w:r>
                </w:p>
              </w:tc>
              <w:tc>
                <w:tcPr>
                  <w:tcW w:type="dxa" w:w="11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上行速率</w:t>
                  </w:r>
                  <w:r>
                    <w:rPr>
                      <w:rFonts w:ascii="仿宋_GB2312" w:hAnsi="仿宋_GB2312" w:cs="仿宋_GB2312" w:eastAsia="仿宋_GB2312"/>
                      <w:sz w:val="28"/>
                    </w:rPr>
                    <w:t>≥下行速率×99%</w:t>
                  </w:r>
                </w:p>
              </w:tc>
              <w:tc>
                <w:tcPr>
                  <w:tcW w:type="dxa" w:w="47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p>
              </w:tc>
            </w:tr>
            <w:tr>
              <w:tc>
                <w:tcPr>
                  <w:tcW w:type="dxa" w:w="14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8</w:t>
                  </w:r>
                </w:p>
              </w:tc>
              <w:tc>
                <w:tcPr>
                  <w:tcW w:type="dxa" w:w="148"/>
                  <w:vMerge/>
                  <w:tcBorders>
                    <w:top w:val="none" w:color="000000" w:sz="4"/>
                    <w:left w:val="none" w:color="000000" w:sz="4"/>
                    <w:bottom w:val="single" w:color="000000" w:sz="8"/>
                    <w:right w:val="single" w:color="000000" w:sz="8"/>
                  </w:tcBorders>
                </w:tcPr>
                <w:p/>
              </w:tc>
              <w:tc>
                <w:tcPr>
                  <w:tcW w:type="dxa" w:w="67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年中断次数</w:t>
                  </w:r>
                </w:p>
              </w:tc>
              <w:tc>
                <w:tcPr>
                  <w:tcW w:type="dxa" w:w="11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≤4</w:t>
                  </w:r>
                </w:p>
              </w:tc>
              <w:tc>
                <w:tcPr>
                  <w:tcW w:type="dxa" w:w="47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p>
              </w:tc>
            </w:tr>
            <w:tr>
              <w:tc>
                <w:tcPr>
                  <w:tcW w:type="dxa" w:w="14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9</w:t>
                  </w:r>
                </w:p>
              </w:tc>
              <w:tc>
                <w:tcPr>
                  <w:tcW w:type="dxa" w:w="148"/>
                  <w:vMerge w:val="restart"/>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服务</w:t>
                  </w:r>
                </w:p>
              </w:tc>
              <w:tc>
                <w:tcPr>
                  <w:tcW w:type="dxa" w:w="67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故障处理时间</w:t>
                  </w:r>
                </w:p>
              </w:tc>
              <w:tc>
                <w:tcPr>
                  <w:tcW w:type="dxa" w:w="11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响应时间</w:t>
                  </w:r>
                  <w:r>
                    <w:rPr>
                      <w:rFonts w:ascii="仿宋_GB2312" w:hAnsi="仿宋_GB2312" w:cs="仿宋_GB2312" w:eastAsia="仿宋_GB2312"/>
                      <w:sz w:val="28"/>
                    </w:rPr>
                    <w:t>≤30min</w:t>
                  </w:r>
                </w:p>
                <w:p>
                  <w:pPr>
                    <w:pStyle w:val="null3"/>
                  </w:pPr>
                  <w:r>
                    <w:rPr>
                      <w:rFonts w:ascii="仿宋_GB2312" w:hAnsi="仿宋_GB2312" w:cs="仿宋_GB2312" w:eastAsia="仿宋_GB2312"/>
                      <w:sz w:val="28"/>
                    </w:rPr>
                    <w:t>排除时间</w:t>
                  </w:r>
                  <w:r>
                    <w:rPr>
                      <w:rFonts w:ascii="仿宋_GB2312" w:hAnsi="仿宋_GB2312" w:cs="仿宋_GB2312" w:eastAsia="仿宋_GB2312"/>
                      <w:sz w:val="28"/>
                    </w:rPr>
                    <w:t>≤4h</w:t>
                  </w:r>
                </w:p>
              </w:tc>
              <w:tc>
                <w:tcPr>
                  <w:tcW w:type="dxa" w:w="47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p>
              </w:tc>
            </w:tr>
            <w:tr>
              <w:tc>
                <w:tcPr>
                  <w:tcW w:type="dxa" w:w="148"/>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10</w:t>
                  </w:r>
                </w:p>
              </w:tc>
              <w:tc>
                <w:tcPr>
                  <w:tcW w:type="dxa" w:w="148"/>
                  <w:vMerge/>
                  <w:tcBorders>
                    <w:top w:val="none" w:color="000000" w:sz="4"/>
                    <w:left w:val="none" w:color="000000" w:sz="4"/>
                    <w:bottom w:val="single" w:color="000000" w:sz="8"/>
                    <w:right w:val="single" w:color="000000" w:sz="8"/>
                  </w:tcBorders>
                </w:tcPr>
                <w:p/>
              </w:tc>
              <w:tc>
                <w:tcPr>
                  <w:tcW w:type="dxa" w:w="67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线路开通时间</w:t>
                  </w:r>
                </w:p>
              </w:tc>
              <w:tc>
                <w:tcPr>
                  <w:tcW w:type="dxa" w:w="111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8"/>
                    </w:rPr>
                    <w:t>20个工作日</w:t>
                  </w:r>
                </w:p>
              </w:tc>
              <w:tc>
                <w:tcPr>
                  <w:tcW w:type="dxa" w:w="47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pPr>
                  <w:r>
                    <w:rPr>
                      <w:rFonts w:ascii="仿宋_GB2312" w:hAnsi="仿宋_GB2312" w:cs="仿宋_GB2312" w:eastAsia="仿宋_GB2312"/>
                      <w:sz w:val="21"/>
                    </w:rPr>
                    <w:t xml:space="preserve"> </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b/>
              </w:rPr>
              <w:t>工作内容</w:t>
            </w:r>
          </w:p>
          <w:p>
            <w:pPr>
              <w:pStyle w:val="null3"/>
              <w:jc w:val="both"/>
            </w:pPr>
            <w:r>
              <w:rPr>
                <w:rFonts w:ascii="仿宋_GB2312" w:hAnsi="仿宋_GB2312" w:cs="仿宋_GB2312" w:eastAsia="仿宋_GB2312"/>
                <w:sz w:val="28"/>
              </w:rPr>
              <w:t>1.云主机</w:t>
            </w:r>
          </w:p>
          <w:tbl>
            <w:tblPr>
              <w:tblBorders>
                <w:top w:val="none" w:color="000000" w:sz="4"/>
                <w:left w:val="none" w:color="000000" w:sz="4"/>
                <w:bottom w:val="none" w:color="000000" w:sz="4"/>
                <w:right w:val="none" w:color="000000" w:sz="4"/>
                <w:insideH w:val="none"/>
                <w:insideV w:val="none"/>
              </w:tblBorders>
            </w:tblPr>
            <w:tblGrid>
              <w:gridCol w:w="304"/>
              <w:gridCol w:w="235"/>
              <w:gridCol w:w="193"/>
              <w:gridCol w:w="382"/>
              <w:gridCol w:w="354"/>
              <w:gridCol w:w="525"/>
              <w:gridCol w:w="543"/>
            </w:tblGrid>
            <w:tr>
              <w:tc>
                <w:tcPr>
                  <w:tcW w:type="dxa" w:w="304"/>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235"/>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vcpu</w:t>
                  </w:r>
                </w:p>
              </w:tc>
              <w:tc>
                <w:tcPr>
                  <w:tcW w:type="dxa" w:w="193"/>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内存</w:t>
                  </w:r>
                </w:p>
              </w:tc>
              <w:tc>
                <w:tcPr>
                  <w:tcW w:type="dxa" w:w="382"/>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系统盘</w:t>
                  </w:r>
                  <w:r>
                    <w:rPr>
                      <w:rFonts w:ascii="仿宋_GB2312" w:hAnsi="仿宋_GB2312" w:cs="仿宋_GB2312" w:eastAsia="仿宋_GB2312"/>
                      <w:sz w:val="28"/>
                      <w:b/>
                    </w:rPr>
                    <w:t>SAS（GB）</w:t>
                  </w:r>
                </w:p>
              </w:tc>
              <w:tc>
                <w:tcPr>
                  <w:tcW w:type="dxa" w:w="354"/>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数据盘</w:t>
                  </w:r>
                  <w:r>
                    <w:rPr>
                      <w:rFonts w:ascii="仿宋_GB2312" w:hAnsi="仿宋_GB2312" w:cs="仿宋_GB2312" w:eastAsia="仿宋_GB2312"/>
                      <w:sz w:val="28"/>
                      <w:b/>
                    </w:rPr>
                    <w:t>SAS（GB）</w:t>
                  </w:r>
                </w:p>
              </w:tc>
              <w:tc>
                <w:tcPr>
                  <w:tcW w:type="dxa" w:w="525"/>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带宽（</w:t>
                  </w:r>
                  <w:r>
                    <w:rPr>
                      <w:rFonts w:ascii="仿宋_GB2312" w:hAnsi="仿宋_GB2312" w:cs="仿宋_GB2312" w:eastAsia="仿宋_GB2312"/>
                      <w:sz w:val="28"/>
                      <w:b/>
                    </w:rPr>
                    <w:t>M）</w:t>
                  </w:r>
                </w:p>
              </w:tc>
              <w:tc>
                <w:tcPr>
                  <w:tcW w:type="dxa" w:w="543"/>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备注</w:t>
                  </w:r>
                </w:p>
              </w:tc>
            </w:tr>
            <w:tr>
              <w:tc>
                <w:tcPr>
                  <w:tcW w:type="dxa" w:w="30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云主机</w:t>
                  </w:r>
                </w:p>
              </w:tc>
              <w:tc>
                <w:tcPr>
                  <w:tcW w:type="dxa" w:w="23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16</w:t>
                  </w:r>
                </w:p>
              </w:tc>
              <w:tc>
                <w:tcPr>
                  <w:tcW w:type="dxa" w:w="19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128</w:t>
                  </w:r>
                </w:p>
              </w:tc>
              <w:tc>
                <w:tcPr>
                  <w:tcW w:type="dxa" w:w="38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80</w:t>
                  </w:r>
                </w:p>
              </w:tc>
              <w:tc>
                <w:tcPr>
                  <w:tcW w:type="dxa" w:w="35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8000</w:t>
                  </w:r>
                </w:p>
              </w:tc>
              <w:tc>
                <w:tcPr>
                  <w:tcW w:type="dxa" w:w="525"/>
                  <w:vMerge w:val="restart"/>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100M共享带宽</w:t>
                  </w:r>
                </w:p>
              </w:tc>
              <w:tc>
                <w:tcPr>
                  <w:tcW w:type="dxa" w:w="543"/>
                  <w:vMerge w:val="restart"/>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数据盘是弹性盘</w:t>
                  </w:r>
                </w:p>
              </w:tc>
            </w:tr>
            <w:tr>
              <w:tc>
                <w:tcPr>
                  <w:tcW w:type="dxa" w:w="30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云主机</w:t>
                  </w:r>
                </w:p>
              </w:tc>
              <w:tc>
                <w:tcPr>
                  <w:tcW w:type="dxa" w:w="23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16</w:t>
                  </w:r>
                </w:p>
              </w:tc>
              <w:tc>
                <w:tcPr>
                  <w:tcW w:type="dxa" w:w="19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32</w:t>
                  </w:r>
                </w:p>
              </w:tc>
              <w:tc>
                <w:tcPr>
                  <w:tcW w:type="dxa" w:w="38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80</w:t>
                  </w:r>
                </w:p>
              </w:tc>
              <w:tc>
                <w:tcPr>
                  <w:tcW w:type="dxa" w:w="35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3000</w:t>
                  </w:r>
                </w:p>
              </w:tc>
              <w:tc>
                <w:tcPr>
                  <w:tcW w:type="dxa" w:w="525"/>
                  <w:vMerge/>
                  <w:tcBorders>
                    <w:top w:val="none" w:color="000000" w:sz="4"/>
                    <w:left w:val="none" w:color="000000" w:sz="4"/>
                    <w:bottom w:val="single" w:color="000000" w:sz="8"/>
                    <w:right w:val="single" w:color="000000" w:sz="8"/>
                  </w:tcBorders>
                </w:tcPr>
                <w:p/>
              </w:tc>
              <w:tc>
                <w:tcPr>
                  <w:tcW w:type="dxa" w:w="543"/>
                  <w:vMerge/>
                  <w:tcBorders>
                    <w:top w:val="none" w:color="000000" w:sz="4"/>
                    <w:left w:val="none" w:color="000000" w:sz="4"/>
                    <w:bottom w:val="single" w:color="000000" w:sz="8"/>
                    <w:right w:val="single" w:color="000000" w:sz="8"/>
                  </w:tcBorders>
                </w:tcPr>
                <w:p/>
              </w:tc>
            </w:tr>
            <w:tr>
              <w:tc>
                <w:tcPr>
                  <w:tcW w:type="dxa" w:w="30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云主机</w:t>
                  </w:r>
                </w:p>
              </w:tc>
              <w:tc>
                <w:tcPr>
                  <w:tcW w:type="dxa" w:w="23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19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16</w:t>
                  </w:r>
                </w:p>
              </w:tc>
              <w:tc>
                <w:tcPr>
                  <w:tcW w:type="dxa" w:w="38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40</w:t>
                  </w:r>
                </w:p>
              </w:tc>
              <w:tc>
                <w:tcPr>
                  <w:tcW w:type="dxa" w:w="35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1000</w:t>
                  </w:r>
                </w:p>
              </w:tc>
              <w:tc>
                <w:tcPr>
                  <w:tcW w:type="dxa" w:w="525"/>
                  <w:vMerge/>
                  <w:tcBorders>
                    <w:top w:val="none" w:color="000000" w:sz="4"/>
                    <w:left w:val="none" w:color="000000" w:sz="4"/>
                    <w:bottom w:val="single" w:color="000000" w:sz="8"/>
                    <w:right w:val="single" w:color="000000" w:sz="8"/>
                  </w:tcBorders>
                </w:tcPr>
                <w:p/>
              </w:tc>
              <w:tc>
                <w:tcPr>
                  <w:tcW w:type="dxa" w:w="543"/>
                  <w:vMerge/>
                  <w:tcBorders>
                    <w:top w:val="none" w:color="000000" w:sz="4"/>
                    <w:left w:val="none" w:color="000000" w:sz="4"/>
                    <w:bottom w:val="single" w:color="000000" w:sz="8"/>
                    <w:right w:val="single" w:color="000000" w:sz="8"/>
                  </w:tcBorders>
                </w:tcPr>
                <w:p/>
              </w:tc>
            </w:tr>
            <w:tr>
              <w:tc>
                <w:tcPr>
                  <w:tcW w:type="dxa" w:w="30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云主机</w:t>
                  </w:r>
                </w:p>
              </w:tc>
              <w:tc>
                <w:tcPr>
                  <w:tcW w:type="dxa" w:w="23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19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16</w:t>
                  </w:r>
                </w:p>
              </w:tc>
              <w:tc>
                <w:tcPr>
                  <w:tcW w:type="dxa" w:w="38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40</w:t>
                  </w:r>
                </w:p>
              </w:tc>
              <w:tc>
                <w:tcPr>
                  <w:tcW w:type="dxa" w:w="35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1000</w:t>
                  </w:r>
                </w:p>
              </w:tc>
              <w:tc>
                <w:tcPr>
                  <w:tcW w:type="dxa" w:w="525"/>
                  <w:vMerge/>
                  <w:tcBorders>
                    <w:top w:val="none" w:color="000000" w:sz="4"/>
                    <w:left w:val="none" w:color="000000" w:sz="4"/>
                    <w:bottom w:val="single" w:color="000000" w:sz="8"/>
                    <w:right w:val="single" w:color="000000" w:sz="8"/>
                  </w:tcBorders>
                </w:tcPr>
                <w:p/>
              </w:tc>
              <w:tc>
                <w:tcPr>
                  <w:tcW w:type="dxa" w:w="543"/>
                  <w:vMerge/>
                  <w:tcBorders>
                    <w:top w:val="none" w:color="000000" w:sz="4"/>
                    <w:left w:val="none" w:color="000000" w:sz="4"/>
                    <w:bottom w:val="single" w:color="000000" w:sz="8"/>
                    <w:right w:val="single" w:color="000000" w:sz="8"/>
                  </w:tcBorders>
                </w:tcPr>
                <w:p/>
              </w:tc>
            </w:tr>
            <w:tr>
              <w:tc>
                <w:tcPr>
                  <w:tcW w:type="dxa" w:w="30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云主机</w:t>
                  </w:r>
                </w:p>
              </w:tc>
              <w:tc>
                <w:tcPr>
                  <w:tcW w:type="dxa" w:w="23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9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8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50</w:t>
                  </w:r>
                </w:p>
              </w:tc>
              <w:tc>
                <w:tcPr>
                  <w:tcW w:type="dxa" w:w="35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100</w:t>
                  </w:r>
                </w:p>
              </w:tc>
              <w:tc>
                <w:tcPr>
                  <w:tcW w:type="dxa" w:w="525"/>
                  <w:vMerge/>
                  <w:tcBorders>
                    <w:top w:val="none" w:color="000000" w:sz="4"/>
                    <w:left w:val="none" w:color="000000" w:sz="4"/>
                    <w:bottom w:val="single" w:color="000000" w:sz="8"/>
                    <w:right w:val="single" w:color="000000" w:sz="8"/>
                  </w:tcBorders>
                </w:tcPr>
                <w:p/>
              </w:tc>
              <w:tc>
                <w:tcPr>
                  <w:tcW w:type="dxa" w:w="543"/>
                  <w:vMerge/>
                  <w:tcBorders>
                    <w:top w:val="none" w:color="000000" w:sz="4"/>
                    <w:left w:val="none" w:color="000000" w:sz="4"/>
                    <w:bottom w:val="single" w:color="000000" w:sz="8"/>
                    <w:right w:val="single" w:color="000000" w:sz="8"/>
                  </w:tcBorders>
                </w:tcPr>
                <w:p/>
              </w:tc>
            </w:tr>
            <w:tr>
              <w:tc>
                <w:tcPr>
                  <w:tcW w:type="dxa" w:w="304"/>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GPU 加速型</w:t>
                  </w:r>
                  <w:r>
                    <w:br/>
                  </w:r>
                  <w:r>
                    <w:rPr>
                      <w:rFonts w:ascii="仿宋_GB2312" w:hAnsi="仿宋_GB2312" w:cs="仿宋_GB2312" w:eastAsia="仿宋_GB2312"/>
                      <w:sz w:val="28"/>
                    </w:rPr>
                    <w:t xml:space="preserve"> </w:t>
                  </w:r>
                  <w:r>
                    <w:rPr>
                      <w:rFonts w:ascii="仿宋_GB2312" w:hAnsi="仿宋_GB2312" w:cs="仿宋_GB2312" w:eastAsia="仿宋_GB2312"/>
                      <w:sz w:val="28"/>
                    </w:rPr>
                    <w:t>Pi2</w:t>
                  </w:r>
                </w:p>
              </w:tc>
              <w:tc>
                <w:tcPr>
                  <w:tcW w:type="dxa" w:w="23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16</w:t>
                  </w:r>
                </w:p>
              </w:tc>
              <w:tc>
                <w:tcPr>
                  <w:tcW w:type="dxa" w:w="19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64</w:t>
                  </w:r>
                </w:p>
              </w:tc>
              <w:tc>
                <w:tcPr>
                  <w:tcW w:type="dxa" w:w="38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500</w:t>
                  </w:r>
                </w:p>
              </w:tc>
              <w:tc>
                <w:tcPr>
                  <w:tcW w:type="dxa" w:w="35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2000</w:t>
                  </w:r>
                </w:p>
              </w:tc>
              <w:tc>
                <w:tcPr>
                  <w:tcW w:type="dxa" w:w="525"/>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p>
              </w:tc>
              <w:tc>
                <w:tcPr>
                  <w:tcW w:type="dxa" w:w="543"/>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Pi2   NVIDIA T4 * 2张</w:t>
                  </w:r>
                </w:p>
              </w:tc>
            </w:tr>
          </w:tbl>
          <w:p>
            <w:pPr>
              <w:pStyle w:val="null3"/>
              <w:jc w:val="both"/>
            </w:pPr>
            <w:r>
              <w:rPr>
                <w:rFonts w:ascii="仿宋_GB2312" w:hAnsi="仿宋_GB2312" w:cs="仿宋_GB2312" w:eastAsia="仿宋_GB2312"/>
                <w:sz w:val="28"/>
              </w:rPr>
              <w:t>2.互联网专线1GB带宽</w:t>
            </w:r>
          </w:p>
          <w:p>
            <w:pPr>
              <w:pStyle w:val="null3"/>
              <w:jc w:val="both"/>
            </w:pPr>
            <w:r>
              <w:rPr>
                <w:rFonts w:ascii="仿宋_GB2312" w:hAnsi="仿宋_GB2312" w:cs="仿宋_GB2312" w:eastAsia="仿宋_GB2312"/>
                <w:sz w:val="28"/>
              </w:rPr>
              <w:t>采购</w:t>
            </w:r>
            <w:r>
              <w:rPr>
                <w:rFonts w:ascii="仿宋_GB2312" w:hAnsi="仿宋_GB2312" w:cs="仿宋_GB2312" w:eastAsia="仿宋_GB2312"/>
                <w:sz w:val="28"/>
              </w:rPr>
              <w:t>1GB</w:t>
            </w:r>
            <w:r>
              <w:rPr>
                <w:rFonts w:ascii="仿宋_GB2312" w:hAnsi="仿宋_GB2312" w:cs="仿宋_GB2312" w:eastAsia="仿宋_GB2312"/>
                <w:sz w:val="28"/>
              </w:rPr>
              <w:t>光纤专线和云计算资源、安全服务，用以支撑网站、</w:t>
            </w:r>
            <w:r>
              <w:rPr>
                <w:rFonts w:ascii="仿宋_GB2312" w:hAnsi="仿宋_GB2312" w:cs="仿宋_GB2312" w:eastAsia="仿宋_GB2312"/>
                <w:sz w:val="28"/>
              </w:rPr>
              <w:t>OA</w:t>
            </w:r>
            <w:r>
              <w:rPr>
                <w:rFonts w:ascii="仿宋_GB2312" w:hAnsi="仿宋_GB2312" w:cs="仿宋_GB2312" w:eastAsia="仿宋_GB2312"/>
                <w:sz w:val="28"/>
              </w:rPr>
              <w:t>、田野发掘、库房管理、票务、导览等单位运行所需的多项信息系统的托管架设。</w:t>
            </w:r>
          </w:p>
          <w:p>
            <w:pPr>
              <w:pStyle w:val="null3"/>
              <w:jc w:val="both"/>
            </w:pPr>
            <w:r>
              <w:rPr>
                <w:rFonts w:ascii="仿宋_GB2312" w:hAnsi="仿宋_GB2312" w:cs="仿宋_GB2312" w:eastAsia="仿宋_GB2312"/>
                <w:sz w:val="28"/>
              </w:rPr>
              <w:t>3.云安全类</w:t>
            </w:r>
          </w:p>
          <w:tbl>
            <w:tblPr>
              <w:tblInd w:type="dxa" w:w="120"/>
              <w:tblBorders>
                <w:top w:val="none" w:color="000000" w:sz="4"/>
                <w:left w:val="none" w:color="000000" w:sz="4"/>
                <w:bottom w:val="none" w:color="000000" w:sz="4"/>
                <w:right w:val="none" w:color="000000" w:sz="4"/>
                <w:insideH w:val="none"/>
                <w:insideV w:val="none"/>
              </w:tblBorders>
            </w:tblPr>
            <w:tblGrid>
              <w:gridCol w:w="613"/>
              <w:gridCol w:w="1153"/>
              <w:gridCol w:w="787"/>
            </w:tblGrid>
            <w:tr>
              <w:tc>
                <w:tcPr>
                  <w:tcW w:type="dxa" w:w="613"/>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云防火墙</w:t>
                  </w:r>
                </w:p>
              </w:tc>
              <w:tc>
                <w:tcPr>
                  <w:tcW w:type="dxa" w:w="1153"/>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满足</w:t>
                  </w:r>
                  <w:r>
                    <w:rPr>
                      <w:rFonts w:ascii="仿宋_GB2312" w:hAnsi="仿宋_GB2312" w:cs="仿宋_GB2312" w:eastAsia="仿宋_GB2312"/>
                      <w:sz w:val="28"/>
                    </w:rPr>
                    <w:t>“云主机数量”授权</w:t>
                  </w:r>
                </w:p>
              </w:tc>
              <w:tc>
                <w:tcPr>
                  <w:tcW w:type="dxa" w:w="787"/>
                  <w:vMerge w:val="restart"/>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等保二级</w:t>
                  </w:r>
                </w:p>
              </w:tc>
            </w:tr>
            <w:tr>
              <w:tc>
                <w:tcPr>
                  <w:tcW w:type="dxa" w:w="61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日志审计</w:t>
                  </w:r>
                </w:p>
              </w:tc>
              <w:tc>
                <w:tcPr>
                  <w:tcW w:type="dxa" w:w="1153"/>
                  <w:vMerge w:val="restart"/>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满足资产数使用</w:t>
                  </w:r>
                </w:p>
              </w:tc>
              <w:tc>
                <w:tcPr>
                  <w:tcW w:type="dxa" w:w="787"/>
                  <w:vMerge/>
                  <w:tcBorders>
                    <w:top w:val="single" w:color="000000" w:sz="8"/>
                    <w:left w:val="none" w:color="000000" w:sz="4"/>
                    <w:bottom w:val="single" w:color="000000" w:sz="8"/>
                    <w:right w:val="single" w:color="000000" w:sz="8"/>
                  </w:tcBorders>
                </w:tcPr>
                <w:p/>
              </w:tc>
            </w:tr>
            <w:tr>
              <w:tc>
                <w:tcPr>
                  <w:tcW w:type="dxa" w:w="61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安全中心</w:t>
                  </w:r>
                </w:p>
              </w:tc>
              <w:tc>
                <w:tcPr>
                  <w:tcW w:type="dxa" w:w="1153"/>
                  <w:vMerge/>
                  <w:tcBorders>
                    <w:top w:val="none" w:color="000000" w:sz="4"/>
                    <w:left w:val="none" w:color="000000" w:sz="4"/>
                    <w:bottom w:val="single" w:color="000000" w:sz="8"/>
                    <w:right w:val="single" w:color="000000" w:sz="8"/>
                  </w:tcBorders>
                </w:tcPr>
                <w:p/>
              </w:tc>
              <w:tc>
                <w:tcPr>
                  <w:tcW w:type="dxa" w:w="787"/>
                  <w:vMerge/>
                  <w:tcBorders>
                    <w:top w:val="single" w:color="000000" w:sz="8"/>
                    <w:left w:val="none" w:color="000000" w:sz="4"/>
                    <w:bottom w:val="single" w:color="000000" w:sz="8"/>
                    <w:right w:val="single" w:color="000000" w:sz="8"/>
                  </w:tcBorders>
                </w:tcPr>
                <w:p/>
              </w:tc>
            </w:tr>
            <w:tr>
              <w:tc>
                <w:tcPr>
                  <w:tcW w:type="dxa" w:w="613"/>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云主机备份</w:t>
                  </w:r>
                </w:p>
              </w:tc>
              <w:tc>
                <w:tcPr>
                  <w:tcW w:type="dxa" w:w="1940"/>
                  <w:gridSpan w:val="2"/>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以实际用量计算</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所配备人员充足，可保证本项目顺利实施。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所提供设施设备充足先进，可保证本项目顺利实施。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陕西省考古研究院（西安市长安区终南大道（郭杜段）2999号）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全部业务开通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独立承担民事责任能力</w:t>
            </w:r>
          </w:p>
        </w:tc>
        <w:tc>
          <w:tcPr>
            <w:tcW w:type="dxa" w:w="3322"/>
          </w:tcPr>
          <w:p>
            <w:pPr>
              <w:pStyle w:val="null3"/>
            </w:pPr>
            <w:r>
              <w:rPr>
                <w:rFonts w:ascii="仿宋_GB2312" w:hAnsi="仿宋_GB2312" w:cs="仿宋_GB2312" w:eastAsia="仿宋_GB2312"/>
              </w:rPr>
              <w:t>具有独立承担民事责任能力的法人或其他组织或经总公司授权的分公司或自然人，提供合法有效的统一社会信用代码营业执照（事业单位提供事业单位法人证书，自然人提供身份证明、分公司提供总公司授权及分公司营业执照）；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供应商参加政府采购活动前3年内在经营活动中没有重大违法记录；供应商需在项目电子化交易系统中按要求填写《响应函》完成承诺并进行电子签章。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须为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供应商应提供承诺书并进行电子签章，格式及内容参见“响应文件格式”。</w:t>
            </w:r>
          </w:p>
        </w:tc>
        <w:tc>
          <w:tcPr>
            <w:tcW w:type="dxa" w:w="1661"/>
          </w:tcPr>
          <w:p>
            <w:pPr>
              <w:pStyle w:val="null3"/>
            </w:pPr>
            <w:r>
              <w:rPr>
                <w:rFonts w:ascii="仿宋_GB2312" w:hAnsi="仿宋_GB2312" w:cs="仿宋_GB2312" w:eastAsia="仿宋_GB2312"/>
              </w:rPr>
              <w:t>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-2024年度任意一年经会计事务所或审计机构出具完整的财务审计报告（至少包括资产负债表和利润表，成立时间至提交响应文件截止时间不足一年的可提供成立后任意时段的资产负债表），或其开标前三个月内基本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保缴纳证明：自2024年6月1日以来已缴存的至少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自2024年6月1日以来已缴纳的至少一个月的纳税证明或完税证明，纳税证明或完税证明上应有代收机构或税务机关的公章或业务专用章。依法免税的供应商应提供相关文件证明（复印件加盖供应商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负责人授权书（附法定代表人/负责人、被授权人身份证复印件）及被授权人身份证（法定代表人/负责人直接参加磋商，须提供法定代表人/负责人身份证明及身份证原件）；（供应商为非法人单位的，磋商响应文件中凡是需要法定代表人签字或盖章之处，非法人单位的负责人均参照执行；附负责人、被授权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供应商单位负责人为同一人或者存在直接控股、管理关系的供应商，不得参加同一合同下的政府采购活动;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其他承诺</w:t>
            </w:r>
          </w:p>
        </w:tc>
        <w:tc>
          <w:tcPr>
            <w:tcW w:type="dxa" w:w="3322"/>
          </w:tcPr>
          <w:p>
            <w:pPr>
              <w:pStyle w:val="null3"/>
            </w:pPr>
            <w:r>
              <w:rPr>
                <w:rFonts w:ascii="仿宋_GB2312" w:hAnsi="仿宋_GB2312" w:cs="仿宋_GB2312" w:eastAsia="仿宋_GB2312"/>
              </w:rPr>
              <w:t>供应商具有履行合同所必需的设备和专业技术能力；未为本项目提供整体设计、规范编制或者项目管理、监理、检测等服务。供应商需在项目电子化交易系统中按要求填写《响应函》完成承诺并进行电子签章。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联合体、分包</w:t>
            </w:r>
          </w:p>
        </w:tc>
        <w:tc>
          <w:tcPr>
            <w:tcW w:type="dxa" w:w="3322"/>
          </w:tcPr>
          <w:p>
            <w:pPr>
              <w:pStyle w:val="null3"/>
            </w:pPr>
            <w:r>
              <w:rPr>
                <w:rFonts w:ascii="仿宋_GB2312" w:hAnsi="仿宋_GB2312" w:cs="仿宋_GB2312" w:eastAsia="仿宋_GB2312"/>
              </w:rPr>
              <w:t>本项目不接受联合体响应，不允许分包。供应商提供《非联合体、不分包投标声明》，视为独立响应，不分包。供应商应提供《非联合体、不分包投标声明》并进行电子签章，格式及内容参见“响应文件格式”。</w:t>
            </w:r>
          </w:p>
        </w:tc>
        <w:tc>
          <w:tcPr>
            <w:tcW w:type="dxa" w:w="1661"/>
          </w:tcPr>
          <w:p>
            <w:pPr>
              <w:pStyle w:val="null3"/>
            </w:pPr>
            <w:r>
              <w:rPr>
                <w:rFonts w:ascii="仿宋_GB2312" w:hAnsi="仿宋_GB2312" w:cs="仿宋_GB2312" w:eastAsia="仿宋_GB2312"/>
              </w:rPr>
              <w:t>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响应文件的签署、加盖印章要求是否合格、有效</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类似项目业绩一览表.docx 中小企业声明函 商务应答表 承诺书.docx 报价表 响应文件封面 分项报价表.docx 供应商应提交的相关资格证明材料.docx 残疾人福利性单位声明函 标的清单 供应商拒绝政府采购领域商业贿赂承诺书.docx 人员配备一览表.docx 响应报价表.docx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响应文件有效期是否符合磋商文件要求</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报价唯一，且未超过采购预算</w:t>
            </w:r>
          </w:p>
        </w:tc>
        <w:tc>
          <w:tcPr>
            <w:tcW w:type="dxa" w:w="1661"/>
          </w:tcPr>
          <w:p>
            <w:pPr>
              <w:pStyle w:val="null3"/>
            </w:pPr>
            <w:r>
              <w:rPr>
                <w:rFonts w:ascii="仿宋_GB2312" w:hAnsi="仿宋_GB2312" w:cs="仿宋_GB2312" w:eastAsia="仿宋_GB2312"/>
              </w:rPr>
              <w:t>分项报价表.docx 标的清单 报价表 响应报价表.docx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与营业执照或其他组织一致</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服务周期</w:t>
            </w:r>
          </w:p>
        </w:tc>
        <w:tc>
          <w:tcPr>
            <w:tcW w:type="dxa" w:w="3322"/>
          </w:tcPr>
          <w:p>
            <w:pPr>
              <w:pStyle w:val="null3"/>
            </w:pPr>
            <w:r>
              <w:rPr>
                <w:rFonts w:ascii="仿宋_GB2312" w:hAnsi="仿宋_GB2312" w:cs="仿宋_GB2312" w:eastAsia="仿宋_GB2312"/>
              </w:rPr>
              <w:t>符合磋商文件规定</w:t>
            </w:r>
          </w:p>
        </w:tc>
        <w:tc>
          <w:tcPr>
            <w:tcW w:type="dxa" w:w="1661"/>
          </w:tcPr>
          <w:p>
            <w:pPr>
              <w:pStyle w:val="null3"/>
            </w:pPr>
            <w:r>
              <w:rPr>
                <w:rFonts w:ascii="仿宋_GB2312" w:hAnsi="仿宋_GB2312" w:cs="仿宋_GB2312" w:eastAsia="仿宋_GB2312"/>
              </w:rPr>
              <w:t>响应文件封面 标的清单 报价表 响应报价表.docx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详细评审86.00分</w:t>
            </w:r>
          </w:p>
          <w:p>
            <w:pPr>
              <w:pStyle w:val="null3"/>
            </w:pPr>
            <w:r>
              <w:rPr>
                <w:rFonts w:ascii="仿宋_GB2312" w:hAnsi="仿宋_GB2312" w:cs="仿宋_GB2312" w:eastAsia="仿宋_GB2312"/>
              </w:rPr>
              <w:t>报价得分14.00分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技术要求响应</w:t>
            </w:r>
          </w:p>
        </w:tc>
        <w:tc>
          <w:tcPr>
            <w:tcW w:type="dxa" w:w="2492"/>
          </w:tcPr>
          <w:p>
            <w:pPr>
              <w:pStyle w:val="null3"/>
            </w:pPr>
            <w:r>
              <w:rPr>
                <w:rFonts w:ascii="仿宋_GB2312" w:hAnsi="仿宋_GB2312" w:cs="仿宋_GB2312" w:eastAsia="仿宋_GB2312"/>
              </w:rPr>
              <w:t>技术要求完全满足磋商文件技术指标要求的得26分，每负偏离一项扣0.5分，扣完为止。 （备注：未按磋商文件要求提供相关证明资料的，视为负偏离）</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服务商针对本项目的整体服务方案，内容包含：①服务目标；②服务实施步骤计划（服务工作流程）；③服务管理规章制度；④工作重点与难点分析及对应措施。 二、评分标准 1、完整性：方案必须全面，对评审内容中的各项要求有详细描述； 2、可实施性：切合本项目实际情况，提出切实可行、合理的方案； 3针对性：方案能够紧扣项目实际情况，内容科学合理。 三、赋分标准(满分 12 分) ①服务目标：每完全满足一个评审标准得 1 分，满分 3 分； ②服务实施步骤计划：每完全满足一个评审标准得 1 分，满分 3 分； ③服务管理规章制度：每完全满足一个评审标准得 1 分，满分 3 分； ④工作重点与难点分析及对应措施：每完全满足一个评审标准得 1 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一、评审内容 服务商针对本项目的服务保障措施，内容包含：①质量保障措施；②安全保障措施；③进度保障措施；④服务人员保障措施。 二、评分标准 1、完整性：保障措施必须全面，对评审内容中的各项要求有详细描述； 2、可实施性：切合本项目实际情况，提出切实可行、合理的保障措施； 3、针对性：保障措施能够紧扣项目实际情况，内容科学合理。 三、赋分标准(满分 12 分) ①质量保障措施：每完全满足一个评审标准得 1 分，满分 3 分； ②安全保障措施：每完全满足一个评审标准得 1 分，满分 3 分； ③进度保障措施：每完全满足一个评审标准得 1 分，满分 3 分； ④服务人员保障措施：每完全满足一个评审标准得 1 分，满分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服务团队组织方案</w:t>
            </w:r>
          </w:p>
        </w:tc>
        <w:tc>
          <w:tcPr>
            <w:tcW w:type="dxa" w:w="2492"/>
          </w:tcPr>
          <w:p>
            <w:pPr>
              <w:pStyle w:val="null3"/>
            </w:pPr>
            <w:r>
              <w:rPr>
                <w:rFonts w:ascii="仿宋_GB2312" w:hAnsi="仿宋_GB2312" w:cs="仿宋_GB2312" w:eastAsia="仿宋_GB2312"/>
              </w:rPr>
              <w:t>一、评审内容 服务商针对本项目的服务团队组织方案，内容包含：①项目实施团队组织方案；②岗位工作职责及管理制度；③服务人员考核制度；④服务人员培训、日常教育计划。 二、评分标准 1、完整性：方案必须全面，对评审内容中的各项要求有详细描述； 2、可实施性：切合本项目实际情况，提出切实可行、合理的方案； 3、针对性：方案能够紧扣项目实际情况，内容科学合理，人员配置符合 本项目服务人员要求。 三、赋分标准(满分 12 分) ①项目组人员配备：每完全满足一个评审标准得 1 分，满分 3 分； ②岗位工作职责及管理制度：每完全满足一个评审标准得 1 分，满分 3 分； ③服务人员考核制度：每完全满足一个评审标准得 1 分，满分 3 分； ④服务人员培训、日常教育计划：每完全满足一个评审标准得 1 分，满 分 3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人员配备一览表.docx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服务商针对本项目的保密方案，内容包含：①保密管理制度；②数据和信息安全保密措施；③保密承诺。 二、评分标准 1、完整性：方案必须全面，对评审内容中的各项要求有详细描述； 2、可实施性：切合本项目实际情况，提出切实可行、合理的方案； 3、针对性：方案能够紧扣项目实际情况，内容科学合理。 三、赋分标准(满分 4.5 分) ①保密管理制度：每完全满足一个评审标准得 0.5 分，满分 1.5 分； ②数据和信息安全保密措施：每完全满足一个评审标准得 0.5 分，满分1.5 分； ③保密承诺：每完全满足一个评审标准得 0.5 分，满分 1.5 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服务商针对本项目的应急预案，内容包含：①应急预案方案和措施；②应急人数及人员安排。 二、评分标准 1、完整性：方案必须全面，对评审内容中的各项要求有详细描述； 2、可实施性：切合本项目实际情况，提出切实可行、合理的方案； 3、针对性：方案能够紧扣项目实际情况，内容科学合理。 三、赋分标准(满分 3.0 分) ①应急预案方案和措施：每完全满足一个评审标准得 0.5 分，满分 1.5 分； ②应急人数及人员安排：每完全满足一个评审标准得 0.5 分，满分 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服务人员履约能力</w:t>
            </w:r>
          </w:p>
        </w:tc>
        <w:tc>
          <w:tcPr>
            <w:tcW w:type="dxa" w:w="2492"/>
          </w:tcPr>
          <w:p>
            <w:pPr>
              <w:pStyle w:val="null3"/>
            </w:pPr>
            <w:r>
              <w:rPr>
                <w:rFonts w:ascii="仿宋_GB2312" w:hAnsi="仿宋_GB2312" w:cs="仿宋_GB2312" w:eastAsia="仿宋_GB2312"/>
              </w:rPr>
              <w:t>1、项目经理具有信息化服务项目管理能力，提供网络技术、信息安全、IT 服务等信息化相关行业认证证书，每提供一个证书得 0.5分，最高得 1分； 2、服务人员（不含项目经理）具有信息化服务项目服务能力，提供网络技术、信息安全、IT 服务等信息化相关行业认证证书，每名服务人员提供一个证书得0.5分，最高得 2.5分（每人最多得1 分）。</w:t>
            </w:r>
          </w:p>
        </w:tc>
        <w:tc>
          <w:tcPr>
            <w:tcW w:type="dxa" w:w="831"/>
          </w:tcPr>
          <w:p>
            <w:pPr>
              <w:pStyle w:val="null3"/>
              <w:jc w:val="right"/>
            </w:pPr>
            <w:r>
              <w:rPr>
                <w:rFonts w:ascii="仿宋_GB2312" w:hAnsi="仿宋_GB2312" w:cs="仿宋_GB2312" w:eastAsia="仿宋_GB2312"/>
              </w:rPr>
              <w:t>3.5000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人员配备一览表.docx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服务商针对本项目的服务承诺，内容包含：①售后服务承诺；②故障响应及解决时间承诺；。 二、评分标准 1.完整性:服务承诺必须全面，对评审内容中的各项要求有详细描述； 2.可实施性:切合本项目实际情况，提出切实可行、合理的服务承诺； 3.针对性:服务承诺能够紧扣项目实际情况，内容科学合理。 （3）赋分标准(满分 3分) ①售后服务承诺：每完全满足一个评审标准得 0.5 分，满分 1.5 分； ②故障响应及解决时间承诺：每完全满足一个评审标准得 0.5 分，满分 1.5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服务商需提供 2022 年 1 月 1 日以来独立承担过类似项目业绩，每个业绩计 2分，最高计 10分。注：类似业绩以合同签订时间为准，未提供或不清晰导致无法识别的不予以认可。</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满足竞争性磋商文件要求的有效报价中最低报价为最高得分点：报价最低计14分，其它报价所得分值按（最低报价／磋商报价）×14的公式计算。</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详见附件：人员配备一览表.docx</w:t>
      </w:r>
    </w:p>
    <w:p>
      <w:pPr>
        <w:pStyle w:val="null3"/>
        <w:ind w:firstLine="960"/>
      </w:pPr>
      <w:r>
        <w:rPr>
          <w:rFonts w:ascii="仿宋_GB2312" w:hAnsi="仿宋_GB2312" w:cs="仿宋_GB2312" w:eastAsia="仿宋_GB2312"/>
        </w:rPr>
        <w:t>详见附件：响应报价表.docx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